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1ECD" w14:textId="2070F08D" w:rsidR="008858D5" w:rsidRPr="00614CE0" w:rsidRDefault="008858D5" w:rsidP="00614CE0">
      <w:pPr>
        <w:pStyle w:val="Heading1"/>
        <w:spacing w:after="240" w:line="276" w:lineRule="auto"/>
        <w:jc w:val="center"/>
        <w:rPr>
          <w:rFonts w:cs="Arial"/>
          <w:b w:val="0"/>
          <w:szCs w:val="16"/>
        </w:rPr>
      </w:pPr>
      <w:r w:rsidRPr="00614CE0">
        <w:rPr>
          <w:rFonts w:cs="Arial"/>
          <w:sz w:val="16"/>
          <w:szCs w:val="16"/>
        </w:rPr>
        <w:t>IG Design Group plc</w:t>
      </w:r>
    </w:p>
    <w:p w14:paraId="7992716A" w14:textId="77777777" w:rsidR="008858D5" w:rsidRPr="00670A0D" w:rsidRDefault="008858D5" w:rsidP="008858D5">
      <w:pPr>
        <w:spacing w:after="240" w:line="276" w:lineRule="auto"/>
        <w:jc w:val="center"/>
        <w:rPr>
          <w:rFonts w:eastAsia="Times New Roman" w:cs="Arial"/>
          <w:b/>
          <w:bCs/>
          <w:szCs w:val="16"/>
          <w:lang w:eastAsia="en-GB"/>
        </w:rPr>
      </w:pPr>
      <w:r w:rsidRPr="00670A0D">
        <w:rPr>
          <w:rFonts w:eastAsia="Times New Roman" w:cs="Arial"/>
          <w:b/>
          <w:bCs/>
          <w:szCs w:val="16"/>
          <w:lang w:eastAsia="en-GB"/>
        </w:rPr>
        <w:t>(the ‘Company’, the ‘Group’ or ‘Design Group’)</w:t>
      </w:r>
    </w:p>
    <w:p w14:paraId="0215F2A3" w14:textId="73945534" w:rsidR="008858D5" w:rsidRDefault="008858D5" w:rsidP="008858D5">
      <w:pPr>
        <w:spacing w:after="240" w:line="276" w:lineRule="auto"/>
        <w:jc w:val="center"/>
        <w:rPr>
          <w:rFonts w:eastAsia="Times New Roman" w:cs="Arial"/>
          <w:b/>
          <w:bCs/>
          <w:szCs w:val="16"/>
          <w:lang w:eastAsia="en-GB"/>
        </w:rPr>
      </w:pPr>
      <w:r w:rsidRPr="00670A0D">
        <w:rPr>
          <w:rFonts w:eastAsia="Times New Roman" w:cs="Arial"/>
          <w:b/>
          <w:bCs/>
          <w:szCs w:val="16"/>
          <w:lang w:eastAsia="en-GB"/>
        </w:rPr>
        <w:t>Results for the year ended 31 March 202</w:t>
      </w:r>
      <w:r w:rsidR="00670A0D" w:rsidRPr="00670A0D">
        <w:rPr>
          <w:rFonts w:eastAsia="Times New Roman" w:cs="Arial"/>
          <w:b/>
          <w:bCs/>
          <w:szCs w:val="16"/>
          <w:lang w:eastAsia="en-GB"/>
        </w:rPr>
        <w:t>6</w:t>
      </w:r>
      <w:r w:rsidR="0070662C">
        <w:rPr>
          <w:rFonts w:eastAsia="Times New Roman" w:cs="Arial"/>
          <w:szCs w:val="16"/>
          <w:vertAlign w:val="superscript"/>
          <w:lang w:eastAsia="en-GB"/>
        </w:rPr>
        <w:t>(a)</w:t>
      </w:r>
    </w:p>
    <w:p w14:paraId="12F44CED" w14:textId="77777777" w:rsidR="00311B72" w:rsidRPr="00311B72" w:rsidRDefault="00311B72" w:rsidP="00311B72">
      <w:pPr>
        <w:spacing w:after="240" w:line="276" w:lineRule="auto"/>
        <w:jc w:val="center"/>
        <w:rPr>
          <w:rFonts w:eastAsia="Times New Roman" w:cs="Arial"/>
          <w:b/>
          <w:bCs/>
          <w:i/>
          <w:iCs/>
          <w:szCs w:val="16"/>
          <w:lang w:eastAsia="en-GB"/>
        </w:rPr>
      </w:pPr>
      <w:r w:rsidRPr="00311B72">
        <w:rPr>
          <w:rFonts w:eastAsia="Times New Roman" w:cs="Arial"/>
          <w:b/>
          <w:bCs/>
          <w:i/>
          <w:iCs/>
          <w:szCs w:val="16"/>
          <w:lang w:eastAsia="en-GB"/>
        </w:rPr>
        <w:t>Exceeding expectations with strong cash generation and a more focused, resilient business</w:t>
      </w:r>
    </w:p>
    <w:p w14:paraId="5E910240" w14:textId="68400A39" w:rsidR="008858D5" w:rsidRPr="0048292B" w:rsidRDefault="008858D5" w:rsidP="005B0EAC">
      <w:pPr>
        <w:spacing w:line="276" w:lineRule="auto"/>
        <w:jc w:val="both"/>
        <w:rPr>
          <w:rFonts w:eastAsia="Times New Roman" w:cs="Arial"/>
          <w:szCs w:val="16"/>
          <w:lang w:eastAsia="en-GB"/>
        </w:rPr>
      </w:pPr>
      <w:r w:rsidRPr="0048292B">
        <w:rPr>
          <w:rFonts w:eastAsia="Times New Roman" w:cs="Arial"/>
          <w:szCs w:val="16"/>
          <w:lang w:eastAsia="en-GB"/>
        </w:rPr>
        <w:t>IG Design Group plc, a leading designer, innovator and manufacturer across various celebration and creative categories announces its audited results for the year ended 31 March 202</w:t>
      </w:r>
      <w:r w:rsidR="0048292B" w:rsidRPr="0048292B">
        <w:rPr>
          <w:rFonts w:eastAsia="Times New Roman" w:cs="Arial"/>
          <w:szCs w:val="16"/>
          <w:lang w:eastAsia="en-GB"/>
        </w:rPr>
        <w:t>6</w:t>
      </w:r>
      <w:r w:rsidRPr="0048292B">
        <w:rPr>
          <w:rFonts w:eastAsia="Times New Roman" w:cs="Arial"/>
          <w:szCs w:val="16"/>
          <w:lang w:eastAsia="en-GB"/>
        </w:rPr>
        <w:t xml:space="preserve">. </w:t>
      </w:r>
    </w:p>
    <w:p w14:paraId="5301BDCF" w14:textId="77777777" w:rsidR="009352B5" w:rsidRDefault="009352B5" w:rsidP="009352B5">
      <w:pPr>
        <w:spacing w:line="276" w:lineRule="auto"/>
        <w:jc w:val="both"/>
        <w:rPr>
          <w:rFonts w:eastAsia="Times New Roman" w:cs="Arial"/>
          <w:szCs w:val="16"/>
          <w:lang w:eastAsia="en-GB"/>
        </w:rPr>
      </w:pPr>
    </w:p>
    <w:p w14:paraId="7C103CD8" w14:textId="66377A6F" w:rsidR="008858D5" w:rsidRPr="001A6B29" w:rsidRDefault="00CC513A" w:rsidP="001A6B29">
      <w:pPr>
        <w:pStyle w:val="Heading2"/>
        <w:rPr>
          <w:b w:val="0"/>
          <w:szCs w:val="16"/>
        </w:rPr>
      </w:pPr>
      <w:r w:rsidRPr="001A6B29">
        <w:rPr>
          <w:sz w:val="16"/>
          <w:szCs w:val="16"/>
        </w:rPr>
        <w:t>Financial</w:t>
      </w:r>
      <w:r w:rsidR="00CB3073" w:rsidRPr="001A6B29">
        <w:rPr>
          <w:sz w:val="16"/>
          <w:szCs w:val="16"/>
        </w:rPr>
        <w:t xml:space="preserve"> highlights</w:t>
      </w:r>
    </w:p>
    <w:tbl>
      <w:tblPr>
        <w:tblStyle w:val="TableGrid1"/>
        <w:tblW w:w="65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1276"/>
      </w:tblGrid>
      <w:tr w:rsidR="00671F16" w:rsidRPr="001A0FEC" w14:paraId="253AB505" w14:textId="77777777" w:rsidTr="00671F16">
        <w:trPr>
          <w:trHeight w:hRule="exact" w:val="20"/>
          <w:jc w:val="center"/>
        </w:trPr>
        <w:tc>
          <w:tcPr>
            <w:tcW w:w="3969" w:type="dxa"/>
            <w:tcBorders>
              <w:top w:val="nil"/>
              <w:left w:val="nil"/>
              <w:bottom w:val="nil"/>
              <w:right w:val="nil"/>
            </w:tcBorders>
          </w:tcPr>
          <w:p w14:paraId="51E4665B" w14:textId="77777777" w:rsidR="00671F16" w:rsidRDefault="00671F16">
            <w:pPr>
              <w:rPr>
                <w:sz w:val="2"/>
              </w:rPr>
            </w:pPr>
            <w:bookmarkStart w:id="0" w:name="_e7486556_624e_4302_a234_fd0616d76675"/>
            <w:bookmarkStart w:id="1" w:name="_b0fd848e_4973_429a_b036_712a10ca2a37"/>
            <w:bookmarkEnd w:id="0"/>
          </w:p>
        </w:tc>
        <w:tc>
          <w:tcPr>
            <w:tcW w:w="1276" w:type="dxa"/>
            <w:tcBorders>
              <w:top w:val="nil"/>
              <w:left w:val="nil"/>
              <w:bottom w:val="nil"/>
              <w:right w:val="nil"/>
            </w:tcBorders>
            <w:vAlign w:val="center"/>
          </w:tcPr>
          <w:p w14:paraId="4237A280" w14:textId="77777777" w:rsidR="00671F16" w:rsidRDefault="00671F16">
            <w:pPr>
              <w:rPr>
                <w:sz w:val="2"/>
              </w:rPr>
            </w:pPr>
          </w:p>
        </w:tc>
        <w:tc>
          <w:tcPr>
            <w:tcW w:w="1276" w:type="dxa"/>
            <w:tcBorders>
              <w:top w:val="nil"/>
              <w:left w:val="nil"/>
              <w:bottom w:val="nil"/>
              <w:right w:val="nil"/>
            </w:tcBorders>
            <w:vAlign w:val="center"/>
          </w:tcPr>
          <w:p w14:paraId="6B61E27D" w14:textId="77777777" w:rsidR="00671F16" w:rsidRDefault="00671F16">
            <w:pPr>
              <w:rPr>
                <w:sz w:val="2"/>
              </w:rPr>
            </w:pPr>
          </w:p>
        </w:tc>
      </w:tr>
      <w:tr w:rsidR="00671F16" w:rsidRPr="001A0FEC" w14:paraId="2820E95D" w14:textId="77777777" w:rsidTr="00671F16">
        <w:trPr>
          <w:trHeight w:val="20"/>
          <w:jc w:val="center"/>
        </w:trPr>
        <w:tc>
          <w:tcPr>
            <w:tcW w:w="3969" w:type="dxa"/>
            <w:tcBorders>
              <w:bottom w:val="single" w:sz="4" w:space="0" w:color="000000"/>
            </w:tcBorders>
          </w:tcPr>
          <w:p w14:paraId="583F51F6" w14:textId="77777777" w:rsidR="00671F16" w:rsidRPr="006A361B" w:rsidRDefault="00671F16">
            <w:pPr>
              <w:spacing w:line="360" w:lineRule="auto"/>
              <w:jc w:val="both"/>
              <w:rPr>
                <w:rFonts w:eastAsia="Times New Roman" w:cs="Arial"/>
                <w:b/>
                <w:bCs/>
                <w:szCs w:val="16"/>
              </w:rPr>
            </w:pPr>
          </w:p>
        </w:tc>
        <w:tc>
          <w:tcPr>
            <w:tcW w:w="1276" w:type="dxa"/>
            <w:tcBorders>
              <w:bottom w:val="single" w:sz="4" w:space="0" w:color="000000"/>
            </w:tcBorders>
            <w:vAlign w:val="center"/>
          </w:tcPr>
          <w:p w14:paraId="10383FB5" w14:textId="77777777" w:rsidR="00671F16" w:rsidRPr="006A361B" w:rsidRDefault="00671F16">
            <w:pPr>
              <w:spacing w:line="360" w:lineRule="auto"/>
              <w:jc w:val="center"/>
              <w:rPr>
                <w:rFonts w:eastAsia="Times New Roman" w:cs="Arial"/>
                <w:b/>
                <w:bCs/>
                <w:szCs w:val="16"/>
              </w:rPr>
            </w:pPr>
            <w:r w:rsidRPr="006A361B">
              <w:rPr>
                <w:rFonts w:eastAsia="Times New Roman" w:cs="Arial"/>
                <w:b/>
                <w:bCs/>
                <w:szCs w:val="16"/>
                <w:lang w:eastAsia="en-GB"/>
              </w:rPr>
              <w:t>FY2026</w:t>
            </w:r>
          </w:p>
        </w:tc>
        <w:tc>
          <w:tcPr>
            <w:tcW w:w="1276" w:type="dxa"/>
            <w:tcBorders>
              <w:bottom w:val="single" w:sz="4" w:space="0" w:color="000000"/>
            </w:tcBorders>
            <w:vAlign w:val="center"/>
          </w:tcPr>
          <w:p w14:paraId="58F0C776" w14:textId="77777777" w:rsidR="00671F16" w:rsidRPr="006A361B" w:rsidRDefault="00671F16">
            <w:pPr>
              <w:spacing w:line="360" w:lineRule="auto"/>
              <w:jc w:val="center"/>
              <w:rPr>
                <w:rFonts w:eastAsia="Times New Roman" w:cs="Arial"/>
                <w:b/>
                <w:bCs/>
                <w:szCs w:val="16"/>
              </w:rPr>
            </w:pPr>
            <w:r w:rsidRPr="006A361B">
              <w:rPr>
                <w:rFonts w:eastAsia="Times New Roman" w:cs="Arial"/>
                <w:b/>
                <w:bCs/>
                <w:szCs w:val="16"/>
                <w:lang w:eastAsia="en-GB"/>
              </w:rPr>
              <w:t>FY2025</w:t>
            </w:r>
          </w:p>
        </w:tc>
      </w:tr>
      <w:tr w:rsidR="00671F16" w:rsidRPr="001A0FEC" w14:paraId="5D021A1B" w14:textId="77777777" w:rsidTr="00671F16">
        <w:trPr>
          <w:trHeight w:val="20"/>
          <w:jc w:val="center"/>
        </w:trPr>
        <w:tc>
          <w:tcPr>
            <w:tcW w:w="3969" w:type="dxa"/>
            <w:tcBorders>
              <w:top w:val="single" w:sz="4" w:space="0" w:color="000000"/>
            </w:tcBorders>
            <w:vAlign w:val="center"/>
          </w:tcPr>
          <w:p w14:paraId="11A5530E" w14:textId="77777777" w:rsidR="00671F16" w:rsidRPr="006A361B" w:rsidRDefault="00671F16">
            <w:pPr>
              <w:spacing w:line="360" w:lineRule="auto"/>
              <w:jc w:val="both"/>
              <w:rPr>
                <w:rFonts w:eastAsia="Times New Roman" w:cs="Arial"/>
                <w:b/>
                <w:bCs/>
                <w:szCs w:val="16"/>
              </w:rPr>
            </w:pPr>
            <w:r w:rsidRPr="006A361B">
              <w:rPr>
                <w:rFonts w:eastAsia="Times New Roman" w:cs="Arial"/>
                <w:szCs w:val="16"/>
                <w:lang w:eastAsia="en-GB"/>
              </w:rPr>
              <w:t>Revenue</w:t>
            </w:r>
          </w:p>
        </w:tc>
        <w:tc>
          <w:tcPr>
            <w:tcW w:w="1276" w:type="dxa"/>
            <w:tcBorders>
              <w:top w:val="single" w:sz="4" w:space="0" w:color="000000"/>
            </w:tcBorders>
            <w:vAlign w:val="center"/>
          </w:tcPr>
          <w:p w14:paraId="0E6FF164" w14:textId="77777777" w:rsidR="00671F16" w:rsidRPr="006A361B" w:rsidRDefault="00671F16">
            <w:pPr>
              <w:spacing w:line="360" w:lineRule="auto"/>
              <w:jc w:val="center"/>
              <w:rPr>
                <w:rFonts w:eastAsia="Times New Roman" w:cs="Arial"/>
                <w:b/>
                <w:bCs/>
                <w:szCs w:val="16"/>
              </w:rPr>
            </w:pPr>
            <w:r w:rsidRPr="006A361B">
              <w:rPr>
                <w:rFonts w:eastAsia="Times New Roman" w:cs="Arial"/>
                <w:b/>
                <w:bCs/>
                <w:szCs w:val="16"/>
                <w:lang w:eastAsia="en-GB"/>
              </w:rPr>
              <w:t>£217.9m</w:t>
            </w:r>
          </w:p>
        </w:tc>
        <w:tc>
          <w:tcPr>
            <w:tcW w:w="1276" w:type="dxa"/>
            <w:tcBorders>
              <w:top w:val="single" w:sz="4" w:space="0" w:color="000000"/>
            </w:tcBorders>
            <w:vAlign w:val="center"/>
          </w:tcPr>
          <w:p w14:paraId="778C50BB" w14:textId="33738506" w:rsidR="00671F16" w:rsidRPr="006A361B" w:rsidRDefault="00671F16">
            <w:pPr>
              <w:spacing w:line="360" w:lineRule="auto"/>
              <w:jc w:val="center"/>
              <w:rPr>
                <w:rFonts w:eastAsia="Times New Roman" w:cs="Arial"/>
                <w:b/>
                <w:bCs/>
                <w:szCs w:val="16"/>
              </w:rPr>
            </w:pPr>
            <w:r w:rsidRPr="006A361B">
              <w:rPr>
                <w:rFonts w:eastAsia="Times New Roman" w:cs="Arial"/>
                <w:b/>
                <w:bCs/>
                <w:szCs w:val="16"/>
                <w:lang w:eastAsia="en-GB"/>
              </w:rPr>
              <w:t>£225.4</w:t>
            </w:r>
            <w:r w:rsidR="00094152">
              <w:rPr>
                <w:rFonts w:eastAsia="Times New Roman" w:cs="Arial"/>
                <w:b/>
                <w:bCs/>
                <w:szCs w:val="16"/>
                <w:lang w:eastAsia="en-GB"/>
              </w:rPr>
              <w:t>m</w:t>
            </w:r>
          </w:p>
        </w:tc>
      </w:tr>
      <w:tr w:rsidR="00671F16" w:rsidRPr="001A0FEC" w14:paraId="631D0CE7" w14:textId="77777777" w:rsidTr="00671F16">
        <w:trPr>
          <w:trHeight w:val="313"/>
          <w:jc w:val="center"/>
        </w:trPr>
        <w:tc>
          <w:tcPr>
            <w:tcW w:w="3969" w:type="dxa"/>
            <w:vAlign w:val="center"/>
          </w:tcPr>
          <w:p w14:paraId="34B06789" w14:textId="6D77AFF2" w:rsidR="00671F16" w:rsidRPr="006A361B" w:rsidRDefault="00671F16">
            <w:pPr>
              <w:spacing w:line="360" w:lineRule="auto"/>
              <w:jc w:val="both"/>
              <w:rPr>
                <w:rFonts w:eastAsia="Times New Roman" w:cs="Arial"/>
                <w:b/>
                <w:bCs/>
                <w:szCs w:val="16"/>
              </w:rPr>
            </w:pPr>
            <w:r w:rsidRPr="006A361B">
              <w:rPr>
                <w:rFonts w:eastAsia="Times New Roman" w:cs="Arial"/>
                <w:szCs w:val="16"/>
                <w:lang w:eastAsia="en-GB"/>
              </w:rPr>
              <w:t>Adjusted</w:t>
            </w:r>
            <w:r w:rsidRPr="006A361B">
              <w:rPr>
                <w:rFonts w:eastAsia="Times New Roman" w:cs="Arial"/>
                <w:szCs w:val="16"/>
                <w:vertAlign w:val="superscript"/>
                <w:lang w:eastAsia="en-GB"/>
              </w:rPr>
              <w:t>(</w:t>
            </w:r>
            <w:r w:rsidR="00091C0C">
              <w:rPr>
                <w:rFonts w:eastAsia="Times New Roman" w:cs="Arial"/>
                <w:szCs w:val="16"/>
                <w:vertAlign w:val="superscript"/>
                <w:lang w:eastAsia="en-GB"/>
              </w:rPr>
              <w:t>b</w:t>
            </w:r>
            <w:r w:rsidRPr="006A361B">
              <w:rPr>
                <w:rFonts w:eastAsia="Times New Roman" w:cs="Arial"/>
                <w:szCs w:val="16"/>
                <w:vertAlign w:val="superscript"/>
                <w:lang w:eastAsia="en-GB"/>
              </w:rPr>
              <w:t>)</w:t>
            </w:r>
          </w:p>
        </w:tc>
        <w:tc>
          <w:tcPr>
            <w:tcW w:w="1276" w:type="dxa"/>
          </w:tcPr>
          <w:p w14:paraId="6E80B18F" w14:textId="77777777" w:rsidR="00671F16" w:rsidRPr="006A361B" w:rsidRDefault="00671F16">
            <w:pPr>
              <w:spacing w:line="360" w:lineRule="auto"/>
              <w:jc w:val="center"/>
              <w:rPr>
                <w:rFonts w:eastAsia="Times New Roman" w:cs="Arial"/>
                <w:b/>
                <w:bCs/>
                <w:szCs w:val="16"/>
              </w:rPr>
            </w:pPr>
          </w:p>
        </w:tc>
        <w:tc>
          <w:tcPr>
            <w:tcW w:w="1276" w:type="dxa"/>
          </w:tcPr>
          <w:p w14:paraId="5A289D07" w14:textId="77777777" w:rsidR="00671F16" w:rsidRPr="006A361B" w:rsidRDefault="00671F16">
            <w:pPr>
              <w:spacing w:line="360" w:lineRule="auto"/>
              <w:jc w:val="center"/>
              <w:rPr>
                <w:rFonts w:eastAsia="Times New Roman" w:cs="Arial"/>
                <w:b/>
                <w:bCs/>
                <w:szCs w:val="16"/>
              </w:rPr>
            </w:pPr>
          </w:p>
        </w:tc>
      </w:tr>
      <w:tr w:rsidR="00671F16" w:rsidRPr="001A0FEC" w14:paraId="301282F6" w14:textId="77777777" w:rsidTr="00671F16">
        <w:trPr>
          <w:trHeight w:val="20"/>
          <w:jc w:val="center"/>
        </w:trPr>
        <w:tc>
          <w:tcPr>
            <w:tcW w:w="3969" w:type="dxa"/>
            <w:vAlign w:val="center"/>
          </w:tcPr>
          <w:p w14:paraId="6C84E151" w14:textId="77777777" w:rsidR="00671F16" w:rsidRPr="00C21D90" w:rsidRDefault="00671F16">
            <w:pPr>
              <w:numPr>
                <w:ilvl w:val="0"/>
                <w:numId w:val="43"/>
              </w:numPr>
              <w:spacing w:line="360" w:lineRule="auto"/>
              <w:contextualSpacing/>
              <w:jc w:val="both"/>
              <w:rPr>
                <w:rFonts w:eastAsia="Times New Roman" w:cs="Arial"/>
                <w:b/>
                <w:bCs/>
                <w:szCs w:val="16"/>
              </w:rPr>
            </w:pPr>
            <w:r w:rsidRPr="00C21D90">
              <w:rPr>
                <w:rFonts w:eastAsia="Times New Roman" w:cs="Arial"/>
                <w:szCs w:val="16"/>
                <w:lang w:eastAsia="en-GB"/>
              </w:rPr>
              <w:t>Operating profit</w:t>
            </w:r>
          </w:p>
        </w:tc>
        <w:tc>
          <w:tcPr>
            <w:tcW w:w="1276" w:type="dxa"/>
            <w:vAlign w:val="center"/>
          </w:tcPr>
          <w:p w14:paraId="40C4D3BE" w14:textId="5C81D34C" w:rsidR="00671F16" w:rsidRPr="00C21D90" w:rsidRDefault="00671F16">
            <w:pPr>
              <w:spacing w:line="360" w:lineRule="auto"/>
              <w:jc w:val="center"/>
              <w:rPr>
                <w:rFonts w:eastAsia="Times New Roman" w:cs="Arial"/>
                <w:b/>
                <w:bCs/>
                <w:szCs w:val="16"/>
              </w:rPr>
            </w:pPr>
            <w:r w:rsidRPr="00C21D90">
              <w:rPr>
                <w:rFonts w:eastAsia="Times New Roman" w:cs="Arial"/>
                <w:b/>
                <w:bCs/>
                <w:szCs w:val="16"/>
                <w:lang w:eastAsia="en-GB"/>
              </w:rPr>
              <w:t>£9.</w:t>
            </w:r>
            <w:r w:rsidRPr="00C21D90" w:rsidDel="00771E13">
              <w:rPr>
                <w:rFonts w:eastAsia="Times New Roman" w:cs="Arial"/>
                <w:b/>
                <w:bCs/>
                <w:szCs w:val="16"/>
                <w:lang w:eastAsia="en-GB"/>
              </w:rPr>
              <w:t>6m</w:t>
            </w:r>
          </w:p>
        </w:tc>
        <w:tc>
          <w:tcPr>
            <w:tcW w:w="1276" w:type="dxa"/>
            <w:vAlign w:val="center"/>
          </w:tcPr>
          <w:p w14:paraId="59FBE87A" w14:textId="3B171272" w:rsidR="00671F16" w:rsidRPr="00C21D90" w:rsidRDefault="00671F16">
            <w:pPr>
              <w:spacing w:line="360" w:lineRule="auto"/>
              <w:jc w:val="center"/>
              <w:rPr>
                <w:rFonts w:eastAsia="Times New Roman" w:cs="Arial"/>
                <w:b/>
                <w:bCs/>
                <w:szCs w:val="16"/>
              </w:rPr>
            </w:pPr>
            <w:r w:rsidRPr="00C21D90">
              <w:rPr>
                <w:rFonts w:eastAsia="Times New Roman" w:cs="Arial"/>
                <w:b/>
                <w:bCs/>
                <w:szCs w:val="16"/>
                <w:lang w:eastAsia="en-GB"/>
              </w:rPr>
              <w:t>£1</w:t>
            </w:r>
            <w:r w:rsidR="00E50BAE">
              <w:rPr>
                <w:rFonts w:eastAsia="Times New Roman" w:cs="Arial"/>
                <w:b/>
                <w:bCs/>
                <w:szCs w:val="16"/>
                <w:lang w:eastAsia="en-GB"/>
              </w:rPr>
              <w:t>6.0</w:t>
            </w:r>
            <w:r w:rsidRPr="00C21D90">
              <w:rPr>
                <w:rFonts w:eastAsia="Times New Roman" w:cs="Arial"/>
                <w:b/>
                <w:bCs/>
                <w:szCs w:val="16"/>
                <w:lang w:eastAsia="en-GB"/>
              </w:rPr>
              <w:t>m</w:t>
            </w:r>
          </w:p>
        </w:tc>
      </w:tr>
      <w:tr w:rsidR="00671F16" w:rsidRPr="001A0FEC" w14:paraId="0BA9F050" w14:textId="77777777" w:rsidTr="00671F16">
        <w:trPr>
          <w:trHeight w:val="20"/>
          <w:jc w:val="center"/>
        </w:trPr>
        <w:tc>
          <w:tcPr>
            <w:tcW w:w="3969" w:type="dxa"/>
            <w:vAlign w:val="center"/>
          </w:tcPr>
          <w:p w14:paraId="5136EDC2" w14:textId="77777777" w:rsidR="00671F16" w:rsidRPr="00C21D90" w:rsidRDefault="00671F16">
            <w:pPr>
              <w:numPr>
                <w:ilvl w:val="0"/>
                <w:numId w:val="43"/>
              </w:numPr>
              <w:spacing w:line="360" w:lineRule="auto"/>
              <w:contextualSpacing/>
              <w:jc w:val="both"/>
              <w:rPr>
                <w:rFonts w:eastAsia="Times New Roman" w:cs="Arial"/>
                <w:szCs w:val="16"/>
                <w:lang w:eastAsia="en-GB"/>
              </w:rPr>
            </w:pPr>
            <w:r w:rsidRPr="00C21D90">
              <w:rPr>
                <w:rFonts w:eastAsia="Times New Roman" w:cs="Arial"/>
                <w:szCs w:val="16"/>
                <w:lang w:eastAsia="en-GB"/>
              </w:rPr>
              <w:t>Profit before tax</w:t>
            </w:r>
          </w:p>
        </w:tc>
        <w:tc>
          <w:tcPr>
            <w:tcW w:w="1276" w:type="dxa"/>
            <w:vAlign w:val="center"/>
          </w:tcPr>
          <w:p w14:paraId="434C15E0" w14:textId="7B93E0D9" w:rsidR="00671F16" w:rsidRPr="00C21D90" w:rsidRDefault="00671F16">
            <w:pPr>
              <w:spacing w:line="360" w:lineRule="auto"/>
              <w:jc w:val="center"/>
              <w:rPr>
                <w:rFonts w:eastAsia="Times New Roman" w:cs="Arial"/>
                <w:b/>
                <w:bCs/>
                <w:szCs w:val="16"/>
              </w:rPr>
            </w:pPr>
            <w:r w:rsidRPr="00C21D90">
              <w:rPr>
                <w:rFonts w:eastAsia="Times New Roman" w:cs="Arial"/>
                <w:b/>
                <w:bCs/>
                <w:szCs w:val="16"/>
                <w:lang w:eastAsia="en-GB"/>
              </w:rPr>
              <w:t>£8.</w:t>
            </w:r>
            <w:r w:rsidRPr="00C21D90" w:rsidDel="005A3679">
              <w:rPr>
                <w:rFonts w:eastAsia="Times New Roman" w:cs="Arial"/>
                <w:b/>
                <w:bCs/>
                <w:szCs w:val="16"/>
                <w:lang w:eastAsia="en-GB"/>
              </w:rPr>
              <w:t>6m</w:t>
            </w:r>
          </w:p>
        </w:tc>
        <w:tc>
          <w:tcPr>
            <w:tcW w:w="1276" w:type="dxa"/>
            <w:vAlign w:val="center"/>
          </w:tcPr>
          <w:p w14:paraId="58F00984" w14:textId="7F2B8384" w:rsidR="00671F16" w:rsidRPr="00C21D90" w:rsidRDefault="00671F16">
            <w:pPr>
              <w:spacing w:line="360" w:lineRule="auto"/>
              <w:jc w:val="center"/>
              <w:rPr>
                <w:rFonts w:eastAsia="Times New Roman" w:cs="Arial"/>
                <w:b/>
                <w:bCs/>
                <w:szCs w:val="16"/>
              </w:rPr>
            </w:pPr>
            <w:r w:rsidRPr="00C21D90">
              <w:rPr>
                <w:rFonts w:eastAsia="Times New Roman" w:cs="Arial"/>
                <w:b/>
                <w:bCs/>
                <w:szCs w:val="16"/>
                <w:lang w:eastAsia="en-GB"/>
              </w:rPr>
              <w:t>£14.</w:t>
            </w:r>
            <w:r w:rsidR="007A41B5">
              <w:rPr>
                <w:rFonts w:eastAsia="Times New Roman" w:cs="Arial"/>
                <w:b/>
                <w:bCs/>
                <w:szCs w:val="16"/>
                <w:lang w:eastAsia="en-GB"/>
              </w:rPr>
              <w:t>9</w:t>
            </w:r>
            <w:r w:rsidR="007A41B5" w:rsidRPr="00C21D90">
              <w:rPr>
                <w:rFonts w:eastAsia="Times New Roman" w:cs="Arial"/>
                <w:b/>
                <w:bCs/>
                <w:szCs w:val="16"/>
                <w:lang w:eastAsia="en-GB"/>
              </w:rPr>
              <w:t>m</w:t>
            </w:r>
          </w:p>
        </w:tc>
      </w:tr>
      <w:tr w:rsidR="00671F16" w:rsidRPr="001A0FEC" w14:paraId="12903F4B" w14:textId="77777777" w:rsidTr="00671F16">
        <w:trPr>
          <w:trHeight w:val="20"/>
          <w:jc w:val="center"/>
        </w:trPr>
        <w:tc>
          <w:tcPr>
            <w:tcW w:w="3969" w:type="dxa"/>
            <w:vAlign w:val="center"/>
          </w:tcPr>
          <w:p w14:paraId="1174DAFF" w14:textId="77777777" w:rsidR="00671F16" w:rsidRPr="004F62BA" w:rsidRDefault="00671F16">
            <w:pPr>
              <w:numPr>
                <w:ilvl w:val="0"/>
                <w:numId w:val="43"/>
              </w:numPr>
              <w:spacing w:line="360" w:lineRule="auto"/>
              <w:contextualSpacing/>
              <w:jc w:val="both"/>
              <w:rPr>
                <w:rFonts w:eastAsia="Times New Roman" w:cs="Arial"/>
                <w:szCs w:val="16"/>
                <w:lang w:eastAsia="en-GB"/>
              </w:rPr>
            </w:pPr>
            <w:r w:rsidRPr="004F62BA">
              <w:rPr>
                <w:rFonts w:eastAsia="Times New Roman" w:cs="Arial"/>
                <w:szCs w:val="16"/>
                <w:lang w:eastAsia="en-GB"/>
              </w:rPr>
              <w:t>Diluted earnings per share</w:t>
            </w:r>
          </w:p>
        </w:tc>
        <w:tc>
          <w:tcPr>
            <w:tcW w:w="1276" w:type="dxa"/>
            <w:vAlign w:val="center"/>
          </w:tcPr>
          <w:p w14:paraId="4B022960" w14:textId="77777777" w:rsidR="00671F16" w:rsidRPr="004F62BA" w:rsidRDefault="00671F16">
            <w:pPr>
              <w:spacing w:line="360" w:lineRule="auto"/>
              <w:jc w:val="center"/>
              <w:rPr>
                <w:rFonts w:eastAsia="Times New Roman" w:cs="Arial"/>
                <w:b/>
                <w:bCs/>
                <w:szCs w:val="16"/>
              </w:rPr>
            </w:pPr>
            <w:r w:rsidRPr="004F62BA">
              <w:rPr>
                <w:rFonts w:eastAsia="Times New Roman" w:cs="Arial"/>
                <w:b/>
                <w:bCs/>
                <w:szCs w:val="16"/>
                <w:lang w:eastAsia="en-GB"/>
              </w:rPr>
              <w:t>7.2p</w:t>
            </w:r>
          </w:p>
        </w:tc>
        <w:tc>
          <w:tcPr>
            <w:tcW w:w="1276" w:type="dxa"/>
            <w:vAlign w:val="center"/>
          </w:tcPr>
          <w:p w14:paraId="2CFA1F51" w14:textId="7325E7A7" w:rsidR="00671F16" w:rsidRPr="004F62BA" w:rsidRDefault="00671F16">
            <w:pPr>
              <w:spacing w:line="360" w:lineRule="auto"/>
              <w:jc w:val="center"/>
              <w:rPr>
                <w:rFonts w:eastAsia="Times New Roman" w:cs="Arial"/>
                <w:b/>
                <w:bCs/>
                <w:szCs w:val="16"/>
              </w:rPr>
            </w:pPr>
            <w:r>
              <w:rPr>
                <w:rFonts w:eastAsia="Times New Roman" w:cs="Arial"/>
                <w:b/>
                <w:bCs/>
                <w:szCs w:val="16"/>
                <w:lang w:eastAsia="en-GB"/>
              </w:rPr>
              <w:t>10.</w:t>
            </w:r>
            <w:r w:rsidR="005A3679">
              <w:rPr>
                <w:rFonts w:eastAsia="Times New Roman" w:cs="Arial"/>
                <w:b/>
                <w:bCs/>
                <w:szCs w:val="16"/>
                <w:lang w:eastAsia="en-GB"/>
              </w:rPr>
              <w:t>0</w:t>
            </w:r>
            <w:r w:rsidR="008B717D">
              <w:rPr>
                <w:rFonts w:eastAsia="Times New Roman" w:cs="Arial"/>
                <w:b/>
                <w:bCs/>
                <w:szCs w:val="16"/>
                <w:lang w:eastAsia="en-GB"/>
              </w:rPr>
              <w:t>p</w:t>
            </w:r>
          </w:p>
        </w:tc>
      </w:tr>
      <w:tr w:rsidR="00671F16" w:rsidRPr="001A0FEC" w14:paraId="0649326C" w14:textId="77777777" w:rsidTr="00671F16">
        <w:trPr>
          <w:trHeight w:val="20"/>
          <w:jc w:val="center"/>
        </w:trPr>
        <w:tc>
          <w:tcPr>
            <w:tcW w:w="3969" w:type="dxa"/>
            <w:vAlign w:val="center"/>
          </w:tcPr>
          <w:p w14:paraId="42D8E40E" w14:textId="77777777" w:rsidR="00671F16" w:rsidRPr="00D311C7" w:rsidRDefault="00671F16">
            <w:pPr>
              <w:spacing w:line="360" w:lineRule="auto"/>
              <w:jc w:val="both"/>
              <w:rPr>
                <w:rFonts w:eastAsia="Times New Roman" w:cs="Arial"/>
                <w:b/>
                <w:bCs/>
                <w:szCs w:val="16"/>
              </w:rPr>
            </w:pPr>
            <w:r w:rsidRPr="00D311C7">
              <w:rPr>
                <w:rFonts w:eastAsia="Times New Roman" w:cs="Arial"/>
                <w:szCs w:val="16"/>
                <w:lang w:eastAsia="en-GB"/>
              </w:rPr>
              <w:t>Reported</w:t>
            </w:r>
          </w:p>
        </w:tc>
        <w:tc>
          <w:tcPr>
            <w:tcW w:w="1276" w:type="dxa"/>
            <w:vAlign w:val="center"/>
          </w:tcPr>
          <w:p w14:paraId="15B1D5B0" w14:textId="77777777" w:rsidR="00671F16" w:rsidRPr="00D311C7" w:rsidRDefault="00671F16">
            <w:pPr>
              <w:spacing w:line="360" w:lineRule="auto"/>
              <w:jc w:val="center"/>
              <w:rPr>
                <w:rFonts w:eastAsia="Times New Roman" w:cs="Arial"/>
                <w:b/>
                <w:bCs/>
                <w:szCs w:val="16"/>
              </w:rPr>
            </w:pPr>
          </w:p>
        </w:tc>
        <w:tc>
          <w:tcPr>
            <w:tcW w:w="1276" w:type="dxa"/>
            <w:vAlign w:val="center"/>
          </w:tcPr>
          <w:p w14:paraId="625F8A4A" w14:textId="77777777" w:rsidR="00671F16" w:rsidRPr="00D311C7" w:rsidRDefault="00671F16">
            <w:pPr>
              <w:spacing w:line="360" w:lineRule="auto"/>
              <w:jc w:val="center"/>
              <w:rPr>
                <w:rFonts w:eastAsia="Times New Roman" w:cs="Arial"/>
                <w:b/>
                <w:bCs/>
                <w:szCs w:val="16"/>
              </w:rPr>
            </w:pPr>
          </w:p>
        </w:tc>
      </w:tr>
      <w:tr w:rsidR="00671F16" w:rsidRPr="001A0FEC" w14:paraId="27E8E3D2" w14:textId="77777777" w:rsidTr="00671F16">
        <w:trPr>
          <w:trHeight w:val="20"/>
          <w:jc w:val="center"/>
        </w:trPr>
        <w:tc>
          <w:tcPr>
            <w:tcW w:w="3969" w:type="dxa"/>
            <w:vAlign w:val="center"/>
          </w:tcPr>
          <w:p w14:paraId="411FFE2D" w14:textId="77777777" w:rsidR="00671F16" w:rsidRPr="00D311C7" w:rsidRDefault="00671F16">
            <w:pPr>
              <w:numPr>
                <w:ilvl w:val="0"/>
                <w:numId w:val="43"/>
              </w:numPr>
              <w:spacing w:line="360" w:lineRule="auto"/>
              <w:contextualSpacing/>
              <w:jc w:val="both"/>
              <w:rPr>
                <w:rFonts w:eastAsia="Times New Roman" w:cs="Arial"/>
                <w:szCs w:val="16"/>
                <w:lang w:eastAsia="en-GB"/>
              </w:rPr>
            </w:pPr>
            <w:r w:rsidRPr="00D311C7">
              <w:rPr>
                <w:rFonts w:eastAsia="Times New Roman" w:cs="Arial"/>
                <w:szCs w:val="16"/>
                <w:lang w:eastAsia="en-GB"/>
              </w:rPr>
              <w:t>Operating profit</w:t>
            </w:r>
          </w:p>
        </w:tc>
        <w:tc>
          <w:tcPr>
            <w:tcW w:w="1276" w:type="dxa"/>
            <w:vAlign w:val="center"/>
          </w:tcPr>
          <w:p w14:paraId="0366CCE2" w14:textId="5B0A3FEE" w:rsidR="00671F16" w:rsidRPr="00D311C7" w:rsidRDefault="00671F16">
            <w:pPr>
              <w:spacing w:line="360" w:lineRule="auto"/>
              <w:jc w:val="center"/>
              <w:rPr>
                <w:rFonts w:eastAsia="Times New Roman" w:cs="Arial"/>
                <w:b/>
                <w:bCs/>
                <w:szCs w:val="16"/>
              </w:rPr>
            </w:pPr>
            <w:r w:rsidRPr="00D311C7">
              <w:rPr>
                <w:rFonts w:eastAsia="Times New Roman" w:cs="Arial"/>
                <w:b/>
                <w:bCs/>
                <w:szCs w:val="16"/>
                <w:lang w:eastAsia="en-GB"/>
              </w:rPr>
              <w:t>£</w:t>
            </w:r>
            <w:r w:rsidR="0066333A">
              <w:rPr>
                <w:rFonts w:eastAsia="Times New Roman" w:cs="Arial"/>
                <w:b/>
                <w:bCs/>
                <w:szCs w:val="16"/>
                <w:lang w:eastAsia="en-GB"/>
              </w:rPr>
              <w:t>7.5</w:t>
            </w:r>
            <w:r w:rsidRPr="00D311C7">
              <w:rPr>
                <w:rFonts w:eastAsia="Times New Roman" w:cs="Arial"/>
                <w:b/>
                <w:bCs/>
                <w:szCs w:val="16"/>
                <w:lang w:eastAsia="en-GB"/>
              </w:rPr>
              <w:t>m</w:t>
            </w:r>
          </w:p>
        </w:tc>
        <w:tc>
          <w:tcPr>
            <w:tcW w:w="1276" w:type="dxa"/>
            <w:vAlign w:val="center"/>
          </w:tcPr>
          <w:p w14:paraId="19CEA6FC" w14:textId="43615291" w:rsidR="00671F16" w:rsidRPr="00D311C7" w:rsidRDefault="00671F16">
            <w:pPr>
              <w:spacing w:line="360" w:lineRule="auto"/>
              <w:jc w:val="center"/>
              <w:rPr>
                <w:rFonts w:eastAsia="Times New Roman" w:cs="Arial"/>
                <w:b/>
                <w:bCs/>
                <w:szCs w:val="16"/>
              </w:rPr>
            </w:pPr>
            <w:r w:rsidRPr="00D311C7">
              <w:rPr>
                <w:rFonts w:eastAsia="Times New Roman" w:cs="Arial"/>
                <w:b/>
                <w:bCs/>
                <w:szCs w:val="16"/>
                <w:lang w:eastAsia="en-GB"/>
              </w:rPr>
              <w:t>£10.</w:t>
            </w:r>
            <w:r w:rsidR="007A41B5">
              <w:rPr>
                <w:rFonts w:eastAsia="Times New Roman" w:cs="Arial"/>
                <w:b/>
                <w:bCs/>
                <w:szCs w:val="16"/>
                <w:lang w:eastAsia="en-GB"/>
              </w:rPr>
              <w:t>3</w:t>
            </w:r>
            <w:r w:rsidRPr="00D311C7">
              <w:rPr>
                <w:rFonts w:eastAsia="Times New Roman" w:cs="Arial"/>
                <w:b/>
                <w:bCs/>
                <w:szCs w:val="16"/>
                <w:lang w:eastAsia="en-GB"/>
              </w:rPr>
              <w:t>m</w:t>
            </w:r>
          </w:p>
        </w:tc>
      </w:tr>
      <w:tr w:rsidR="00671F16" w:rsidRPr="001A0FEC" w14:paraId="349C5741" w14:textId="77777777" w:rsidTr="00671F16">
        <w:trPr>
          <w:trHeight w:val="20"/>
          <w:jc w:val="center"/>
        </w:trPr>
        <w:tc>
          <w:tcPr>
            <w:tcW w:w="3969" w:type="dxa"/>
            <w:vAlign w:val="center"/>
          </w:tcPr>
          <w:p w14:paraId="2C78B3B3" w14:textId="77777777" w:rsidR="00671F16" w:rsidRPr="00D311C7" w:rsidRDefault="00671F16">
            <w:pPr>
              <w:numPr>
                <w:ilvl w:val="0"/>
                <w:numId w:val="43"/>
              </w:numPr>
              <w:spacing w:line="360" w:lineRule="auto"/>
              <w:contextualSpacing/>
              <w:jc w:val="both"/>
              <w:rPr>
                <w:rFonts w:eastAsia="Times New Roman" w:cs="Arial"/>
                <w:szCs w:val="16"/>
                <w:lang w:eastAsia="en-GB"/>
              </w:rPr>
            </w:pPr>
            <w:r w:rsidRPr="00D311C7">
              <w:rPr>
                <w:rFonts w:eastAsia="Times New Roman" w:cs="Arial"/>
                <w:szCs w:val="16"/>
                <w:lang w:eastAsia="en-GB"/>
              </w:rPr>
              <w:t>Profit before tax</w:t>
            </w:r>
          </w:p>
        </w:tc>
        <w:tc>
          <w:tcPr>
            <w:tcW w:w="1276" w:type="dxa"/>
            <w:vAlign w:val="center"/>
          </w:tcPr>
          <w:p w14:paraId="2D92ADA6" w14:textId="3BE76642" w:rsidR="00671F16" w:rsidRPr="00D311C7" w:rsidRDefault="00671F16">
            <w:pPr>
              <w:spacing w:line="360" w:lineRule="auto"/>
              <w:jc w:val="center"/>
              <w:rPr>
                <w:rFonts w:eastAsia="Times New Roman" w:cs="Arial"/>
                <w:b/>
                <w:bCs/>
                <w:szCs w:val="16"/>
              </w:rPr>
            </w:pPr>
            <w:r w:rsidRPr="00D311C7">
              <w:rPr>
                <w:rFonts w:eastAsia="Times New Roman" w:cs="Arial"/>
                <w:b/>
                <w:bCs/>
                <w:szCs w:val="16"/>
                <w:lang w:eastAsia="en-GB"/>
              </w:rPr>
              <w:t>£</w:t>
            </w:r>
            <w:r w:rsidR="0066333A">
              <w:rPr>
                <w:rFonts w:eastAsia="Times New Roman" w:cs="Arial"/>
                <w:b/>
                <w:bCs/>
                <w:szCs w:val="16"/>
                <w:lang w:eastAsia="en-GB"/>
              </w:rPr>
              <w:t>6.3</w:t>
            </w:r>
            <w:r w:rsidRPr="00D311C7">
              <w:rPr>
                <w:rFonts w:eastAsia="Times New Roman" w:cs="Arial"/>
                <w:b/>
                <w:bCs/>
                <w:szCs w:val="16"/>
                <w:lang w:eastAsia="en-GB"/>
              </w:rPr>
              <w:t>m</w:t>
            </w:r>
          </w:p>
        </w:tc>
        <w:tc>
          <w:tcPr>
            <w:tcW w:w="1276" w:type="dxa"/>
            <w:vAlign w:val="center"/>
          </w:tcPr>
          <w:p w14:paraId="6F1C880D" w14:textId="07A96902" w:rsidR="00671F16" w:rsidRPr="00D311C7" w:rsidRDefault="00671F16">
            <w:pPr>
              <w:spacing w:line="360" w:lineRule="auto"/>
              <w:jc w:val="center"/>
              <w:rPr>
                <w:rFonts w:eastAsia="Times New Roman" w:cs="Arial"/>
                <w:b/>
                <w:bCs/>
                <w:szCs w:val="16"/>
              </w:rPr>
            </w:pPr>
            <w:r w:rsidRPr="00D311C7">
              <w:rPr>
                <w:rFonts w:eastAsia="Times New Roman" w:cs="Arial"/>
                <w:b/>
                <w:bCs/>
                <w:szCs w:val="16"/>
                <w:lang w:eastAsia="en-GB"/>
              </w:rPr>
              <w:t>£</w:t>
            </w:r>
            <w:r w:rsidR="007A41B5">
              <w:rPr>
                <w:rFonts w:eastAsia="Times New Roman" w:cs="Arial"/>
                <w:b/>
                <w:bCs/>
                <w:szCs w:val="16"/>
                <w:lang w:eastAsia="en-GB"/>
              </w:rPr>
              <w:t>9.0</w:t>
            </w:r>
            <w:r w:rsidRPr="00D311C7">
              <w:rPr>
                <w:rFonts w:eastAsia="Times New Roman" w:cs="Arial"/>
                <w:b/>
                <w:bCs/>
                <w:szCs w:val="16"/>
                <w:lang w:eastAsia="en-GB"/>
              </w:rPr>
              <w:t>m</w:t>
            </w:r>
          </w:p>
        </w:tc>
      </w:tr>
      <w:tr w:rsidR="00671F16" w:rsidRPr="001A0FEC" w14:paraId="4A850C54" w14:textId="77777777" w:rsidTr="00671F16">
        <w:trPr>
          <w:trHeight w:val="20"/>
          <w:jc w:val="center"/>
        </w:trPr>
        <w:tc>
          <w:tcPr>
            <w:tcW w:w="3969" w:type="dxa"/>
            <w:vAlign w:val="center"/>
          </w:tcPr>
          <w:p w14:paraId="6CCC2E41" w14:textId="77777777" w:rsidR="00671F16" w:rsidRPr="00D311C7" w:rsidRDefault="00671F16">
            <w:pPr>
              <w:numPr>
                <w:ilvl w:val="0"/>
                <w:numId w:val="43"/>
              </w:numPr>
              <w:spacing w:line="360" w:lineRule="auto"/>
              <w:contextualSpacing/>
              <w:jc w:val="both"/>
              <w:rPr>
                <w:rFonts w:eastAsia="Times New Roman" w:cs="Arial"/>
                <w:szCs w:val="16"/>
                <w:lang w:eastAsia="en-GB"/>
              </w:rPr>
            </w:pPr>
            <w:r w:rsidRPr="00D311C7">
              <w:rPr>
                <w:rFonts w:eastAsia="Times New Roman" w:cs="Arial"/>
                <w:szCs w:val="16"/>
                <w:lang w:eastAsia="en-GB"/>
              </w:rPr>
              <w:t>Diluted earnings per share</w:t>
            </w:r>
          </w:p>
        </w:tc>
        <w:tc>
          <w:tcPr>
            <w:tcW w:w="1276" w:type="dxa"/>
            <w:vAlign w:val="center"/>
          </w:tcPr>
          <w:p w14:paraId="7017650D" w14:textId="374ABF01" w:rsidR="00671F16" w:rsidRPr="00D311C7" w:rsidRDefault="00A6145D">
            <w:pPr>
              <w:spacing w:line="360" w:lineRule="auto"/>
              <w:jc w:val="center"/>
              <w:rPr>
                <w:rFonts w:eastAsia="Times New Roman" w:cs="Arial"/>
                <w:b/>
                <w:bCs/>
                <w:szCs w:val="16"/>
              </w:rPr>
            </w:pPr>
            <w:r>
              <w:rPr>
                <w:rFonts w:eastAsia="Times New Roman" w:cs="Arial"/>
                <w:b/>
                <w:bCs/>
                <w:szCs w:val="16"/>
                <w:lang w:eastAsia="en-GB"/>
              </w:rPr>
              <w:t>5.5</w:t>
            </w:r>
            <w:r w:rsidR="00671F16" w:rsidRPr="00D311C7">
              <w:rPr>
                <w:rFonts w:eastAsia="Times New Roman" w:cs="Arial"/>
                <w:b/>
                <w:bCs/>
                <w:szCs w:val="16"/>
                <w:lang w:eastAsia="en-GB"/>
              </w:rPr>
              <w:t>p</w:t>
            </w:r>
          </w:p>
        </w:tc>
        <w:tc>
          <w:tcPr>
            <w:tcW w:w="1276" w:type="dxa"/>
            <w:vAlign w:val="center"/>
          </w:tcPr>
          <w:p w14:paraId="4C8CA439" w14:textId="498E58B6" w:rsidR="00671F16" w:rsidRPr="00D311C7" w:rsidRDefault="00671F16">
            <w:pPr>
              <w:spacing w:line="360" w:lineRule="auto"/>
              <w:jc w:val="center"/>
              <w:rPr>
                <w:rFonts w:eastAsia="Times New Roman" w:cs="Arial"/>
                <w:b/>
                <w:bCs/>
                <w:szCs w:val="16"/>
              </w:rPr>
            </w:pPr>
            <w:r w:rsidRPr="00D311C7">
              <w:rPr>
                <w:rFonts w:eastAsia="Times New Roman" w:cs="Arial"/>
                <w:b/>
                <w:bCs/>
                <w:szCs w:val="16"/>
                <w:lang w:eastAsia="en-GB"/>
              </w:rPr>
              <w:t>4.</w:t>
            </w:r>
            <w:r w:rsidR="008E49FB">
              <w:rPr>
                <w:rFonts w:eastAsia="Times New Roman" w:cs="Arial"/>
                <w:b/>
                <w:bCs/>
                <w:szCs w:val="16"/>
                <w:lang w:eastAsia="en-GB"/>
              </w:rPr>
              <w:t>3</w:t>
            </w:r>
            <w:r w:rsidR="008E49FB" w:rsidRPr="00D311C7">
              <w:rPr>
                <w:rFonts w:eastAsia="Times New Roman" w:cs="Arial"/>
                <w:b/>
                <w:bCs/>
                <w:szCs w:val="16"/>
                <w:lang w:eastAsia="en-GB"/>
              </w:rPr>
              <w:t>p</w:t>
            </w:r>
          </w:p>
        </w:tc>
      </w:tr>
      <w:tr w:rsidR="00671F16" w:rsidRPr="001A0FEC" w14:paraId="44448648" w14:textId="77777777" w:rsidTr="00B931EC">
        <w:trPr>
          <w:trHeight w:val="20"/>
          <w:jc w:val="center"/>
        </w:trPr>
        <w:tc>
          <w:tcPr>
            <w:tcW w:w="3969" w:type="dxa"/>
            <w:vAlign w:val="center"/>
          </w:tcPr>
          <w:p w14:paraId="6D36C263" w14:textId="77777777" w:rsidR="00671F16" w:rsidRPr="00AD50CF" w:rsidRDefault="00671F16">
            <w:pPr>
              <w:spacing w:line="360" w:lineRule="auto"/>
              <w:jc w:val="both"/>
              <w:rPr>
                <w:rFonts w:eastAsia="Times New Roman" w:cs="Arial"/>
                <w:b/>
                <w:bCs/>
                <w:szCs w:val="16"/>
              </w:rPr>
            </w:pPr>
            <w:r w:rsidRPr="00AD50CF">
              <w:rPr>
                <w:rFonts w:eastAsia="Times New Roman" w:cs="Arial"/>
                <w:szCs w:val="16"/>
                <w:lang w:eastAsia="en-GB"/>
              </w:rPr>
              <w:t>Net cash as at the period end</w:t>
            </w:r>
          </w:p>
        </w:tc>
        <w:tc>
          <w:tcPr>
            <w:tcW w:w="1276" w:type="dxa"/>
            <w:vAlign w:val="center"/>
          </w:tcPr>
          <w:p w14:paraId="68CC41EE" w14:textId="74EE25AA" w:rsidR="00671F16" w:rsidRPr="00AD50CF" w:rsidRDefault="00671F16">
            <w:pPr>
              <w:spacing w:line="360" w:lineRule="auto"/>
              <w:jc w:val="center"/>
              <w:rPr>
                <w:rFonts w:eastAsia="Times New Roman" w:cs="Arial"/>
                <w:b/>
                <w:bCs/>
                <w:szCs w:val="16"/>
              </w:rPr>
            </w:pPr>
            <w:r w:rsidRPr="00AD50CF">
              <w:rPr>
                <w:rFonts w:eastAsia="Times New Roman" w:cs="Arial"/>
                <w:b/>
                <w:bCs/>
                <w:szCs w:val="16"/>
                <w:lang w:eastAsia="en-GB"/>
              </w:rPr>
              <w:t>£54.</w:t>
            </w:r>
            <w:r w:rsidR="00DC6087">
              <w:rPr>
                <w:rFonts w:eastAsia="Times New Roman" w:cs="Arial"/>
                <w:b/>
                <w:bCs/>
                <w:szCs w:val="16"/>
                <w:lang w:eastAsia="en-GB"/>
              </w:rPr>
              <w:t>6</w:t>
            </w:r>
            <w:r w:rsidRPr="00AD50CF">
              <w:rPr>
                <w:rFonts w:eastAsia="Times New Roman" w:cs="Arial"/>
                <w:b/>
                <w:bCs/>
                <w:szCs w:val="16"/>
                <w:lang w:eastAsia="en-GB"/>
              </w:rPr>
              <w:t>m</w:t>
            </w:r>
          </w:p>
        </w:tc>
        <w:tc>
          <w:tcPr>
            <w:tcW w:w="1276" w:type="dxa"/>
            <w:vAlign w:val="center"/>
          </w:tcPr>
          <w:p w14:paraId="7F0A2BF0" w14:textId="19175C20" w:rsidR="00671F16" w:rsidRPr="00AD50CF" w:rsidRDefault="00671F16">
            <w:pPr>
              <w:spacing w:line="360" w:lineRule="auto"/>
              <w:jc w:val="center"/>
              <w:rPr>
                <w:rFonts w:eastAsia="Times New Roman" w:cs="Arial"/>
                <w:b/>
                <w:bCs/>
                <w:szCs w:val="16"/>
              </w:rPr>
            </w:pPr>
            <w:r w:rsidRPr="00AD50CF">
              <w:rPr>
                <w:rFonts w:eastAsia="Times New Roman" w:cs="Arial"/>
                <w:b/>
                <w:bCs/>
                <w:szCs w:val="16"/>
                <w:lang w:eastAsia="en-GB"/>
              </w:rPr>
              <w:t>£</w:t>
            </w:r>
            <w:r w:rsidR="002B0D84" w:rsidRPr="00AD50CF">
              <w:rPr>
                <w:rFonts w:eastAsia="Times New Roman" w:cs="Arial"/>
                <w:b/>
                <w:bCs/>
                <w:szCs w:val="16"/>
                <w:lang w:eastAsia="en-GB"/>
              </w:rPr>
              <w:t>6</w:t>
            </w:r>
            <w:r w:rsidR="002B0D84">
              <w:rPr>
                <w:rFonts w:eastAsia="Times New Roman" w:cs="Arial"/>
                <w:b/>
                <w:bCs/>
                <w:szCs w:val="16"/>
                <w:lang w:eastAsia="en-GB"/>
              </w:rPr>
              <w:t>5</w:t>
            </w:r>
            <w:r>
              <w:rPr>
                <w:rFonts w:eastAsia="Times New Roman" w:cs="Arial"/>
                <w:b/>
                <w:bCs/>
                <w:szCs w:val="16"/>
                <w:lang w:eastAsia="en-GB"/>
              </w:rPr>
              <w:t>.</w:t>
            </w:r>
            <w:r w:rsidR="002B0D84">
              <w:rPr>
                <w:rFonts w:eastAsia="Times New Roman" w:cs="Arial"/>
                <w:b/>
                <w:bCs/>
                <w:szCs w:val="16"/>
                <w:lang w:eastAsia="en-GB"/>
              </w:rPr>
              <w:t>6</w:t>
            </w:r>
            <w:r w:rsidR="002B0D84" w:rsidRPr="00AD50CF">
              <w:rPr>
                <w:rFonts w:eastAsia="Times New Roman" w:cs="Arial"/>
                <w:b/>
                <w:bCs/>
                <w:szCs w:val="16"/>
                <w:lang w:eastAsia="en-GB"/>
              </w:rPr>
              <w:t>m</w:t>
            </w:r>
          </w:p>
        </w:tc>
      </w:tr>
      <w:tr w:rsidR="00C81137" w:rsidRPr="001A0FEC" w14:paraId="60629903" w14:textId="77777777" w:rsidTr="00671F16">
        <w:trPr>
          <w:trHeight w:val="20"/>
          <w:jc w:val="center"/>
        </w:trPr>
        <w:tc>
          <w:tcPr>
            <w:tcW w:w="3969" w:type="dxa"/>
            <w:tcBorders>
              <w:bottom w:val="single" w:sz="4" w:space="0" w:color="000000"/>
            </w:tcBorders>
            <w:vAlign w:val="center"/>
          </w:tcPr>
          <w:p w14:paraId="52F1740A" w14:textId="1DB61A50" w:rsidR="00C81137" w:rsidRPr="00AD50CF" w:rsidRDefault="00C81137">
            <w:pPr>
              <w:spacing w:line="360" w:lineRule="auto"/>
              <w:jc w:val="both"/>
              <w:rPr>
                <w:rFonts w:eastAsia="Times New Roman" w:cs="Arial"/>
                <w:szCs w:val="16"/>
                <w:lang w:eastAsia="en-GB"/>
              </w:rPr>
            </w:pPr>
            <w:r>
              <w:rPr>
                <w:rFonts w:eastAsia="Times New Roman" w:cs="Arial"/>
                <w:szCs w:val="16"/>
                <w:lang w:eastAsia="en-GB"/>
              </w:rPr>
              <w:t>Dividend</w:t>
            </w:r>
          </w:p>
        </w:tc>
        <w:tc>
          <w:tcPr>
            <w:tcW w:w="1276" w:type="dxa"/>
            <w:tcBorders>
              <w:bottom w:val="single" w:sz="4" w:space="0" w:color="000000"/>
            </w:tcBorders>
            <w:vAlign w:val="center"/>
          </w:tcPr>
          <w:p w14:paraId="13FD9142" w14:textId="0F662CB5" w:rsidR="00C81137" w:rsidRPr="00AD50CF" w:rsidRDefault="00C81137">
            <w:pPr>
              <w:spacing w:line="360" w:lineRule="auto"/>
              <w:jc w:val="center"/>
              <w:rPr>
                <w:rFonts w:eastAsia="Times New Roman" w:cs="Arial"/>
                <w:b/>
                <w:bCs/>
                <w:szCs w:val="16"/>
                <w:lang w:eastAsia="en-GB"/>
              </w:rPr>
            </w:pPr>
            <w:r>
              <w:rPr>
                <w:rFonts w:eastAsia="Times New Roman" w:cs="Arial"/>
                <w:b/>
                <w:bCs/>
                <w:szCs w:val="16"/>
                <w:lang w:eastAsia="en-GB"/>
              </w:rPr>
              <w:t>1.0p</w:t>
            </w:r>
          </w:p>
        </w:tc>
        <w:tc>
          <w:tcPr>
            <w:tcW w:w="1276" w:type="dxa"/>
            <w:tcBorders>
              <w:bottom w:val="single" w:sz="4" w:space="0" w:color="000000"/>
            </w:tcBorders>
            <w:vAlign w:val="center"/>
          </w:tcPr>
          <w:p w14:paraId="01BA3A7E" w14:textId="27BD638B" w:rsidR="00C81137" w:rsidRPr="00AD50CF" w:rsidRDefault="00C81137">
            <w:pPr>
              <w:spacing w:line="360" w:lineRule="auto"/>
              <w:jc w:val="center"/>
              <w:rPr>
                <w:rFonts w:eastAsia="Times New Roman" w:cs="Arial"/>
                <w:b/>
                <w:bCs/>
                <w:szCs w:val="16"/>
                <w:lang w:eastAsia="en-GB"/>
              </w:rPr>
            </w:pPr>
            <w:r>
              <w:rPr>
                <w:rFonts w:eastAsia="Times New Roman" w:cs="Arial"/>
                <w:b/>
                <w:bCs/>
                <w:szCs w:val="16"/>
                <w:lang w:eastAsia="en-GB"/>
              </w:rPr>
              <w:t>0.0p</w:t>
            </w:r>
          </w:p>
        </w:tc>
      </w:tr>
      <w:bookmarkEnd w:id="1"/>
    </w:tbl>
    <w:p w14:paraId="7FDDD2F0" w14:textId="77777777" w:rsidR="00302C9F" w:rsidRDefault="00302C9F" w:rsidP="00302C9F">
      <w:pPr>
        <w:spacing w:line="276" w:lineRule="auto"/>
        <w:jc w:val="both"/>
        <w:rPr>
          <w:rFonts w:eastAsia="Times New Roman" w:cs="Arial"/>
          <w:i/>
          <w:iCs/>
          <w:szCs w:val="16"/>
          <w:vertAlign w:val="superscript"/>
          <w:lang w:eastAsia="en-GB"/>
        </w:rPr>
      </w:pPr>
    </w:p>
    <w:p w14:paraId="31300574" w14:textId="2690F64C" w:rsidR="00302C9F" w:rsidRDefault="0070662C" w:rsidP="00302C9F">
      <w:pPr>
        <w:spacing w:line="276" w:lineRule="auto"/>
        <w:jc w:val="both"/>
        <w:rPr>
          <w:rFonts w:eastAsia="Times New Roman" w:cs="Arial"/>
          <w:i/>
          <w:iCs/>
          <w:szCs w:val="16"/>
          <w:lang w:eastAsia="en-GB"/>
        </w:rPr>
      </w:pPr>
      <w:r>
        <w:rPr>
          <w:rFonts w:eastAsia="Times New Roman" w:cs="Arial"/>
          <w:i/>
          <w:iCs/>
          <w:szCs w:val="16"/>
          <w:vertAlign w:val="superscript"/>
          <w:lang w:eastAsia="en-GB"/>
        </w:rPr>
        <w:t>(a)</w:t>
      </w:r>
      <w:r w:rsidR="00302C9F" w:rsidRPr="00D86ADD">
        <w:rPr>
          <w:rFonts w:eastAsia="Times New Roman" w:cs="Arial"/>
          <w:i/>
          <w:iCs/>
          <w:szCs w:val="16"/>
          <w:lang w:eastAsia="en-GB"/>
        </w:rPr>
        <w:t>Following the disposal of DG Americas, the following Executive Review is presented on a continuing Group basis. Reflecting this evolution of the Group, GBP has been adopted as its presentation currency during the year, prior year has been restated to reflect this</w:t>
      </w:r>
      <w:r w:rsidR="00302C9F" w:rsidRPr="00D86ADD" w:rsidDel="00717AAE">
        <w:rPr>
          <w:rFonts w:eastAsia="Times New Roman" w:cs="Arial"/>
          <w:i/>
          <w:iCs/>
          <w:szCs w:val="16"/>
          <w:lang w:eastAsia="en-GB"/>
        </w:rPr>
        <w:t>.</w:t>
      </w:r>
    </w:p>
    <w:p w14:paraId="0EDCFFB3" w14:textId="31923B78" w:rsidR="006622EA" w:rsidRDefault="008858D5" w:rsidP="006622EA">
      <w:pPr>
        <w:spacing w:line="276" w:lineRule="auto"/>
        <w:jc w:val="both"/>
        <w:rPr>
          <w:rFonts w:eastAsia="Times New Roman" w:cs="Arial"/>
          <w:i/>
          <w:szCs w:val="16"/>
          <w:lang w:eastAsia="en-GB"/>
        </w:rPr>
      </w:pPr>
      <w:r w:rsidRPr="00412773">
        <w:rPr>
          <w:rFonts w:eastAsia="Times New Roman" w:cs="Arial"/>
          <w:i/>
          <w:szCs w:val="16"/>
          <w:vertAlign w:val="superscript"/>
          <w:lang w:eastAsia="en-GB"/>
        </w:rPr>
        <w:t>(</w:t>
      </w:r>
      <w:r w:rsidR="0070662C">
        <w:rPr>
          <w:rFonts w:eastAsia="Times New Roman" w:cs="Arial"/>
          <w:i/>
          <w:szCs w:val="16"/>
          <w:vertAlign w:val="superscript"/>
          <w:lang w:eastAsia="en-GB"/>
        </w:rPr>
        <w:t>b</w:t>
      </w:r>
      <w:r w:rsidRPr="00412773">
        <w:rPr>
          <w:rFonts w:eastAsia="Times New Roman" w:cs="Arial"/>
          <w:i/>
          <w:szCs w:val="16"/>
          <w:vertAlign w:val="superscript"/>
          <w:lang w:eastAsia="en-GB"/>
        </w:rPr>
        <w:t>)</w:t>
      </w:r>
      <w:r w:rsidRPr="00412773">
        <w:rPr>
          <w:rFonts w:eastAsia="Times New Roman" w:cs="Arial"/>
          <w:i/>
          <w:szCs w:val="16"/>
          <w:lang w:eastAsia="en-GB"/>
        </w:rPr>
        <w:t xml:space="preserve"> Adjusted results exclude the impact of adjusting items – for further detail see alternative performance measures reconciliation within the detailed financial </w:t>
      </w:r>
      <w:bookmarkStart w:id="2" w:name="_Hlk10546091"/>
      <w:r w:rsidRPr="00412773">
        <w:rPr>
          <w:rFonts w:eastAsia="Times New Roman" w:cs="Arial"/>
          <w:i/>
          <w:szCs w:val="16"/>
          <w:lang w:eastAsia="en-GB"/>
        </w:rPr>
        <w:t>review</w:t>
      </w:r>
      <w:r w:rsidR="00685763">
        <w:rPr>
          <w:rFonts w:eastAsia="Times New Roman" w:cs="Arial"/>
          <w:i/>
          <w:szCs w:val="16"/>
          <w:lang w:eastAsia="en-GB"/>
        </w:rPr>
        <w:t>.</w:t>
      </w:r>
    </w:p>
    <w:p w14:paraId="683BAA4B" w14:textId="77777777" w:rsidR="0070662C" w:rsidRDefault="0070662C" w:rsidP="006622EA">
      <w:pPr>
        <w:spacing w:line="276" w:lineRule="auto"/>
        <w:jc w:val="both"/>
        <w:rPr>
          <w:rFonts w:eastAsia="Times New Roman" w:cs="Arial"/>
          <w:i/>
          <w:szCs w:val="16"/>
          <w:lang w:eastAsia="en-GB"/>
        </w:rPr>
      </w:pPr>
    </w:p>
    <w:bookmarkEnd w:id="2"/>
    <w:p w14:paraId="64CAE998" w14:textId="28FC9D1E" w:rsidR="00B42088" w:rsidRDefault="00B42088" w:rsidP="006F59AB">
      <w:pPr>
        <w:numPr>
          <w:ilvl w:val="0"/>
          <w:numId w:val="35"/>
        </w:numPr>
        <w:spacing w:line="276" w:lineRule="auto"/>
        <w:contextualSpacing/>
        <w:rPr>
          <w:rFonts w:eastAsia="MS Mincho" w:cs="Arial"/>
        </w:rPr>
      </w:pPr>
      <w:r>
        <w:rPr>
          <w:rFonts w:eastAsia="MS Mincho" w:cs="Arial"/>
        </w:rPr>
        <w:t>Revenue, profit margin and cash ahead of market expectations</w:t>
      </w:r>
      <w:r w:rsidR="006C5084">
        <w:rPr>
          <w:rFonts w:eastAsia="MS Mincho" w:cs="Arial"/>
        </w:rPr>
        <w:t>, as previously announced</w:t>
      </w:r>
      <w:r>
        <w:rPr>
          <w:rFonts w:eastAsia="MS Mincho" w:cs="Arial"/>
        </w:rPr>
        <w:t>:</w:t>
      </w:r>
    </w:p>
    <w:p w14:paraId="1C4D6BC2" w14:textId="6995EF4D" w:rsidR="006F59AB" w:rsidRPr="00E35AED" w:rsidRDefault="008858D5" w:rsidP="005B0EAC">
      <w:pPr>
        <w:numPr>
          <w:ilvl w:val="1"/>
          <w:numId w:val="35"/>
        </w:numPr>
        <w:spacing w:line="276" w:lineRule="auto"/>
        <w:contextualSpacing/>
        <w:rPr>
          <w:rFonts w:eastAsia="MS Mincho" w:cs="Arial"/>
        </w:rPr>
      </w:pPr>
      <w:r w:rsidRPr="00E35AED">
        <w:rPr>
          <w:rFonts w:eastAsia="MS Mincho" w:cs="Arial"/>
        </w:rPr>
        <w:t>Revenue decline</w:t>
      </w:r>
      <w:r w:rsidR="003B6E2F" w:rsidRPr="00E35AED">
        <w:rPr>
          <w:rFonts w:eastAsia="MS Mincho" w:cs="Arial"/>
        </w:rPr>
        <w:t xml:space="preserve"> of 3%</w:t>
      </w:r>
      <w:r w:rsidRPr="00E35AED">
        <w:rPr>
          <w:rFonts w:eastAsia="MS Mincho" w:cs="Arial"/>
        </w:rPr>
        <w:t xml:space="preserve"> </w:t>
      </w:r>
      <w:r w:rsidR="006F59AB" w:rsidRPr="00E35AED">
        <w:rPr>
          <w:rFonts w:eastAsia="MS Mincho" w:cs="Arial"/>
        </w:rPr>
        <w:t xml:space="preserve">reflecting </w:t>
      </w:r>
      <w:r w:rsidR="00C52BFE">
        <w:rPr>
          <w:rFonts w:eastAsia="MS Mincho" w:cs="Arial"/>
        </w:rPr>
        <w:t xml:space="preserve">the impact of tariffs, </w:t>
      </w:r>
      <w:r w:rsidR="006F59AB" w:rsidRPr="00E35AED">
        <w:rPr>
          <w:rFonts w:eastAsia="MS Mincho" w:cs="Arial"/>
        </w:rPr>
        <w:t xml:space="preserve">pricing </w:t>
      </w:r>
      <w:r w:rsidR="00C52BFE">
        <w:rPr>
          <w:rFonts w:eastAsia="MS Mincho" w:cs="Arial"/>
        </w:rPr>
        <w:t>pressures</w:t>
      </w:r>
      <w:r w:rsidR="00C52BFE" w:rsidRPr="00E35AED">
        <w:rPr>
          <w:rFonts w:eastAsia="MS Mincho" w:cs="Arial"/>
        </w:rPr>
        <w:t xml:space="preserve"> </w:t>
      </w:r>
      <w:r w:rsidR="006F59AB" w:rsidRPr="00E35AED">
        <w:rPr>
          <w:rFonts w:eastAsia="MS Mincho" w:cs="Arial"/>
        </w:rPr>
        <w:t>and softer UK demand</w:t>
      </w:r>
    </w:p>
    <w:p w14:paraId="5E5CC068" w14:textId="3E95F316" w:rsidR="008858D5" w:rsidRPr="00E35AED" w:rsidRDefault="002B3CCA" w:rsidP="005B0EAC">
      <w:pPr>
        <w:numPr>
          <w:ilvl w:val="1"/>
          <w:numId w:val="35"/>
        </w:numPr>
        <w:spacing w:line="276" w:lineRule="auto"/>
        <w:contextualSpacing/>
        <w:rPr>
          <w:rFonts w:eastAsia="MS Mincho" w:cs="Arial"/>
        </w:rPr>
      </w:pPr>
      <w:r w:rsidRPr="00E35AED">
        <w:rPr>
          <w:rFonts w:eastAsia="MS Mincho" w:cs="Arial"/>
        </w:rPr>
        <w:t xml:space="preserve">Adjusted operating profit </w:t>
      </w:r>
      <w:r w:rsidR="008858D5" w:rsidRPr="00E35AED">
        <w:rPr>
          <w:rFonts w:eastAsia="MS Mincho" w:cs="Arial"/>
        </w:rPr>
        <w:t>margin</w:t>
      </w:r>
      <w:r w:rsidR="000517DF" w:rsidRPr="00E35AED">
        <w:rPr>
          <w:rFonts w:eastAsia="MS Mincho" w:cs="Arial"/>
        </w:rPr>
        <w:t xml:space="preserve"> of 4.4%</w:t>
      </w:r>
      <w:r w:rsidR="008858D5" w:rsidRPr="00E35AED">
        <w:rPr>
          <w:rFonts w:eastAsia="MS Mincho" w:cs="Arial"/>
        </w:rPr>
        <w:t xml:space="preserve"> </w:t>
      </w:r>
    </w:p>
    <w:p w14:paraId="4C058039" w14:textId="582D57CC" w:rsidR="00055DC9" w:rsidRPr="00046BF9" w:rsidRDefault="00F904FB" w:rsidP="00046BF9">
      <w:pPr>
        <w:numPr>
          <w:ilvl w:val="1"/>
          <w:numId w:val="35"/>
        </w:numPr>
        <w:spacing w:line="276" w:lineRule="auto"/>
        <w:contextualSpacing/>
        <w:rPr>
          <w:rFonts w:eastAsia="MS Mincho" w:cs="Arial"/>
        </w:rPr>
      </w:pPr>
      <w:r w:rsidRPr="00046BF9">
        <w:rPr>
          <w:rFonts w:eastAsia="MS Mincho" w:cs="Arial"/>
        </w:rPr>
        <w:t>Strong cash generation</w:t>
      </w:r>
      <w:r w:rsidR="00332CA4" w:rsidRPr="00046BF9">
        <w:rPr>
          <w:rFonts w:eastAsia="MS Mincho" w:cs="Arial"/>
        </w:rPr>
        <w:t xml:space="preserve">, </w:t>
      </w:r>
      <w:r w:rsidR="006370D7" w:rsidRPr="00046BF9">
        <w:rPr>
          <w:rFonts w:eastAsia="MS Mincho" w:cs="Arial"/>
        </w:rPr>
        <w:t>with continuing operations generating £16.2m of net cash</w:t>
      </w:r>
      <w:r w:rsidR="00384081" w:rsidRPr="00046BF9">
        <w:rPr>
          <w:rFonts w:eastAsia="MS Mincho" w:cs="Arial"/>
        </w:rPr>
        <w:t xml:space="preserve"> (FY2025: £4.6m outflow)</w:t>
      </w:r>
      <w:r w:rsidR="009B3FD7" w:rsidRPr="00046BF9">
        <w:rPr>
          <w:rFonts w:eastAsia="MS Mincho" w:cs="Arial"/>
        </w:rPr>
        <w:t>;</w:t>
      </w:r>
      <w:r w:rsidR="0073780E" w:rsidRPr="00046BF9">
        <w:rPr>
          <w:rFonts w:eastAsia="MS Mincho" w:cs="Arial"/>
        </w:rPr>
        <w:t xml:space="preserve"> </w:t>
      </w:r>
      <w:r w:rsidR="009B3FD7" w:rsidRPr="00046BF9">
        <w:rPr>
          <w:rFonts w:eastAsia="MS Mincho" w:cs="Arial"/>
        </w:rPr>
        <w:t>y</w:t>
      </w:r>
      <w:r w:rsidR="0073780E" w:rsidRPr="00046BF9">
        <w:rPr>
          <w:rFonts w:eastAsia="MS Mincho" w:cs="Arial"/>
        </w:rPr>
        <w:t>ear-end</w:t>
      </w:r>
      <w:r w:rsidR="006370D7" w:rsidRPr="00046BF9">
        <w:rPr>
          <w:rFonts w:eastAsia="MS Mincho" w:cs="Arial"/>
        </w:rPr>
        <w:t xml:space="preserve"> </w:t>
      </w:r>
      <w:r w:rsidR="0073780E" w:rsidRPr="00046BF9">
        <w:rPr>
          <w:rFonts w:eastAsia="MS Mincho" w:cs="Arial"/>
        </w:rPr>
        <w:t xml:space="preserve">net </w:t>
      </w:r>
      <w:r w:rsidR="00055DC9" w:rsidRPr="00046BF9">
        <w:rPr>
          <w:rFonts w:eastAsia="MS Mincho" w:cs="Arial"/>
        </w:rPr>
        <w:t>cash of £54.</w:t>
      </w:r>
      <w:r w:rsidR="00750443" w:rsidRPr="00046BF9">
        <w:rPr>
          <w:rFonts w:eastAsia="MS Mincho" w:cs="Arial"/>
        </w:rPr>
        <w:t>6m</w:t>
      </w:r>
      <w:r w:rsidR="00E6394F" w:rsidRPr="00046BF9">
        <w:rPr>
          <w:rFonts w:eastAsia="MS Mincho" w:cs="Arial"/>
        </w:rPr>
        <w:t xml:space="preserve"> </w:t>
      </w:r>
      <w:r w:rsidR="00055DC9" w:rsidRPr="00046BF9">
        <w:rPr>
          <w:rFonts w:eastAsia="MS Mincho" w:cs="Arial"/>
        </w:rPr>
        <w:t>(FY2025: £6</w:t>
      </w:r>
      <w:r w:rsidR="005D7769" w:rsidRPr="00046BF9">
        <w:rPr>
          <w:rFonts w:eastAsia="MS Mincho" w:cs="Arial"/>
        </w:rPr>
        <w:t>5.6</w:t>
      </w:r>
      <w:r w:rsidR="00055DC9" w:rsidRPr="00046BF9">
        <w:rPr>
          <w:rFonts w:eastAsia="MS Mincho" w:cs="Arial"/>
        </w:rPr>
        <w:t>m)</w:t>
      </w:r>
      <w:r w:rsidR="00046BF9" w:rsidRPr="00046BF9">
        <w:rPr>
          <w:rFonts w:eastAsia="MS Mincho" w:cs="Arial"/>
        </w:rPr>
        <w:t xml:space="preserve">. </w:t>
      </w:r>
      <w:r w:rsidR="00046BF9">
        <w:rPr>
          <w:rFonts w:eastAsia="MS Mincho" w:cs="Arial"/>
        </w:rPr>
        <w:t>F</w:t>
      </w:r>
      <w:r w:rsidR="00046BF9" w:rsidRPr="00046BF9">
        <w:rPr>
          <w:rFonts w:eastAsia="MS Mincho" w:cs="Arial"/>
        </w:rPr>
        <w:t>ocus</w:t>
      </w:r>
      <w:r w:rsidR="00046BF9">
        <w:rPr>
          <w:rFonts w:eastAsia="MS Mincho" w:cs="Arial"/>
        </w:rPr>
        <w:t>ed</w:t>
      </w:r>
      <w:r w:rsidR="00046BF9" w:rsidRPr="00046BF9">
        <w:rPr>
          <w:rFonts w:eastAsia="MS Mincho" w:cs="Arial"/>
        </w:rPr>
        <w:t xml:space="preserve"> on </w:t>
      </w:r>
      <w:r w:rsidR="00046BF9">
        <w:rPr>
          <w:rFonts w:eastAsia="MS Mincho" w:cs="Arial"/>
        </w:rPr>
        <w:t>maintaining a r</w:t>
      </w:r>
      <w:r w:rsidR="00EB1168" w:rsidRPr="00046BF9">
        <w:rPr>
          <w:rFonts w:eastAsia="MS Mincho" w:cs="Arial"/>
        </w:rPr>
        <w:t xml:space="preserve">obust </w:t>
      </w:r>
      <w:r w:rsidR="00055DC9" w:rsidRPr="00046BF9">
        <w:rPr>
          <w:rFonts w:eastAsia="MS Mincho" w:cs="Arial"/>
        </w:rPr>
        <w:t>balance sheet</w:t>
      </w:r>
      <w:r w:rsidR="00EB1168" w:rsidRPr="00046BF9">
        <w:rPr>
          <w:rFonts w:eastAsia="MS Mincho" w:cs="Arial"/>
        </w:rPr>
        <w:t xml:space="preserve"> </w:t>
      </w:r>
    </w:p>
    <w:p w14:paraId="07702E0A" w14:textId="35C143B3" w:rsidR="008858D5" w:rsidRPr="00BD71D1" w:rsidRDefault="00CC513A" w:rsidP="00BD71D1">
      <w:pPr>
        <w:pStyle w:val="Heading2"/>
        <w:rPr>
          <w:szCs w:val="16"/>
        </w:rPr>
      </w:pPr>
      <w:r w:rsidRPr="006B16F0">
        <w:rPr>
          <w:sz w:val="16"/>
          <w:szCs w:val="16"/>
        </w:rPr>
        <w:t xml:space="preserve">Strategic </w:t>
      </w:r>
      <w:r w:rsidR="008858D5" w:rsidRPr="006B16F0">
        <w:rPr>
          <w:sz w:val="16"/>
          <w:szCs w:val="16"/>
        </w:rPr>
        <w:t>highlights</w:t>
      </w:r>
    </w:p>
    <w:p w14:paraId="7E55B5D4" w14:textId="6AA075EB" w:rsidR="004E382C" w:rsidRPr="004E382C" w:rsidRDefault="004E382C" w:rsidP="6291B0E6">
      <w:pPr>
        <w:numPr>
          <w:ilvl w:val="0"/>
          <w:numId w:val="35"/>
        </w:numPr>
        <w:spacing w:line="276" w:lineRule="auto"/>
        <w:contextualSpacing/>
        <w:rPr>
          <w:rFonts w:eastAsia="MS Mincho" w:cs="Arial"/>
        </w:rPr>
      </w:pPr>
      <w:r w:rsidRPr="6291B0E6">
        <w:rPr>
          <w:rFonts w:eastAsia="MS Mincho" w:cs="Arial"/>
        </w:rPr>
        <w:t>Successful disposal of DG Americas (30 May 2025), simplifying the Group and enhancing the quality of earnings, positioning the business as more focused</w:t>
      </w:r>
      <w:r w:rsidR="668EAC99" w:rsidRPr="6291B0E6">
        <w:rPr>
          <w:rFonts w:eastAsia="MS Mincho" w:cs="Arial"/>
        </w:rPr>
        <w:t>, simpler</w:t>
      </w:r>
      <w:r w:rsidRPr="6291B0E6">
        <w:rPr>
          <w:rFonts w:eastAsia="MS Mincho" w:cs="Arial"/>
        </w:rPr>
        <w:t>, profitable and cash generative</w:t>
      </w:r>
    </w:p>
    <w:p w14:paraId="402575E5" w14:textId="6D4C13ED" w:rsidR="004E382C" w:rsidRPr="004E382C" w:rsidRDefault="004E382C" w:rsidP="004E382C">
      <w:pPr>
        <w:numPr>
          <w:ilvl w:val="0"/>
          <w:numId w:val="35"/>
        </w:numPr>
        <w:spacing w:line="276" w:lineRule="auto"/>
        <w:contextualSpacing/>
        <w:rPr>
          <w:rFonts w:eastAsia="MS Mincho" w:cs="Arial"/>
        </w:rPr>
      </w:pPr>
      <w:r w:rsidRPr="004E382C">
        <w:rPr>
          <w:rFonts w:eastAsia="MS Mincho" w:cs="Arial"/>
        </w:rPr>
        <w:t>Continued progress against the Group’s strategy, focused on premiumisation, product diversification, customer and channel expansion, and commercial capability</w:t>
      </w:r>
    </w:p>
    <w:p w14:paraId="01498C38" w14:textId="5ABD8873" w:rsidR="00F424A0" w:rsidRPr="009133D7" w:rsidRDefault="00F424A0" w:rsidP="00024362">
      <w:pPr>
        <w:numPr>
          <w:ilvl w:val="1"/>
          <w:numId w:val="35"/>
        </w:numPr>
        <w:spacing w:line="276" w:lineRule="auto"/>
        <w:contextualSpacing/>
        <w:rPr>
          <w:rFonts w:eastAsia="MS Mincho" w:cs="Arial"/>
        </w:rPr>
      </w:pPr>
      <w:r w:rsidRPr="00F424A0">
        <w:rPr>
          <w:rFonts w:eastAsia="MS Mincho" w:cs="Arial"/>
        </w:rPr>
        <w:t>Expansion into adjacent and higher price</w:t>
      </w:r>
      <w:r w:rsidRPr="00F424A0">
        <w:rPr>
          <w:rFonts w:ascii="Cambria Math" w:eastAsia="MS Mincho" w:hAnsi="Cambria Math" w:cs="Cambria Math"/>
        </w:rPr>
        <w:t>‑</w:t>
      </w:r>
      <w:r w:rsidRPr="00F424A0">
        <w:rPr>
          <w:rFonts w:eastAsia="MS Mincho" w:cs="Arial"/>
        </w:rPr>
        <w:t>point categories, including décor, licensed ranges and free</w:t>
      </w:r>
      <w:r w:rsidRPr="00F424A0">
        <w:rPr>
          <w:rFonts w:ascii="Cambria Math" w:eastAsia="MS Mincho" w:hAnsi="Cambria Math" w:cs="Cambria Math"/>
        </w:rPr>
        <w:t>‑</w:t>
      </w:r>
      <w:r w:rsidRPr="00F424A0">
        <w:rPr>
          <w:rFonts w:eastAsia="MS Mincho" w:cs="Arial"/>
        </w:rPr>
        <w:t xml:space="preserve">standing </w:t>
      </w:r>
      <w:r w:rsidRPr="009133D7">
        <w:rPr>
          <w:rFonts w:eastAsia="MS Mincho" w:cs="Arial"/>
        </w:rPr>
        <w:t>display units</w:t>
      </w:r>
    </w:p>
    <w:p w14:paraId="43F36BA1" w14:textId="1DE3E331" w:rsidR="00024362" w:rsidRPr="009133D7" w:rsidRDefault="0060768D" w:rsidP="005B0EAC">
      <w:pPr>
        <w:numPr>
          <w:ilvl w:val="1"/>
          <w:numId w:val="35"/>
        </w:numPr>
        <w:spacing w:line="276" w:lineRule="auto"/>
        <w:contextualSpacing/>
        <w:rPr>
          <w:rFonts w:eastAsia="MS Mincho" w:cs="Arial"/>
        </w:rPr>
      </w:pPr>
      <w:r w:rsidRPr="009133D7">
        <w:rPr>
          <w:rFonts w:eastAsia="MS Mincho" w:cs="Arial"/>
        </w:rPr>
        <w:t xml:space="preserve">Hinkler distribution agreement extends </w:t>
      </w:r>
      <w:r w:rsidR="002440FB" w:rsidRPr="009133D7">
        <w:rPr>
          <w:rFonts w:eastAsia="MS Mincho" w:cs="Arial"/>
        </w:rPr>
        <w:t xml:space="preserve">product offering </w:t>
      </w:r>
      <w:r w:rsidR="009133D7" w:rsidRPr="009133D7">
        <w:rPr>
          <w:rFonts w:eastAsia="MS Mincho" w:cs="Arial"/>
        </w:rPr>
        <w:t xml:space="preserve">and </w:t>
      </w:r>
      <w:r w:rsidR="002440FB" w:rsidRPr="009133D7">
        <w:rPr>
          <w:rFonts w:eastAsia="MS Mincho" w:cs="Arial"/>
        </w:rPr>
        <w:t>utili</w:t>
      </w:r>
      <w:r w:rsidR="009133D7" w:rsidRPr="009133D7">
        <w:rPr>
          <w:rFonts w:eastAsia="MS Mincho" w:cs="Arial"/>
        </w:rPr>
        <w:t xml:space="preserve">ses </w:t>
      </w:r>
      <w:r w:rsidR="0003135E">
        <w:rPr>
          <w:rFonts w:eastAsia="MS Mincho" w:cs="Arial"/>
        </w:rPr>
        <w:t xml:space="preserve">Australian </w:t>
      </w:r>
      <w:r w:rsidR="002440FB" w:rsidRPr="009133D7">
        <w:rPr>
          <w:rFonts w:eastAsia="MS Mincho" w:cs="Arial"/>
        </w:rPr>
        <w:t>capacity</w:t>
      </w:r>
    </w:p>
    <w:p w14:paraId="78289998" w14:textId="7D17F576" w:rsidR="004E382C" w:rsidRPr="004E382C" w:rsidRDefault="009133D7" w:rsidP="004E382C">
      <w:pPr>
        <w:numPr>
          <w:ilvl w:val="0"/>
          <w:numId w:val="35"/>
        </w:numPr>
        <w:spacing w:line="276" w:lineRule="auto"/>
        <w:contextualSpacing/>
        <w:rPr>
          <w:rFonts w:eastAsia="MS Mincho" w:cs="Arial"/>
        </w:rPr>
      </w:pPr>
      <w:r>
        <w:rPr>
          <w:rFonts w:eastAsia="MS Mincho" w:cs="Arial"/>
        </w:rPr>
        <w:t>Progress on</w:t>
      </w:r>
      <w:r w:rsidR="004E382C" w:rsidRPr="004E382C">
        <w:rPr>
          <w:rFonts w:eastAsia="MS Mincho" w:cs="Arial"/>
        </w:rPr>
        <w:t xml:space="preserve"> sustainability agenda, including first</w:t>
      </w:r>
      <w:r w:rsidR="004E382C" w:rsidRPr="004E382C">
        <w:rPr>
          <w:rFonts w:ascii="Cambria Math" w:eastAsia="MS Mincho" w:hAnsi="Cambria Math" w:cs="Cambria Math"/>
        </w:rPr>
        <w:t>‑</w:t>
      </w:r>
      <w:r w:rsidR="004E382C" w:rsidRPr="004E382C">
        <w:rPr>
          <w:rFonts w:eastAsia="MS Mincho" w:cs="Arial"/>
        </w:rPr>
        <w:t>time Scope 3 emissions reporting and SBTi</w:t>
      </w:r>
      <w:r w:rsidR="004E382C" w:rsidRPr="004E382C">
        <w:rPr>
          <w:rFonts w:ascii="Cambria Math" w:eastAsia="MS Mincho" w:hAnsi="Cambria Math" w:cs="Cambria Math"/>
        </w:rPr>
        <w:t>‑</w:t>
      </w:r>
      <w:r w:rsidR="004E382C" w:rsidRPr="004E382C">
        <w:rPr>
          <w:rFonts w:eastAsia="MS Mincho" w:cs="Arial"/>
        </w:rPr>
        <w:t>validated targets</w:t>
      </w:r>
    </w:p>
    <w:p w14:paraId="24FFCEF4" w14:textId="77777777" w:rsidR="00AE0B3F" w:rsidRPr="00824011" w:rsidRDefault="00AE0B3F" w:rsidP="00AE0B3F">
      <w:pPr>
        <w:pStyle w:val="Heading2"/>
        <w:rPr>
          <w:b w:val="0"/>
          <w:szCs w:val="16"/>
        </w:rPr>
      </w:pPr>
      <w:r w:rsidRPr="00824011">
        <w:rPr>
          <w:sz w:val="16"/>
          <w:szCs w:val="16"/>
        </w:rPr>
        <w:t xml:space="preserve">Capital allocation </w:t>
      </w:r>
    </w:p>
    <w:p w14:paraId="04B31BD8" w14:textId="77777777" w:rsidR="00AE0B3F" w:rsidRDefault="00AE0B3F" w:rsidP="00AE0B3F">
      <w:pPr>
        <w:numPr>
          <w:ilvl w:val="0"/>
          <w:numId w:val="46"/>
        </w:numPr>
        <w:spacing w:line="276" w:lineRule="auto"/>
        <w:contextualSpacing/>
        <w:rPr>
          <w:rFonts w:eastAsia="MS Mincho" w:cs="Arial"/>
        </w:rPr>
      </w:pPr>
      <w:r>
        <w:rPr>
          <w:rFonts w:eastAsia="MS Mincho" w:cs="Arial"/>
        </w:rPr>
        <w:t>New c</w:t>
      </w:r>
      <w:r w:rsidRPr="009F48E2">
        <w:rPr>
          <w:rFonts w:eastAsia="MS Mincho" w:cs="Arial"/>
        </w:rPr>
        <w:t xml:space="preserve">apital allocation framework prioritising growth, a progressive dividend </w:t>
      </w:r>
      <w:r>
        <w:rPr>
          <w:rFonts w:eastAsia="MS Mincho" w:cs="Arial"/>
        </w:rPr>
        <w:t>policy</w:t>
      </w:r>
      <w:r w:rsidRPr="009F48E2">
        <w:rPr>
          <w:rFonts w:eastAsia="MS Mincho" w:cs="Arial"/>
        </w:rPr>
        <w:t xml:space="preserve"> and the return of surplus capital</w:t>
      </w:r>
      <w:r>
        <w:rPr>
          <w:rFonts w:eastAsia="MS Mincho" w:cs="Arial"/>
        </w:rPr>
        <w:t xml:space="preserve">. </w:t>
      </w:r>
      <w:r w:rsidRPr="003A4E9D">
        <w:rPr>
          <w:rFonts w:eastAsia="MS Mincho" w:cs="Arial"/>
        </w:rPr>
        <w:t xml:space="preserve">The new capital allocation signals the Directors confidence in cash generation and provides a commitment to delivering sustainable shareholder returns </w:t>
      </w:r>
    </w:p>
    <w:p w14:paraId="1C54AFB7" w14:textId="07C596AD" w:rsidR="0008593E" w:rsidRDefault="00AE0B3F" w:rsidP="00AE0B3F">
      <w:pPr>
        <w:numPr>
          <w:ilvl w:val="0"/>
          <w:numId w:val="46"/>
        </w:numPr>
        <w:spacing w:line="276" w:lineRule="auto"/>
        <w:contextualSpacing/>
        <w:rPr>
          <w:rFonts w:eastAsia="MS Mincho" w:cs="Arial"/>
        </w:rPr>
      </w:pPr>
      <w:r>
        <w:rPr>
          <w:rFonts w:eastAsia="MS Mincho" w:cs="Arial"/>
        </w:rPr>
        <w:t xml:space="preserve">Proposed </w:t>
      </w:r>
      <w:r w:rsidR="00E33955">
        <w:rPr>
          <w:rFonts w:eastAsia="MS Mincho" w:cs="Arial"/>
        </w:rPr>
        <w:t>recommencement of</w:t>
      </w:r>
      <w:r>
        <w:rPr>
          <w:rFonts w:eastAsia="MS Mincho" w:cs="Arial"/>
        </w:rPr>
        <w:t xml:space="preserve"> final ordinary dividend of </w:t>
      </w:r>
      <w:r w:rsidRPr="009F48E2">
        <w:rPr>
          <w:rFonts w:eastAsia="MS Mincho" w:cs="Arial"/>
        </w:rPr>
        <w:t xml:space="preserve">1.0p per share, </w:t>
      </w:r>
      <w:r>
        <w:rPr>
          <w:rFonts w:eastAsia="MS Mincho" w:cs="Arial"/>
        </w:rPr>
        <w:t xml:space="preserve">due to be paid on </w:t>
      </w:r>
      <w:r w:rsidR="00164F73" w:rsidRPr="00FD273C">
        <w:rPr>
          <w:rFonts w:eastAsia="MS Mincho" w:cs="Arial"/>
        </w:rPr>
        <w:t>9</w:t>
      </w:r>
      <w:r w:rsidR="00164F73">
        <w:rPr>
          <w:rFonts w:eastAsia="MS Mincho" w:cs="Arial"/>
        </w:rPr>
        <w:t xml:space="preserve"> October 2026</w:t>
      </w:r>
      <w:r w:rsidR="003958D6">
        <w:rPr>
          <w:rFonts w:eastAsia="MS Mincho" w:cs="Arial"/>
        </w:rPr>
        <w:t xml:space="preserve">. </w:t>
      </w:r>
      <w:r w:rsidR="003958D6" w:rsidRPr="003958D6">
        <w:rPr>
          <w:rFonts w:eastAsia="MS Mincho" w:cs="Arial"/>
        </w:rPr>
        <w:t xml:space="preserve">If approved, the dividend will be paid to shareholders on the register of members at the close of business on 4 September 2026. </w:t>
      </w:r>
      <w:r w:rsidR="00C613F1" w:rsidRPr="00C613F1">
        <w:rPr>
          <w:rFonts w:eastAsia="MS Mincho" w:cs="Arial"/>
        </w:rPr>
        <w:t>The ex-dividend date is 3 September 2026.</w:t>
      </w:r>
      <w:r w:rsidR="00C613F1">
        <w:rPr>
          <w:rFonts w:eastAsia="MS Mincho" w:cs="Arial"/>
        </w:rPr>
        <w:t xml:space="preserve"> </w:t>
      </w:r>
      <w:r w:rsidR="003958D6" w:rsidRPr="003958D6">
        <w:rPr>
          <w:rFonts w:eastAsia="MS Mincho" w:cs="Arial"/>
        </w:rPr>
        <w:t>The deadline to opt into a Dividend Reinvestment Plan (DRIP) is close of business on 18 September 2026</w:t>
      </w:r>
    </w:p>
    <w:p w14:paraId="3B71B7EA" w14:textId="1889B42C" w:rsidR="00AE0B3F" w:rsidRPr="00537816" w:rsidRDefault="00AE0B3F" w:rsidP="00AE0B3F">
      <w:pPr>
        <w:numPr>
          <w:ilvl w:val="0"/>
          <w:numId w:val="46"/>
        </w:numPr>
        <w:spacing w:line="276" w:lineRule="auto"/>
        <w:contextualSpacing/>
        <w:rPr>
          <w:rFonts w:eastAsia="MS Mincho" w:cs="Arial"/>
        </w:rPr>
      </w:pPr>
      <w:r>
        <w:rPr>
          <w:rFonts w:eastAsia="MS Mincho" w:cs="Arial"/>
        </w:rPr>
        <w:t xml:space="preserve">A </w:t>
      </w:r>
      <w:r w:rsidRPr="00876F15">
        <w:rPr>
          <w:rFonts w:eastAsia="MS Mincho" w:cs="Arial"/>
        </w:rPr>
        <w:t xml:space="preserve">share buyback </w:t>
      </w:r>
      <w:r>
        <w:rPr>
          <w:rFonts w:eastAsia="MS Mincho" w:cs="Arial"/>
        </w:rPr>
        <w:t xml:space="preserve">of up to 10% of the issued share capital, in line with the authorities granted by shareholders at the 2025 AGM, representing a </w:t>
      </w:r>
      <w:r w:rsidRPr="00876F15">
        <w:rPr>
          <w:rFonts w:eastAsia="MS Mincho" w:cs="Arial"/>
        </w:rPr>
        <w:t>significant return of capital and enhancing shareholder value</w:t>
      </w:r>
      <w:r>
        <w:rPr>
          <w:rFonts w:eastAsia="MS Mincho" w:cs="Arial"/>
        </w:rPr>
        <w:t xml:space="preserve"> </w:t>
      </w:r>
      <w:r w:rsidRPr="00621814">
        <w:rPr>
          <w:rFonts w:eastAsia="MS Mincho" w:cs="Arial"/>
        </w:rPr>
        <w:t>through the cancellation of shares purchased</w:t>
      </w:r>
    </w:p>
    <w:p w14:paraId="16B10301" w14:textId="1D8F3BEE" w:rsidR="008D2A27" w:rsidRDefault="008D2A27" w:rsidP="00EA577F">
      <w:pPr>
        <w:pStyle w:val="Heading2"/>
        <w:rPr>
          <w:rFonts w:eastAsia="MS Mincho" w:cs="Arial"/>
          <w:szCs w:val="16"/>
        </w:rPr>
      </w:pPr>
      <w:r w:rsidRPr="00EA577F">
        <w:rPr>
          <w:sz w:val="16"/>
          <w:szCs w:val="16"/>
        </w:rPr>
        <w:t>Post period highlights</w:t>
      </w:r>
    </w:p>
    <w:p w14:paraId="6E0A876D" w14:textId="0375C9E3" w:rsidR="009338C5" w:rsidRDefault="009338C5" w:rsidP="009338C5">
      <w:pPr>
        <w:pStyle w:val="ListParagraph"/>
        <w:numPr>
          <w:ilvl w:val="0"/>
          <w:numId w:val="46"/>
        </w:numPr>
        <w:spacing w:line="276" w:lineRule="auto"/>
        <w:rPr>
          <w:rFonts w:eastAsia="MS Mincho" w:cs="Arial"/>
          <w:szCs w:val="16"/>
        </w:rPr>
      </w:pPr>
      <w:r w:rsidRPr="00097EF3">
        <w:rPr>
          <w:rFonts w:eastAsia="MS Mincho" w:cs="Arial"/>
          <w:szCs w:val="16"/>
        </w:rPr>
        <w:t xml:space="preserve">Appointment of Gerald Kuehr as </w:t>
      </w:r>
      <w:r w:rsidR="003B06FA">
        <w:rPr>
          <w:rFonts w:eastAsia="MS Mincho" w:cs="Arial"/>
          <w:szCs w:val="16"/>
        </w:rPr>
        <w:t>CEO</w:t>
      </w:r>
      <w:r w:rsidRPr="00097EF3">
        <w:rPr>
          <w:rFonts w:eastAsia="MS Mincho" w:cs="Arial"/>
          <w:szCs w:val="16"/>
        </w:rPr>
        <w:t xml:space="preserve"> Designate </w:t>
      </w:r>
      <w:r>
        <w:rPr>
          <w:rFonts w:eastAsia="MS Mincho" w:cs="Arial"/>
          <w:szCs w:val="16"/>
        </w:rPr>
        <w:t xml:space="preserve">from </w:t>
      </w:r>
      <w:r w:rsidRPr="00097EF3">
        <w:rPr>
          <w:rFonts w:eastAsia="MS Mincho" w:cs="Arial"/>
          <w:szCs w:val="16"/>
        </w:rPr>
        <w:t>1 May 2026</w:t>
      </w:r>
      <w:r>
        <w:rPr>
          <w:rFonts w:eastAsia="MS Mincho" w:cs="Arial"/>
          <w:szCs w:val="16"/>
        </w:rPr>
        <w:t xml:space="preserve"> and</w:t>
      </w:r>
      <w:r w:rsidRPr="00097EF3">
        <w:rPr>
          <w:rFonts w:eastAsia="MS Mincho" w:cs="Arial"/>
          <w:szCs w:val="16"/>
        </w:rPr>
        <w:t xml:space="preserve"> CEO from 1 July 2026, strengthening leadership</w:t>
      </w:r>
      <w:r>
        <w:rPr>
          <w:rFonts w:eastAsia="MS Mincho" w:cs="Arial"/>
          <w:szCs w:val="16"/>
        </w:rPr>
        <w:t xml:space="preserve"> for next phase </w:t>
      </w:r>
    </w:p>
    <w:p w14:paraId="24FA4F58" w14:textId="48B1964C" w:rsidR="009338C5" w:rsidRPr="00097EF3" w:rsidRDefault="009338C5" w:rsidP="009338C5">
      <w:pPr>
        <w:pStyle w:val="ListParagraph"/>
        <w:numPr>
          <w:ilvl w:val="0"/>
          <w:numId w:val="46"/>
        </w:numPr>
        <w:spacing w:line="276" w:lineRule="auto"/>
        <w:rPr>
          <w:rFonts w:eastAsia="MS Mincho" w:cs="Arial"/>
          <w:szCs w:val="16"/>
        </w:rPr>
      </w:pPr>
      <w:r>
        <w:rPr>
          <w:rFonts w:eastAsia="MS Mincho" w:cs="Arial"/>
        </w:rPr>
        <w:t>Successful a</w:t>
      </w:r>
      <w:r w:rsidRPr="6291B0E6">
        <w:rPr>
          <w:rFonts w:eastAsia="MS Mincho" w:cs="Arial"/>
        </w:rPr>
        <w:t>cquisition of Glenart (</w:t>
      </w:r>
      <w:r w:rsidR="00BF4484">
        <w:rPr>
          <w:rFonts w:eastAsia="MS Mincho" w:cs="Arial"/>
        </w:rPr>
        <w:t>29</w:t>
      </w:r>
      <w:r>
        <w:rPr>
          <w:rFonts w:eastAsia="MS Mincho" w:cs="Arial"/>
        </w:rPr>
        <w:t xml:space="preserve"> </w:t>
      </w:r>
      <w:r w:rsidRPr="6291B0E6">
        <w:rPr>
          <w:rFonts w:eastAsia="MS Mincho" w:cs="Arial"/>
        </w:rPr>
        <w:t>April 2026), a complementary, bolt</w:t>
      </w:r>
      <w:r>
        <w:rPr>
          <w:rFonts w:ascii="Cambria Math" w:eastAsia="MS Mincho" w:hAnsi="Cambria Math" w:cs="Cambria Math"/>
        </w:rPr>
        <w:t>-</w:t>
      </w:r>
      <w:r w:rsidRPr="6291B0E6">
        <w:rPr>
          <w:rFonts w:eastAsia="MS Mincho" w:cs="Arial"/>
        </w:rPr>
        <w:t xml:space="preserve">on entry into a new geography within Celebrate, </w:t>
      </w:r>
      <w:r>
        <w:rPr>
          <w:rFonts w:eastAsia="MS Mincho" w:cs="Arial"/>
        </w:rPr>
        <w:t>which will be immediately earnings enhancing</w:t>
      </w:r>
    </w:p>
    <w:p w14:paraId="7F56E91A" w14:textId="77777777" w:rsidR="008D2A27" w:rsidRPr="00B8452B" w:rsidRDefault="008D2A27" w:rsidP="00A40E44">
      <w:pPr>
        <w:contextualSpacing/>
        <w:rPr>
          <w:rFonts w:eastAsia="MS Mincho" w:cs="Arial"/>
          <w:b/>
          <w:szCs w:val="16"/>
        </w:rPr>
      </w:pPr>
    </w:p>
    <w:p w14:paraId="2098DB66" w14:textId="77777777" w:rsidR="008858D5" w:rsidRPr="00EA577F" w:rsidRDefault="008858D5" w:rsidP="00EA577F">
      <w:pPr>
        <w:pStyle w:val="Heading2"/>
        <w:rPr>
          <w:b w:val="0"/>
          <w:szCs w:val="16"/>
        </w:rPr>
      </w:pPr>
      <w:r w:rsidRPr="00EA577F">
        <w:rPr>
          <w:sz w:val="16"/>
          <w:szCs w:val="16"/>
        </w:rPr>
        <w:t>Outlook</w:t>
      </w:r>
    </w:p>
    <w:p w14:paraId="291DC680" w14:textId="30BA2AC7" w:rsidR="00A40E44" w:rsidRPr="003B0146" w:rsidRDefault="00A40E44" w:rsidP="6291B0E6">
      <w:pPr>
        <w:numPr>
          <w:ilvl w:val="0"/>
          <w:numId w:val="19"/>
        </w:numPr>
        <w:spacing w:line="276" w:lineRule="auto"/>
        <w:contextualSpacing/>
        <w:rPr>
          <w:rFonts w:eastAsia="MS Mincho" w:cs="Arial"/>
        </w:rPr>
      </w:pPr>
      <w:r w:rsidRPr="003B0146">
        <w:rPr>
          <w:rFonts w:eastAsia="MS Mincho" w:cs="Arial"/>
        </w:rPr>
        <w:t xml:space="preserve">The Group enters FY2027 as a </w:t>
      </w:r>
      <w:r w:rsidR="009B5D13">
        <w:rPr>
          <w:rFonts w:eastAsia="MS Mincho" w:cs="Arial"/>
        </w:rPr>
        <w:t xml:space="preserve">more focused, </w:t>
      </w:r>
      <w:r w:rsidRPr="003B0146">
        <w:rPr>
          <w:rFonts w:eastAsia="MS Mincho" w:cs="Arial"/>
        </w:rPr>
        <w:t xml:space="preserve">simpler, </w:t>
      </w:r>
      <w:r w:rsidR="288718AA" w:rsidRPr="003B0146">
        <w:rPr>
          <w:rFonts w:eastAsia="MS Mincho" w:cs="Arial"/>
        </w:rPr>
        <w:t>profitable</w:t>
      </w:r>
      <w:r w:rsidRPr="003B0146">
        <w:rPr>
          <w:rFonts w:eastAsia="MS Mincho" w:cs="Arial"/>
        </w:rPr>
        <w:t xml:space="preserve"> and cash</w:t>
      </w:r>
      <w:r w:rsidR="00F53139" w:rsidRPr="003B0146">
        <w:rPr>
          <w:rFonts w:ascii="Cambria Math" w:eastAsia="MS Mincho" w:hAnsi="Cambria Math" w:cs="Cambria Math"/>
        </w:rPr>
        <w:t>-</w:t>
      </w:r>
      <w:r w:rsidRPr="003B0146">
        <w:rPr>
          <w:rFonts w:eastAsia="MS Mincho" w:cs="Arial"/>
        </w:rPr>
        <w:t>generative business, with strong customer relationships</w:t>
      </w:r>
      <w:r w:rsidR="0085502E" w:rsidRPr="003B0146">
        <w:rPr>
          <w:rFonts w:eastAsia="MS Mincho" w:cs="Arial"/>
        </w:rPr>
        <w:t xml:space="preserve">, </w:t>
      </w:r>
      <w:r w:rsidRPr="003B0146">
        <w:rPr>
          <w:rFonts w:eastAsia="MS Mincho" w:cs="Arial"/>
        </w:rPr>
        <w:t>a resilient operating model</w:t>
      </w:r>
      <w:r w:rsidR="0085502E" w:rsidRPr="003B0146">
        <w:rPr>
          <w:rFonts w:eastAsia="MS Mincho" w:cs="Arial"/>
        </w:rPr>
        <w:t xml:space="preserve"> and a strong balance sheet</w:t>
      </w:r>
    </w:p>
    <w:p w14:paraId="434C81D3" w14:textId="56FFAEC4" w:rsidR="003069CB" w:rsidRPr="003B0146" w:rsidRDefault="003069CB" w:rsidP="6291B0E6">
      <w:pPr>
        <w:numPr>
          <w:ilvl w:val="0"/>
          <w:numId w:val="19"/>
        </w:numPr>
        <w:spacing w:line="276" w:lineRule="auto"/>
        <w:contextualSpacing/>
        <w:rPr>
          <w:rFonts w:eastAsia="MS Mincho" w:cs="Arial"/>
        </w:rPr>
      </w:pPr>
      <w:r w:rsidRPr="003069CB">
        <w:rPr>
          <w:rFonts w:eastAsia="MS Mincho" w:cs="Arial"/>
        </w:rPr>
        <w:t xml:space="preserve">The Board acknowledges the ongoing macroeconomic uncertainty, including cost pressures, inflation, and softer consumer </w:t>
      </w:r>
      <w:r w:rsidR="00677419">
        <w:rPr>
          <w:rFonts w:eastAsia="MS Mincho" w:cs="Arial"/>
        </w:rPr>
        <w:t>sentiment</w:t>
      </w:r>
      <w:r w:rsidRPr="003069CB">
        <w:rPr>
          <w:rFonts w:eastAsia="MS Mincho" w:cs="Arial"/>
        </w:rPr>
        <w:t xml:space="preserve">, </w:t>
      </w:r>
      <w:r w:rsidR="00B244DE">
        <w:rPr>
          <w:rFonts w:eastAsia="MS Mincho" w:cs="Arial"/>
        </w:rPr>
        <w:t>but remains confident of delivery in the period ahead</w:t>
      </w:r>
    </w:p>
    <w:p w14:paraId="08FF29A5" w14:textId="330E5861" w:rsidR="00A40E44" w:rsidRPr="005B083F" w:rsidRDefault="00A40E44" w:rsidP="6291B0E6">
      <w:pPr>
        <w:numPr>
          <w:ilvl w:val="0"/>
          <w:numId w:val="19"/>
        </w:numPr>
        <w:spacing w:line="276" w:lineRule="auto"/>
        <w:contextualSpacing/>
        <w:rPr>
          <w:rFonts w:eastAsia="MS Mincho" w:cs="Arial"/>
        </w:rPr>
      </w:pPr>
      <w:r w:rsidRPr="005B083F">
        <w:rPr>
          <w:rFonts w:eastAsia="MS Mincho" w:cs="Arial"/>
        </w:rPr>
        <w:t>The Group</w:t>
      </w:r>
      <w:r w:rsidR="6E56A139" w:rsidRPr="005B083F">
        <w:rPr>
          <w:rFonts w:eastAsia="MS Mincho" w:cs="Arial"/>
        </w:rPr>
        <w:t xml:space="preserve"> guidance remains unchanged as it </w:t>
      </w:r>
      <w:r w:rsidRPr="005B083F">
        <w:rPr>
          <w:rFonts w:eastAsia="MS Mincho" w:cs="Arial"/>
        </w:rPr>
        <w:t xml:space="preserve">expects to deliver 0–5% revenue growth, </w:t>
      </w:r>
      <w:r w:rsidR="00A71813">
        <w:rPr>
          <w:rFonts w:eastAsia="MS Mincho" w:cs="Arial"/>
        </w:rPr>
        <w:t xml:space="preserve">adjusted </w:t>
      </w:r>
      <w:r w:rsidRPr="005B083F">
        <w:rPr>
          <w:rFonts w:eastAsia="MS Mincho" w:cs="Arial"/>
        </w:rPr>
        <w:t>operating margins of 4–5% and c.£5m annual</w:t>
      </w:r>
      <w:r w:rsidR="005A7162">
        <w:rPr>
          <w:rFonts w:eastAsia="MS Mincho" w:cs="Arial"/>
        </w:rPr>
        <w:t xml:space="preserve"> free</w:t>
      </w:r>
      <w:r w:rsidRPr="005B083F">
        <w:rPr>
          <w:rFonts w:eastAsia="MS Mincho" w:cs="Arial"/>
        </w:rPr>
        <w:t xml:space="preserve"> cash generation</w:t>
      </w:r>
    </w:p>
    <w:p w14:paraId="30D8E0D2" w14:textId="281832F7" w:rsidR="00A40E44" w:rsidRPr="005B083F" w:rsidRDefault="00A40E44" w:rsidP="00A40E44">
      <w:pPr>
        <w:numPr>
          <w:ilvl w:val="0"/>
          <w:numId w:val="19"/>
        </w:numPr>
        <w:spacing w:line="276" w:lineRule="auto"/>
        <w:contextualSpacing/>
        <w:rPr>
          <w:rFonts w:eastAsia="MS Mincho" w:cs="Arial"/>
        </w:rPr>
      </w:pPr>
      <w:r w:rsidRPr="005B083F">
        <w:rPr>
          <w:rFonts w:eastAsia="MS Mincho" w:cs="Arial"/>
        </w:rPr>
        <w:t xml:space="preserve">Orderbook remains robust at </w:t>
      </w:r>
      <w:r w:rsidR="00607F0C" w:rsidRPr="00607F0C">
        <w:rPr>
          <w:rFonts w:eastAsia="MS Mincho" w:cs="Arial"/>
        </w:rPr>
        <w:t>78</w:t>
      </w:r>
      <w:r w:rsidRPr="005B083F">
        <w:rPr>
          <w:rFonts w:eastAsia="MS Mincho" w:cs="Arial"/>
        </w:rPr>
        <w:t>% of budgeted revenues (</w:t>
      </w:r>
      <w:r w:rsidR="0069120B">
        <w:rPr>
          <w:rFonts w:eastAsia="MS Mincho" w:cs="Arial"/>
        </w:rPr>
        <w:t>75</w:t>
      </w:r>
      <w:r w:rsidRPr="005B083F">
        <w:rPr>
          <w:rFonts w:eastAsia="MS Mincho" w:cs="Arial"/>
        </w:rPr>
        <w:t>% at this stage last year)</w:t>
      </w:r>
    </w:p>
    <w:p w14:paraId="692F9C36" w14:textId="77777777" w:rsidR="00206785" w:rsidRDefault="00206785" w:rsidP="00C4061E">
      <w:pPr>
        <w:spacing w:line="276" w:lineRule="auto"/>
        <w:rPr>
          <w:rFonts w:eastAsia="MS Mincho" w:cs="Arial"/>
          <w:b/>
          <w:bCs/>
          <w:szCs w:val="16"/>
        </w:rPr>
      </w:pPr>
    </w:p>
    <w:p w14:paraId="5E5CB0AF" w14:textId="6BA0748E" w:rsidR="008858D5" w:rsidRPr="003B0146" w:rsidRDefault="008858D5" w:rsidP="00824011">
      <w:pPr>
        <w:pStyle w:val="Heading2"/>
        <w:rPr>
          <w:rFonts w:eastAsia="MS Mincho" w:cs="Arial"/>
        </w:rPr>
      </w:pPr>
      <w:r w:rsidRPr="00824011">
        <w:rPr>
          <w:sz w:val="16"/>
          <w:szCs w:val="16"/>
        </w:rPr>
        <w:t>Stewart Gilliland, Interim Executive Chair, commented:</w:t>
      </w:r>
      <w:r w:rsidRPr="003B0146">
        <w:rPr>
          <w:rFonts w:eastAsia="MS Mincho" w:cs="Arial"/>
        </w:rPr>
        <w:t xml:space="preserve"> </w:t>
      </w:r>
    </w:p>
    <w:p w14:paraId="6A78FBD4" w14:textId="7E4E9546" w:rsidR="004C62C8" w:rsidRDefault="004C62C8" w:rsidP="004C62C8">
      <w:pPr>
        <w:spacing w:line="276" w:lineRule="auto"/>
        <w:rPr>
          <w:rFonts w:eastAsia="MS Mincho" w:cs="Arial"/>
          <w:i/>
          <w:iCs/>
        </w:rPr>
      </w:pPr>
      <w:r w:rsidRPr="003B0146">
        <w:rPr>
          <w:rFonts w:eastAsia="MS Mincho" w:cs="Arial"/>
          <w:i/>
          <w:iCs/>
        </w:rPr>
        <w:t>“</w:t>
      </w:r>
      <w:r w:rsidR="00810C58">
        <w:rPr>
          <w:rFonts w:eastAsia="MS Mincho" w:cs="Arial"/>
          <w:i/>
          <w:iCs/>
        </w:rPr>
        <w:t>We have delivered wh</w:t>
      </w:r>
      <w:r w:rsidR="00277CE2">
        <w:rPr>
          <w:rFonts w:eastAsia="MS Mincho" w:cs="Arial"/>
          <w:i/>
          <w:iCs/>
        </w:rPr>
        <w:t xml:space="preserve">at we promised in the period as a simplified more stable business – the result of which is the ability to report </w:t>
      </w:r>
      <w:r w:rsidRPr="003B0146">
        <w:rPr>
          <w:rFonts w:eastAsia="MS Mincho" w:cs="Arial"/>
          <w:i/>
          <w:iCs/>
        </w:rPr>
        <w:t xml:space="preserve">a strong performance in the year, exceeding expectations </w:t>
      </w:r>
      <w:r w:rsidR="00A67E35">
        <w:rPr>
          <w:rFonts w:eastAsia="MS Mincho" w:cs="Arial"/>
          <w:i/>
          <w:iCs/>
        </w:rPr>
        <w:t xml:space="preserve">despite </w:t>
      </w:r>
      <w:r w:rsidRPr="003B0146">
        <w:rPr>
          <w:rFonts w:eastAsia="MS Mincho" w:cs="Arial"/>
          <w:i/>
          <w:iCs/>
        </w:rPr>
        <w:t>a challenging trading environment. Across the business, we have maintained</w:t>
      </w:r>
      <w:r w:rsidRPr="004C62C8">
        <w:rPr>
          <w:rFonts w:eastAsia="MS Mincho" w:cs="Arial"/>
          <w:i/>
          <w:iCs/>
        </w:rPr>
        <w:t xml:space="preserve"> a clear focus on operational discipline, product innovation and strengthening our commercial capability. </w:t>
      </w:r>
      <w:r w:rsidR="00A67E35">
        <w:rPr>
          <w:rFonts w:eastAsia="MS Mincho" w:cs="Arial"/>
          <w:i/>
          <w:iCs/>
        </w:rPr>
        <w:t>Alongside this, e</w:t>
      </w:r>
      <w:r w:rsidRPr="004C62C8">
        <w:rPr>
          <w:rFonts w:eastAsia="MS Mincho" w:cs="Arial"/>
          <w:i/>
          <w:iCs/>
        </w:rPr>
        <w:t>ncouraging progress has been made against our strategic priorities</w:t>
      </w:r>
      <w:r w:rsidR="00D13236">
        <w:rPr>
          <w:rFonts w:eastAsia="MS Mincho" w:cs="Arial"/>
          <w:i/>
          <w:iCs/>
        </w:rPr>
        <w:t xml:space="preserve"> </w:t>
      </w:r>
      <w:r w:rsidR="00B87571">
        <w:rPr>
          <w:rFonts w:eastAsia="MS Mincho" w:cs="Arial"/>
          <w:i/>
          <w:iCs/>
        </w:rPr>
        <w:t>with</w:t>
      </w:r>
      <w:r w:rsidR="00D13236">
        <w:rPr>
          <w:rFonts w:eastAsia="MS Mincho" w:cs="Arial"/>
          <w:i/>
          <w:iCs/>
        </w:rPr>
        <w:t xml:space="preserve"> continued</w:t>
      </w:r>
      <w:r w:rsidRPr="004C62C8">
        <w:rPr>
          <w:rFonts w:eastAsia="MS Mincho" w:cs="Arial"/>
          <w:i/>
          <w:iCs/>
        </w:rPr>
        <w:t xml:space="preserve"> investment to support long-term growth.</w:t>
      </w:r>
      <w:r w:rsidR="006F5C92">
        <w:rPr>
          <w:rFonts w:eastAsia="MS Mincho" w:cs="Arial"/>
          <w:i/>
          <w:iCs/>
        </w:rPr>
        <w:t xml:space="preserve"> </w:t>
      </w:r>
    </w:p>
    <w:p w14:paraId="38E91222" w14:textId="77777777" w:rsidR="00E2370F" w:rsidRDefault="00E2370F" w:rsidP="004C62C8">
      <w:pPr>
        <w:spacing w:line="276" w:lineRule="auto"/>
        <w:rPr>
          <w:rFonts w:eastAsia="MS Mincho" w:cs="Arial"/>
          <w:i/>
          <w:iCs/>
        </w:rPr>
      </w:pPr>
    </w:p>
    <w:p w14:paraId="7E02D02A" w14:textId="3C38A277" w:rsidR="00E2370F" w:rsidRDefault="00E2370F" w:rsidP="004C62C8">
      <w:pPr>
        <w:spacing w:line="276" w:lineRule="auto"/>
        <w:rPr>
          <w:rFonts w:eastAsia="MS Mincho" w:cs="Arial"/>
          <w:i/>
          <w:iCs/>
        </w:rPr>
      </w:pPr>
      <w:r w:rsidRPr="00E2370F">
        <w:rPr>
          <w:rFonts w:eastAsia="MS Mincho" w:cs="Arial"/>
          <w:i/>
          <w:iCs/>
        </w:rPr>
        <w:t>We are also pleased to announce the reinstatement of the dividend, alongside a share buyback, underlining our commitment to delivering and sharing value with our shareholders in a disciplined and sustainable way.</w:t>
      </w:r>
    </w:p>
    <w:p w14:paraId="2A014894" w14:textId="77777777" w:rsidR="00EC1A7D" w:rsidRDefault="00EC1A7D" w:rsidP="00EC1A7D">
      <w:pPr>
        <w:spacing w:line="276" w:lineRule="auto"/>
        <w:rPr>
          <w:rFonts w:eastAsia="MS Mincho" w:cs="Arial"/>
          <w:i/>
          <w:iCs/>
        </w:rPr>
      </w:pPr>
    </w:p>
    <w:p w14:paraId="7DCD4292" w14:textId="67C5CAC8" w:rsidR="00EC1A7D" w:rsidRPr="00EC1A7D" w:rsidRDefault="00EC1A7D" w:rsidP="00EC1A7D">
      <w:pPr>
        <w:spacing w:line="276" w:lineRule="auto"/>
        <w:rPr>
          <w:rFonts w:eastAsia="MS Mincho" w:cs="Arial"/>
          <w:i/>
          <w:iCs/>
        </w:rPr>
      </w:pPr>
      <w:r w:rsidRPr="00EC1A7D">
        <w:rPr>
          <w:rFonts w:eastAsia="MS Mincho" w:cs="Arial"/>
          <w:i/>
          <w:iCs/>
        </w:rPr>
        <w:t>These results are a testament to the hard work, resilience and commitment of our colleagues across the Group, whose focus and execution have been fundamental to delivering this performance.</w:t>
      </w:r>
    </w:p>
    <w:p w14:paraId="3E61E4EF" w14:textId="77777777" w:rsidR="004C62C8" w:rsidRPr="004C62C8" w:rsidRDefault="004C62C8" w:rsidP="004C62C8">
      <w:pPr>
        <w:spacing w:line="276" w:lineRule="auto"/>
        <w:rPr>
          <w:rFonts w:eastAsia="MS Mincho" w:cs="Arial"/>
          <w:i/>
          <w:iCs/>
        </w:rPr>
      </w:pPr>
    </w:p>
    <w:p w14:paraId="4C987466" w14:textId="43C5FD74" w:rsidR="004C62C8" w:rsidRPr="004C62C8" w:rsidRDefault="00A67E35" w:rsidP="004C62C8">
      <w:pPr>
        <w:spacing w:line="276" w:lineRule="auto"/>
        <w:rPr>
          <w:rFonts w:eastAsia="MS Mincho" w:cs="Arial"/>
          <w:i/>
          <w:iCs/>
        </w:rPr>
      </w:pPr>
      <w:r>
        <w:rPr>
          <w:rFonts w:eastAsia="MS Mincho" w:cs="Arial"/>
          <w:i/>
          <w:iCs/>
        </w:rPr>
        <w:t>With</w:t>
      </w:r>
      <w:r w:rsidR="004C62C8" w:rsidRPr="004C62C8">
        <w:rPr>
          <w:rFonts w:eastAsia="MS Mincho" w:cs="Arial"/>
          <w:i/>
          <w:iCs/>
        </w:rPr>
        <w:t xml:space="preserve"> Gerald Kuehr</w:t>
      </w:r>
      <w:r>
        <w:rPr>
          <w:rFonts w:eastAsia="MS Mincho" w:cs="Arial"/>
          <w:i/>
          <w:iCs/>
        </w:rPr>
        <w:t>, our new</w:t>
      </w:r>
      <w:r w:rsidR="004C62C8" w:rsidRPr="004C62C8">
        <w:rPr>
          <w:rFonts w:eastAsia="MS Mincho" w:cs="Arial"/>
          <w:i/>
          <w:iCs/>
        </w:rPr>
        <w:t xml:space="preserve"> </w:t>
      </w:r>
      <w:r w:rsidR="00B44F37">
        <w:rPr>
          <w:rFonts w:eastAsia="MS Mincho" w:cs="Arial"/>
          <w:i/>
          <w:iCs/>
        </w:rPr>
        <w:t>CEO</w:t>
      </w:r>
      <w:r w:rsidR="00CF6622">
        <w:rPr>
          <w:rFonts w:eastAsia="MS Mincho" w:cs="Arial"/>
          <w:i/>
          <w:iCs/>
        </w:rPr>
        <w:t xml:space="preserve">, settling in well, we </w:t>
      </w:r>
      <w:r w:rsidR="004C62C8" w:rsidRPr="004C62C8">
        <w:rPr>
          <w:rFonts w:eastAsia="MS Mincho" w:cs="Arial"/>
          <w:i/>
          <w:iCs/>
        </w:rPr>
        <w:t>look forward to working closely with him as we execute our strategy and build on the strong foundations in place.</w:t>
      </w:r>
    </w:p>
    <w:p w14:paraId="0FB64327" w14:textId="77777777" w:rsidR="004C62C8" w:rsidRPr="004C62C8" w:rsidRDefault="004C62C8" w:rsidP="004C62C8">
      <w:pPr>
        <w:spacing w:line="276" w:lineRule="auto"/>
        <w:rPr>
          <w:rFonts w:eastAsia="MS Mincho" w:cs="Arial"/>
          <w:i/>
          <w:iCs/>
        </w:rPr>
      </w:pPr>
    </w:p>
    <w:p w14:paraId="0AAA1FAA" w14:textId="72E3F6E5" w:rsidR="008858D5" w:rsidRPr="00B8452B" w:rsidRDefault="004C62C8" w:rsidP="004C62C8">
      <w:pPr>
        <w:spacing w:line="276" w:lineRule="auto"/>
        <w:rPr>
          <w:rFonts w:eastAsia="MS Mincho" w:cs="Arial"/>
          <w:i/>
          <w:szCs w:val="16"/>
        </w:rPr>
      </w:pPr>
      <w:r w:rsidRPr="004C62C8">
        <w:rPr>
          <w:rFonts w:eastAsia="MS Mincho" w:cs="Arial"/>
          <w:i/>
          <w:iCs/>
        </w:rPr>
        <w:t>With a stronger balance sheet, a more focused operating model and renewed leadership, we are entering the next phase with confidence. The Group is well positioned to build on this progress and deliver sustainable improvement in profitability, cash generation and shareholder value over the medium term</w:t>
      </w:r>
      <w:r w:rsidR="00A4781A">
        <w:rPr>
          <w:rFonts w:eastAsia="MS Mincho" w:cs="Arial"/>
          <w:i/>
          <w:iCs/>
        </w:rPr>
        <w:t>.</w:t>
      </w:r>
      <w:r w:rsidR="00A47D63">
        <w:rPr>
          <w:rFonts w:eastAsia="MS Mincho" w:cs="Arial"/>
          <w:i/>
          <w:iCs/>
        </w:rPr>
        <w:t>”</w:t>
      </w:r>
    </w:p>
    <w:p w14:paraId="3E7BC3EC" w14:textId="609EC4B8" w:rsidR="008858D5" w:rsidRPr="00A95045" w:rsidRDefault="00281439" w:rsidP="008858D5">
      <w:pPr>
        <w:spacing w:before="100" w:beforeAutospacing="1" w:after="240" w:line="276" w:lineRule="auto"/>
        <w:jc w:val="both"/>
        <w:rPr>
          <w:rFonts w:eastAsia="Cambria" w:cs="Arial"/>
          <w:i/>
          <w:iCs/>
          <w:szCs w:val="16"/>
          <w:lang w:eastAsia="en-GB"/>
        </w:rPr>
      </w:pPr>
      <w:r w:rsidRPr="00A95045">
        <w:rPr>
          <w:rFonts w:eastAsia="Times New Roman" w:cs="Arial"/>
          <w:szCs w:val="16"/>
          <w:lang w:eastAsia="en-GB"/>
        </w:rPr>
        <w:t>F</w:t>
      </w:r>
      <w:r w:rsidR="008858D5" w:rsidRPr="00A95045">
        <w:rPr>
          <w:rFonts w:eastAsia="Times New Roman" w:cs="Arial"/>
          <w:szCs w:val="16"/>
          <w:lang w:eastAsia="en-GB"/>
        </w:rPr>
        <w:t>or further information, please contact:</w:t>
      </w:r>
    </w:p>
    <w:tbl>
      <w:tblPr>
        <w:tblW w:w="9632" w:type="dxa"/>
        <w:tblCellMar>
          <w:left w:w="0" w:type="dxa"/>
          <w:right w:w="0" w:type="dxa"/>
        </w:tblCellMar>
        <w:tblLook w:val="04A0" w:firstRow="1" w:lastRow="0" w:firstColumn="1" w:lastColumn="0" w:noHBand="0" w:noVBand="1"/>
      </w:tblPr>
      <w:tblGrid>
        <w:gridCol w:w="4678"/>
        <w:gridCol w:w="4954"/>
      </w:tblGrid>
      <w:tr w:rsidR="00572CF1" w:rsidRPr="00A95045" w14:paraId="6F439F14" w14:textId="77777777">
        <w:trPr>
          <w:trHeight w:val="57"/>
        </w:trPr>
        <w:tc>
          <w:tcPr>
            <w:tcW w:w="4678" w:type="dxa"/>
            <w:hideMark/>
          </w:tcPr>
          <w:p w14:paraId="2D1812B2" w14:textId="77777777" w:rsidR="008858D5" w:rsidRPr="00A95045" w:rsidRDefault="008858D5" w:rsidP="008858D5">
            <w:pPr>
              <w:spacing w:line="276" w:lineRule="auto"/>
              <w:jc w:val="both"/>
              <w:rPr>
                <w:rFonts w:eastAsia="Times New Roman" w:cs="Arial"/>
                <w:szCs w:val="16"/>
                <w:lang w:eastAsia="en-GB"/>
              </w:rPr>
            </w:pPr>
            <w:r w:rsidRPr="00A95045">
              <w:rPr>
                <w:rFonts w:eastAsia="Times New Roman" w:cs="Arial"/>
                <w:b/>
                <w:bCs/>
                <w:szCs w:val="16"/>
                <w:lang w:eastAsia="en-GB"/>
              </w:rPr>
              <w:t>IG Design Group plc</w:t>
            </w:r>
          </w:p>
          <w:p w14:paraId="0F9207F7" w14:textId="77777777" w:rsidR="008858D5" w:rsidRDefault="008858D5" w:rsidP="008858D5">
            <w:pPr>
              <w:spacing w:line="276" w:lineRule="auto"/>
              <w:jc w:val="both"/>
              <w:rPr>
                <w:rFonts w:eastAsia="Times New Roman" w:cs="Arial"/>
                <w:szCs w:val="16"/>
                <w:lang w:eastAsia="en-GB"/>
              </w:rPr>
            </w:pPr>
            <w:r w:rsidRPr="00A95045">
              <w:rPr>
                <w:rFonts w:eastAsia="Times New Roman" w:cs="Arial"/>
                <w:szCs w:val="16"/>
                <w:lang w:eastAsia="en-GB"/>
              </w:rPr>
              <w:t>Stewart Gilliland, Interim Executive Chair</w:t>
            </w:r>
          </w:p>
          <w:p w14:paraId="68174124" w14:textId="1D992F3F" w:rsidR="00A47D63" w:rsidRPr="00A95045" w:rsidRDefault="00A47D63" w:rsidP="008858D5">
            <w:pPr>
              <w:spacing w:line="276" w:lineRule="auto"/>
              <w:jc w:val="both"/>
              <w:rPr>
                <w:rFonts w:eastAsia="Times New Roman" w:cs="Arial"/>
                <w:szCs w:val="16"/>
                <w:lang w:eastAsia="en-GB"/>
              </w:rPr>
            </w:pPr>
            <w:r>
              <w:rPr>
                <w:rFonts w:eastAsia="Times New Roman" w:cs="Arial"/>
                <w:szCs w:val="16"/>
                <w:lang w:eastAsia="en-GB"/>
              </w:rPr>
              <w:t>Gerald K</w:t>
            </w:r>
            <w:r w:rsidR="00A4781A">
              <w:rPr>
                <w:rFonts w:eastAsia="Times New Roman" w:cs="Arial"/>
                <w:szCs w:val="16"/>
                <w:lang w:eastAsia="en-GB"/>
              </w:rPr>
              <w:t>ueh</w:t>
            </w:r>
            <w:r>
              <w:rPr>
                <w:rFonts w:eastAsia="Times New Roman" w:cs="Arial"/>
                <w:szCs w:val="16"/>
                <w:lang w:eastAsia="en-GB"/>
              </w:rPr>
              <w:t>r, C</w:t>
            </w:r>
            <w:r w:rsidR="003419DD">
              <w:rPr>
                <w:rFonts w:eastAsia="Times New Roman" w:cs="Arial"/>
                <w:szCs w:val="16"/>
                <w:lang w:eastAsia="en-GB"/>
              </w:rPr>
              <w:t>hief Executive Officer</w:t>
            </w:r>
            <w:r>
              <w:rPr>
                <w:rFonts w:eastAsia="Times New Roman" w:cs="Arial"/>
                <w:szCs w:val="16"/>
                <w:lang w:eastAsia="en-GB"/>
              </w:rPr>
              <w:t xml:space="preserve"> Designate </w:t>
            </w:r>
          </w:p>
          <w:p w14:paraId="70484547" w14:textId="77777777" w:rsidR="008858D5" w:rsidRPr="00A95045" w:rsidRDefault="008858D5" w:rsidP="008858D5">
            <w:pPr>
              <w:spacing w:line="276" w:lineRule="auto"/>
              <w:jc w:val="both"/>
              <w:rPr>
                <w:rFonts w:eastAsia="Times New Roman" w:cs="Arial"/>
                <w:b/>
                <w:bCs/>
                <w:szCs w:val="16"/>
                <w:lang w:eastAsia="en-GB"/>
              </w:rPr>
            </w:pPr>
            <w:r w:rsidRPr="00A95045">
              <w:rPr>
                <w:rFonts w:eastAsia="Times New Roman" w:cs="Arial"/>
                <w:szCs w:val="16"/>
                <w:lang w:eastAsia="en-GB"/>
              </w:rPr>
              <w:t>Rohan Cummings, Chief Financial Officer</w:t>
            </w:r>
          </w:p>
        </w:tc>
        <w:tc>
          <w:tcPr>
            <w:tcW w:w="4954" w:type="dxa"/>
            <w:hideMark/>
          </w:tcPr>
          <w:p w14:paraId="1F9697A0" w14:textId="77777777" w:rsidR="008858D5" w:rsidRPr="00A95045" w:rsidRDefault="008858D5" w:rsidP="008858D5">
            <w:pPr>
              <w:spacing w:after="240" w:line="276" w:lineRule="auto"/>
              <w:jc w:val="both"/>
              <w:rPr>
                <w:rFonts w:eastAsia="Times New Roman" w:cs="Arial"/>
                <w:b/>
                <w:bCs/>
                <w:szCs w:val="16"/>
                <w:lang w:eastAsia="en-GB"/>
              </w:rPr>
            </w:pPr>
            <w:r w:rsidRPr="00A95045">
              <w:rPr>
                <w:rFonts w:eastAsia="Times New Roman" w:cs="Arial"/>
                <w:szCs w:val="16"/>
                <w:lang w:eastAsia="en-GB"/>
              </w:rPr>
              <w:t>Tel: +44 (0)1525 887310</w:t>
            </w:r>
            <w:r w:rsidRPr="00A95045">
              <w:rPr>
                <w:rFonts w:eastAsia="Times New Roman" w:cs="Arial"/>
                <w:b/>
                <w:bCs/>
                <w:szCs w:val="16"/>
                <w:lang w:eastAsia="en-GB"/>
              </w:rPr>
              <w:t> </w:t>
            </w:r>
          </w:p>
        </w:tc>
      </w:tr>
      <w:tr w:rsidR="00572CF1" w:rsidRPr="00A95045" w14:paraId="484D8BFD" w14:textId="77777777">
        <w:trPr>
          <w:trHeight w:val="57"/>
        </w:trPr>
        <w:tc>
          <w:tcPr>
            <w:tcW w:w="4678" w:type="dxa"/>
            <w:hideMark/>
          </w:tcPr>
          <w:p w14:paraId="103AA6D3" w14:textId="77777777" w:rsidR="008858D5" w:rsidRPr="00A95045" w:rsidRDefault="008858D5" w:rsidP="008858D5">
            <w:pPr>
              <w:spacing w:before="240" w:line="276" w:lineRule="auto"/>
              <w:jc w:val="both"/>
              <w:rPr>
                <w:rFonts w:eastAsia="Times New Roman" w:cs="Arial"/>
                <w:b/>
                <w:bCs/>
                <w:szCs w:val="16"/>
                <w:lang w:eastAsia="en-GB"/>
              </w:rPr>
            </w:pPr>
            <w:r w:rsidRPr="00A95045">
              <w:rPr>
                <w:rFonts w:eastAsia="Times New Roman" w:cs="Arial"/>
                <w:b/>
                <w:bCs/>
                <w:szCs w:val="16"/>
                <w:lang w:eastAsia="en-GB"/>
              </w:rPr>
              <w:t>Canaccord Genuity Limited (Nomad and Broker)</w:t>
            </w:r>
          </w:p>
          <w:p w14:paraId="351E9723" w14:textId="77777777" w:rsidR="008858D5" w:rsidRPr="00A95045" w:rsidRDefault="008858D5" w:rsidP="008858D5">
            <w:pPr>
              <w:spacing w:line="276" w:lineRule="auto"/>
              <w:jc w:val="both"/>
              <w:rPr>
                <w:rFonts w:eastAsia="Times New Roman" w:cs="Arial"/>
                <w:szCs w:val="16"/>
                <w:lang w:eastAsia="en-GB"/>
              </w:rPr>
            </w:pPr>
            <w:r w:rsidRPr="00A95045">
              <w:rPr>
                <w:rFonts w:eastAsia="Times New Roman" w:cs="Arial"/>
                <w:szCs w:val="16"/>
                <w:lang w:eastAsia="en-GB"/>
              </w:rPr>
              <w:t>Bobbie Hilliam</w:t>
            </w:r>
          </w:p>
          <w:p w14:paraId="7198F32D" w14:textId="77777777" w:rsidR="008858D5" w:rsidRPr="00A95045" w:rsidRDefault="008858D5" w:rsidP="008858D5">
            <w:pPr>
              <w:spacing w:line="276" w:lineRule="auto"/>
              <w:jc w:val="both"/>
              <w:rPr>
                <w:rFonts w:eastAsia="Times New Roman" w:cs="Arial"/>
                <w:b/>
                <w:bCs/>
                <w:szCs w:val="16"/>
                <w:lang w:eastAsia="en-GB"/>
              </w:rPr>
            </w:pPr>
            <w:r w:rsidRPr="00A95045">
              <w:rPr>
                <w:rFonts w:eastAsia="Times New Roman" w:cs="Arial"/>
                <w:szCs w:val="16"/>
                <w:lang w:eastAsia="en-GB"/>
              </w:rPr>
              <w:t>Elizabeth Halley-Stott</w:t>
            </w:r>
          </w:p>
        </w:tc>
        <w:tc>
          <w:tcPr>
            <w:tcW w:w="4954" w:type="dxa"/>
            <w:hideMark/>
          </w:tcPr>
          <w:p w14:paraId="13B600E8" w14:textId="77777777" w:rsidR="008858D5" w:rsidRPr="00A95045" w:rsidRDefault="008858D5" w:rsidP="008858D5">
            <w:pPr>
              <w:spacing w:before="240" w:after="240" w:line="276" w:lineRule="auto"/>
              <w:jc w:val="both"/>
              <w:rPr>
                <w:rFonts w:eastAsia="Times New Roman" w:cs="Arial"/>
                <w:szCs w:val="16"/>
                <w:lang w:eastAsia="en-GB"/>
              </w:rPr>
            </w:pPr>
            <w:r w:rsidRPr="00A95045">
              <w:rPr>
                <w:rFonts w:eastAsia="Times New Roman" w:cs="Arial"/>
                <w:szCs w:val="16"/>
                <w:lang w:eastAsia="en-GB"/>
              </w:rPr>
              <w:t>Tel: +44 (0)20 7523 8000</w:t>
            </w:r>
          </w:p>
        </w:tc>
      </w:tr>
      <w:tr w:rsidR="008858D5" w:rsidRPr="001A0FEC" w14:paraId="163B22D9" w14:textId="77777777">
        <w:trPr>
          <w:trHeight w:val="57"/>
        </w:trPr>
        <w:tc>
          <w:tcPr>
            <w:tcW w:w="4678" w:type="dxa"/>
            <w:hideMark/>
          </w:tcPr>
          <w:p w14:paraId="62003C3B" w14:textId="77777777" w:rsidR="008858D5" w:rsidRPr="00A95045" w:rsidRDefault="008858D5" w:rsidP="008858D5">
            <w:pPr>
              <w:spacing w:before="240" w:line="276" w:lineRule="auto"/>
              <w:jc w:val="both"/>
              <w:rPr>
                <w:rFonts w:eastAsia="Times New Roman" w:cs="Arial"/>
                <w:b/>
                <w:bCs/>
                <w:szCs w:val="16"/>
                <w:lang w:eastAsia="en-GB"/>
              </w:rPr>
            </w:pPr>
            <w:r w:rsidRPr="00A95045">
              <w:rPr>
                <w:rFonts w:eastAsia="Times New Roman" w:cs="Arial"/>
                <w:b/>
                <w:bCs/>
                <w:szCs w:val="16"/>
                <w:lang w:eastAsia="en-GB"/>
              </w:rPr>
              <w:t>Alma Strategic Communications</w:t>
            </w:r>
          </w:p>
          <w:p w14:paraId="3E137CAC" w14:textId="77777777" w:rsidR="008858D5" w:rsidRPr="00A95045" w:rsidRDefault="008858D5" w:rsidP="008858D5">
            <w:pPr>
              <w:spacing w:line="276" w:lineRule="auto"/>
              <w:jc w:val="both"/>
              <w:rPr>
                <w:rFonts w:eastAsia="Times New Roman" w:cs="Arial"/>
                <w:szCs w:val="16"/>
                <w:lang w:eastAsia="en-GB"/>
              </w:rPr>
            </w:pPr>
            <w:r w:rsidRPr="00A95045">
              <w:rPr>
                <w:rFonts w:eastAsia="Times New Roman" w:cs="Arial"/>
                <w:szCs w:val="16"/>
                <w:lang w:eastAsia="en-GB"/>
              </w:rPr>
              <w:t>Rebecca Sanders-Hewett</w:t>
            </w:r>
          </w:p>
          <w:p w14:paraId="0CA2B924" w14:textId="77777777" w:rsidR="008858D5" w:rsidRPr="00A95045" w:rsidRDefault="008858D5" w:rsidP="008858D5">
            <w:pPr>
              <w:spacing w:line="276" w:lineRule="auto"/>
              <w:jc w:val="both"/>
              <w:rPr>
                <w:rFonts w:eastAsia="Times New Roman" w:cs="Arial"/>
                <w:szCs w:val="16"/>
                <w:lang w:eastAsia="en-GB"/>
              </w:rPr>
            </w:pPr>
            <w:r w:rsidRPr="00A95045">
              <w:rPr>
                <w:rFonts w:eastAsia="Times New Roman" w:cs="Arial"/>
                <w:szCs w:val="16"/>
                <w:lang w:eastAsia="en-GB"/>
              </w:rPr>
              <w:t>Sam Modlin</w:t>
            </w:r>
          </w:p>
          <w:p w14:paraId="59A547B5" w14:textId="77777777" w:rsidR="008858D5" w:rsidRPr="00A95045" w:rsidRDefault="008858D5" w:rsidP="008858D5">
            <w:pPr>
              <w:spacing w:after="240" w:line="276" w:lineRule="auto"/>
              <w:jc w:val="both"/>
              <w:rPr>
                <w:rFonts w:eastAsia="Times New Roman" w:cs="Arial"/>
                <w:b/>
                <w:bCs/>
                <w:szCs w:val="16"/>
                <w:lang w:eastAsia="en-GB"/>
              </w:rPr>
            </w:pPr>
            <w:r w:rsidRPr="00A95045">
              <w:rPr>
                <w:rFonts w:eastAsia="Times New Roman" w:cs="Arial"/>
                <w:szCs w:val="16"/>
                <w:lang w:eastAsia="en-GB"/>
              </w:rPr>
              <w:t>Will Merison</w:t>
            </w:r>
          </w:p>
        </w:tc>
        <w:tc>
          <w:tcPr>
            <w:tcW w:w="4954" w:type="dxa"/>
            <w:hideMark/>
          </w:tcPr>
          <w:p w14:paraId="34BCDC59" w14:textId="77777777" w:rsidR="008858D5" w:rsidRPr="00A95045" w:rsidRDefault="008858D5" w:rsidP="008858D5">
            <w:pPr>
              <w:spacing w:line="276" w:lineRule="auto"/>
              <w:jc w:val="both"/>
              <w:rPr>
                <w:rFonts w:eastAsia="Times New Roman" w:cs="Arial"/>
                <w:b/>
                <w:bCs/>
                <w:szCs w:val="16"/>
                <w:lang w:eastAsia="en-GB"/>
              </w:rPr>
            </w:pPr>
          </w:p>
          <w:p w14:paraId="4C5E03E5" w14:textId="77777777" w:rsidR="008858D5" w:rsidRPr="00A95045" w:rsidRDefault="008858D5" w:rsidP="008858D5">
            <w:pPr>
              <w:spacing w:line="276" w:lineRule="auto"/>
              <w:jc w:val="both"/>
              <w:rPr>
                <w:rFonts w:eastAsia="Times New Roman" w:cs="Arial"/>
                <w:szCs w:val="16"/>
                <w:lang w:eastAsia="en-GB"/>
              </w:rPr>
            </w:pPr>
            <w:r w:rsidRPr="00A95045">
              <w:rPr>
                <w:rFonts w:eastAsia="Times New Roman" w:cs="Arial"/>
                <w:szCs w:val="16"/>
                <w:lang w:eastAsia="en-GB"/>
              </w:rPr>
              <w:t>Tel: +44 (0)20 3405 0205</w:t>
            </w:r>
          </w:p>
          <w:p w14:paraId="4DC83F8F" w14:textId="77777777" w:rsidR="008858D5" w:rsidRPr="00A95045" w:rsidRDefault="008858D5" w:rsidP="008858D5">
            <w:pPr>
              <w:spacing w:after="240" w:line="276" w:lineRule="auto"/>
              <w:jc w:val="both"/>
              <w:rPr>
                <w:rFonts w:eastAsia="Times New Roman" w:cs="Arial"/>
                <w:b/>
                <w:bCs/>
                <w:szCs w:val="16"/>
                <w:lang w:eastAsia="en-GB"/>
              </w:rPr>
            </w:pPr>
            <w:r w:rsidRPr="00A95045">
              <w:rPr>
                <w:rFonts w:eastAsia="Times New Roman" w:cs="Arial"/>
                <w:szCs w:val="16"/>
                <w:lang w:eastAsia="en-GB"/>
              </w:rPr>
              <w:t>designgroup@almastrategic.com</w:t>
            </w:r>
          </w:p>
        </w:tc>
      </w:tr>
    </w:tbl>
    <w:p w14:paraId="75B4A6C3" w14:textId="77777777" w:rsidR="008858D5" w:rsidRPr="00B8452B" w:rsidRDefault="008858D5" w:rsidP="008858D5">
      <w:pPr>
        <w:rPr>
          <w:rFonts w:eastAsia="MS Mincho" w:cs="Arial"/>
          <w:b/>
          <w:szCs w:val="16"/>
        </w:rPr>
      </w:pPr>
    </w:p>
    <w:p w14:paraId="2E6E6F11" w14:textId="77777777" w:rsidR="008858D5" w:rsidRPr="00A95045" w:rsidRDefault="008858D5" w:rsidP="008858D5">
      <w:pPr>
        <w:rPr>
          <w:rFonts w:eastAsia="Times New Roman" w:cs="Arial"/>
          <w:szCs w:val="16"/>
          <w:lang w:eastAsia="en-GB"/>
        </w:rPr>
      </w:pPr>
      <w:r w:rsidRPr="00A95045">
        <w:rPr>
          <w:rFonts w:eastAsia="Times New Roman" w:cs="Arial"/>
          <w:szCs w:val="16"/>
          <w:lang w:eastAsia="en-GB"/>
        </w:rPr>
        <w:t>This announcement contains inside information for the purposes of article 7 of the Market Abuse Regulation (EU) 596/2014 (which forms part of domestic UK law pursuant to the European Union (Withdrawal) Act 2018 ("UK MAR"). With the publication of this announcement, this information is now considered to be in the public domain.</w:t>
      </w:r>
    </w:p>
    <w:p w14:paraId="5DA7AC20" w14:textId="77777777" w:rsidR="008858D5" w:rsidRPr="00B8452B" w:rsidRDefault="008858D5" w:rsidP="008858D5">
      <w:pPr>
        <w:rPr>
          <w:rFonts w:eastAsia="MS Mincho" w:cs="Arial"/>
          <w:b/>
          <w:szCs w:val="16"/>
        </w:rPr>
      </w:pPr>
    </w:p>
    <w:p w14:paraId="7379042C" w14:textId="77777777" w:rsidR="00672E3D" w:rsidRPr="00B8452B" w:rsidRDefault="00672E3D" w:rsidP="008858D5">
      <w:pPr>
        <w:spacing w:line="276" w:lineRule="auto"/>
        <w:rPr>
          <w:rFonts w:eastAsia="MS Mincho" w:cs="Arial"/>
          <w:b/>
          <w:szCs w:val="16"/>
        </w:rPr>
      </w:pPr>
    </w:p>
    <w:p w14:paraId="3C7D4734" w14:textId="77777777" w:rsidR="00A95045" w:rsidRPr="00B8452B" w:rsidRDefault="00A95045" w:rsidP="008858D5">
      <w:pPr>
        <w:spacing w:line="276" w:lineRule="auto"/>
        <w:rPr>
          <w:rFonts w:eastAsia="MS Mincho" w:cs="Arial"/>
          <w:b/>
          <w:szCs w:val="16"/>
        </w:rPr>
      </w:pPr>
    </w:p>
    <w:p w14:paraId="75389C94" w14:textId="77777777" w:rsidR="00A95045" w:rsidRPr="00B8452B" w:rsidRDefault="00A95045" w:rsidP="008858D5">
      <w:pPr>
        <w:spacing w:line="276" w:lineRule="auto"/>
        <w:rPr>
          <w:rFonts w:eastAsia="MS Mincho" w:cs="Arial"/>
          <w:b/>
          <w:szCs w:val="16"/>
        </w:rPr>
      </w:pPr>
    </w:p>
    <w:p w14:paraId="67CFF637" w14:textId="77777777" w:rsidR="00A95045" w:rsidRPr="00B8452B" w:rsidRDefault="00A95045" w:rsidP="008858D5">
      <w:pPr>
        <w:spacing w:line="276" w:lineRule="auto"/>
        <w:rPr>
          <w:rFonts w:eastAsia="MS Mincho" w:cs="Arial"/>
          <w:b/>
          <w:szCs w:val="16"/>
        </w:rPr>
      </w:pPr>
    </w:p>
    <w:p w14:paraId="2C7E38EA" w14:textId="77777777" w:rsidR="00A95045" w:rsidRPr="00B8452B" w:rsidRDefault="00A95045" w:rsidP="008858D5">
      <w:pPr>
        <w:spacing w:line="276" w:lineRule="auto"/>
        <w:rPr>
          <w:rFonts w:eastAsia="MS Mincho" w:cs="Arial"/>
          <w:b/>
          <w:szCs w:val="16"/>
        </w:rPr>
      </w:pPr>
    </w:p>
    <w:p w14:paraId="7B67D72B" w14:textId="77777777" w:rsidR="00A95045" w:rsidRPr="00B8452B" w:rsidRDefault="00A95045" w:rsidP="008858D5">
      <w:pPr>
        <w:spacing w:line="276" w:lineRule="auto"/>
        <w:rPr>
          <w:rFonts w:eastAsia="MS Mincho" w:cs="Arial"/>
          <w:b/>
          <w:szCs w:val="16"/>
        </w:rPr>
      </w:pPr>
    </w:p>
    <w:p w14:paraId="4BE370C0" w14:textId="77777777" w:rsidR="00A95045" w:rsidRPr="00B8452B" w:rsidRDefault="00A95045" w:rsidP="008858D5">
      <w:pPr>
        <w:spacing w:line="276" w:lineRule="auto"/>
        <w:rPr>
          <w:rFonts w:eastAsia="MS Mincho" w:cs="Arial"/>
          <w:b/>
          <w:szCs w:val="16"/>
        </w:rPr>
      </w:pPr>
    </w:p>
    <w:p w14:paraId="366CC209" w14:textId="77777777" w:rsidR="00A95045" w:rsidRPr="00B8452B" w:rsidRDefault="00A95045" w:rsidP="008858D5">
      <w:pPr>
        <w:spacing w:line="276" w:lineRule="auto"/>
        <w:rPr>
          <w:rFonts w:eastAsia="MS Mincho" w:cs="Arial"/>
          <w:b/>
          <w:szCs w:val="16"/>
        </w:rPr>
      </w:pPr>
    </w:p>
    <w:p w14:paraId="4FEE16E5" w14:textId="77777777" w:rsidR="00A95045" w:rsidRPr="00B8452B" w:rsidRDefault="00A95045" w:rsidP="008858D5">
      <w:pPr>
        <w:spacing w:line="276" w:lineRule="auto"/>
        <w:rPr>
          <w:rFonts w:eastAsia="MS Mincho" w:cs="Arial"/>
          <w:b/>
          <w:szCs w:val="16"/>
        </w:rPr>
      </w:pPr>
    </w:p>
    <w:p w14:paraId="6E04E679" w14:textId="77777777" w:rsidR="00A95045" w:rsidRPr="00B8452B" w:rsidRDefault="00A95045" w:rsidP="008858D5">
      <w:pPr>
        <w:spacing w:line="276" w:lineRule="auto"/>
        <w:rPr>
          <w:rFonts w:eastAsia="MS Mincho" w:cs="Arial"/>
          <w:b/>
          <w:szCs w:val="16"/>
        </w:rPr>
      </w:pPr>
    </w:p>
    <w:p w14:paraId="2AB68D71" w14:textId="77777777" w:rsidR="00A95045" w:rsidRPr="00B8452B" w:rsidRDefault="00A95045" w:rsidP="008858D5">
      <w:pPr>
        <w:spacing w:line="276" w:lineRule="auto"/>
        <w:rPr>
          <w:rFonts w:eastAsia="MS Mincho" w:cs="Arial"/>
          <w:b/>
          <w:szCs w:val="16"/>
        </w:rPr>
      </w:pPr>
    </w:p>
    <w:p w14:paraId="5FA62176" w14:textId="77777777" w:rsidR="00A95045" w:rsidRPr="00B8452B" w:rsidRDefault="00A95045" w:rsidP="008858D5">
      <w:pPr>
        <w:spacing w:line="276" w:lineRule="auto"/>
        <w:rPr>
          <w:rFonts w:eastAsia="MS Mincho" w:cs="Arial"/>
          <w:b/>
          <w:szCs w:val="16"/>
        </w:rPr>
      </w:pPr>
    </w:p>
    <w:p w14:paraId="5D479666" w14:textId="77777777" w:rsidR="00A95045" w:rsidRPr="00B8452B" w:rsidRDefault="00A95045" w:rsidP="008858D5">
      <w:pPr>
        <w:spacing w:line="276" w:lineRule="auto"/>
        <w:rPr>
          <w:rFonts w:eastAsia="MS Mincho" w:cs="Arial"/>
          <w:b/>
          <w:szCs w:val="16"/>
        </w:rPr>
      </w:pPr>
    </w:p>
    <w:p w14:paraId="226362FF" w14:textId="77777777" w:rsidR="00A95045" w:rsidRPr="00B8452B" w:rsidRDefault="00A95045" w:rsidP="008858D5">
      <w:pPr>
        <w:spacing w:line="276" w:lineRule="auto"/>
        <w:rPr>
          <w:rFonts w:eastAsia="MS Mincho" w:cs="Arial"/>
          <w:b/>
          <w:szCs w:val="16"/>
        </w:rPr>
      </w:pPr>
    </w:p>
    <w:p w14:paraId="093AF7E0" w14:textId="77777777" w:rsidR="00A95045" w:rsidRPr="00B8452B" w:rsidRDefault="00A95045" w:rsidP="008858D5">
      <w:pPr>
        <w:spacing w:line="276" w:lineRule="auto"/>
        <w:rPr>
          <w:rFonts w:eastAsia="MS Mincho" w:cs="Arial"/>
          <w:b/>
          <w:szCs w:val="16"/>
        </w:rPr>
      </w:pPr>
    </w:p>
    <w:p w14:paraId="6825D21A" w14:textId="77777777" w:rsidR="00A95045" w:rsidRPr="00B8452B" w:rsidRDefault="00A95045" w:rsidP="008858D5">
      <w:pPr>
        <w:spacing w:line="276" w:lineRule="auto"/>
        <w:rPr>
          <w:rFonts w:eastAsia="MS Mincho" w:cs="Arial"/>
          <w:b/>
          <w:szCs w:val="16"/>
        </w:rPr>
      </w:pPr>
    </w:p>
    <w:p w14:paraId="4D095E44" w14:textId="77777777" w:rsidR="00A95045" w:rsidRPr="00B8452B" w:rsidRDefault="00A95045" w:rsidP="008858D5">
      <w:pPr>
        <w:spacing w:line="276" w:lineRule="auto"/>
        <w:rPr>
          <w:rFonts w:eastAsia="MS Mincho" w:cs="Arial"/>
          <w:b/>
          <w:szCs w:val="16"/>
        </w:rPr>
      </w:pPr>
    </w:p>
    <w:p w14:paraId="6A0D1004" w14:textId="77777777" w:rsidR="00A95045" w:rsidRPr="00B8452B" w:rsidRDefault="00A95045" w:rsidP="008858D5">
      <w:pPr>
        <w:spacing w:line="276" w:lineRule="auto"/>
        <w:rPr>
          <w:rFonts w:eastAsia="MS Mincho" w:cs="Arial"/>
          <w:b/>
          <w:szCs w:val="16"/>
        </w:rPr>
      </w:pPr>
    </w:p>
    <w:p w14:paraId="62CEEBB7" w14:textId="60388613" w:rsidR="0056780B" w:rsidRPr="007D077D" w:rsidRDefault="008858D5" w:rsidP="00824011">
      <w:pPr>
        <w:pStyle w:val="Heading2"/>
        <w:rPr>
          <w:b w:val="0"/>
          <w:szCs w:val="16"/>
        </w:rPr>
      </w:pPr>
      <w:r w:rsidRPr="00824011">
        <w:rPr>
          <w:sz w:val="16"/>
          <w:szCs w:val="16"/>
        </w:rPr>
        <w:t xml:space="preserve">Overview </w:t>
      </w:r>
      <w:r w:rsidR="0056780B" w:rsidRPr="00824011">
        <w:rPr>
          <w:sz w:val="16"/>
          <w:szCs w:val="16"/>
        </w:rPr>
        <w:t xml:space="preserve">– </w:t>
      </w:r>
      <w:r w:rsidR="0056780B" w:rsidRPr="00824011">
        <w:rPr>
          <w:b w:val="0"/>
          <w:i/>
          <w:sz w:val="16"/>
          <w:szCs w:val="16"/>
        </w:rPr>
        <w:t xml:space="preserve">a more focused, </w:t>
      </w:r>
      <w:r w:rsidR="00D330C5" w:rsidRPr="00824011">
        <w:rPr>
          <w:b w:val="0"/>
          <w:i/>
          <w:sz w:val="16"/>
          <w:szCs w:val="16"/>
        </w:rPr>
        <w:t>simpler, profitable</w:t>
      </w:r>
      <w:r w:rsidR="0056780B" w:rsidRPr="00824011">
        <w:rPr>
          <w:b w:val="0"/>
          <w:i/>
          <w:sz w:val="16"/>
          <w:szCs w:val="16"/>
        </w:rPr>
        <w:t xml:space="preserve"> and cash</w:t>
      </w:r>
      <w:r w:rsidR="00877E53">
        <w:rPr>
          <w:b w:val="0"/>
          <w:i/>
          <w:sz w:val="16"/>
          <w:szCs w:val="16"/>
        </w:rPr>
        <w:t>-</w:t>
      </w:r>
      <w:r w:rsidR="0056780B" w:rsidRPr="00824011">
        <w:rPr>
          <w:b w:val="0"/>
          <w:i/>
          <w:sz w:val="16"/>
          <w:szCs w:val="16"/>
        </w:rPr>
        <w:t>generative business</w:t>
      </w:r>
    </w:p>
    <w:p w14:paraId="5C2374E4" w14:textId="737C7F62" w:rsidR="005D1231" w:rsidRPr="005B0EAC" w:rsidRDefault="5B01D8DB" w:rsidP="005D1231">
      <w:pPr>
        <w:spacing w:line="276" w:lineRule="auto"/>
        <w:jc w:val="both"/>
        <w:rPr>
          <w:rFonts w:eastAsia="Times New Roman" w:cs="Arial"/>
          <w:szCs w:val="16"/>
          <w:lang w:eastAsia="en-GB"/>
        </w:rPr>
      </w:pPr>
      <w:r w:rsidRPr="506BEAC4">
        <w:rPr>
          <w:rFonts w:eastAsia="MS Mincho" w:cs="Arial"/>
        </w:rPr>
        <w:t xml:space="preserve">The Group delivered a strong performance in FY2026, exceeding </w:t>
      </w:r>
      <w:r w:rsidR="4A6EA8CF" w:rsidRPr="506BEAC4">
        <w:rPr>
          <w:rFonts w:eastAsia="MS Mincho" w:cs="Arial"/>
        </w:rPr>
        <w:t xml:space="preserve">management </w:t>
      </w:r>
      <w:r w:rsidRPr="506BEAC4">
        <w:rPr>
          <w:rFonts w:eastAsia="MS Mincho" w:cs="Arial"/>
        </w:rPr>
        <w:t>expectations despite a challenging consumer and pricing environment</w:t>
      </w:r>
      <w:r w:rsidR="53134FD7" w:rsidRPr="506BEAC4">
        <w:rPr>
          <w:rFonts w:eastAsia="MS Mincho" w:cs="Arial"/>
        </w:rPr>
        <w:t>. T</w:t>
      </w:r>
      <w:r w:rsidRPr="506BEAC4">
        <w:rPr>
          <w:rFonts w:eastAsia="MS Mincho" w:cs="Arial"/>
        </w:rPr>
        <w:t>he disposal of DG Americas to Hilco on 30 May 2025 mark</w:t>
      </w:r>
      <w:r w:rsidR="53134FD7" w:rsidRPr="506BEAC4">
        <w:rPr>
          <w:rFonts w:eastAsia="MS Mincho" w:cs="Arial"/>
        </w:rPr>
        <w:t>ed</w:t>
      </w:r>
      <w:r w:rsidRPr="506BEAC4">
        <w:rPr>
          <w:rFonts w:eastAsia="MS Mincho" w:cs="Arial"/>
        </w:rPr>
        <w:t xml:space="preserve"> a pivotal step in reshaping the business</w:t>
      </w:r>
      <w:r w:rsidR="53134FD7" w:rsidRPr="506BEAC4">
        <w:rPr>
          <w:rFonts w:eastAsia="MS Mincho" w:cs="Arial"/>
        </w:rPr>
        <w:t xml:space="preserve">, </w:t>
      </w:r>
      <w:r w:rsidRPr="506BEAC4">
        <w:rPr>
          <w:rFonts w:eastAsia="MS Mincho" w:cs="Arial"/>
        </w:rPr>
        <w:t>simplif</w:t>
      </w:r>
      <w:r w:rsidR="15524AEC" w:rsidRPr="506BEAC4">
        <w:rPr>
          <w:rFonts w:eastAsia="MS Mincho" w:cs="Arial"/>
        </w:rPr>
        <w:t>ying</w:t>
      </w:r>
      <w:r w:rsidRPr="506BEAC4">
        <w:rPr>
          <w:rFonts w:eastAsia="MS Mincho" w:cs="Arial"/>
        </w:rPr>
        <w:t xml:space="preserve"> the Group and enhanc</w:t>
      </w:r>
      <w:r w:rsidR="15524AEC" w:rsidRPr="506BEAC4">
        <w:rPr>
          <w:rFonts w:eastAsia="MS Mincho" w:cs="Arial"/>
        </w:rPr>
        <w:t>ing</w:t>
      </w:r>
      <w:r w:rsidRPr="506BEAC4">
        <w:rPr>
          <w:rFonts w:eastAsia="MS Mincho" w:cs="Arial"/>
        </w:rPr>
        <w:t xml:space="preserve"> the quality of earnings, positioning it as a more focused, profitable and cash-generative business. </w:t>
      </w:r>
      <w:r w:rsidR="005D1231" w:rsidRPr="009352B5">
        <w:rPr>
          <w:rFonts w:eastAsia="Times New Roman" w:cs="Arial"/>
          <w:szCs w:val="16"/>
          <w:lang w:eastAsia="en-GB"/>
        </w:rPr>
        <w:t xml:space="preserve">Following the disposal of DG Americas, the following Executive Review is presented on a continuing Group basis. </w:t>
      </w:r>
      <w:r w:rsidR="005D1231" w:rsidRPr="005B0EAC">
        <w:rPr>
          <w:rFonts w:eastAsia="Times New Roman" w:cs="Arial"/>
          <w:szCs w:val="16"/>
          <w:lang w:eastAsia="en-GB"/>
        </w:rPr>
        <w:t xml:space="preserve">Reflecting </w:t>
      </w:r>
      <w:r w:rsidR="005D1231">
        <w:rPr>
          <w:rFonts w:eastAsia="Times New Roman" w:cs="Arial"/>
          <w:szCs w:val="16"/>
          <w:lang w:eastAsia="en-GB"/>
        </w:rPr>
        <w:t xml:space="preserve">this </w:t>
      </w:r>
      <w:r w:rsidR="005D1231" w:rsidRPr="005B0EAC">
        <w:rPr>
          <w:rFonts w:eastAsia="Times New Roman" w:cs="Arial"/>
          <w:szCs w:val="16"/>
          <w:lang w:eastAsia="en-GB"/>
        </w:rPr>
        <w:t>evolution of the Group, GBP has been adopted as its presentation currency during the year</w:t>
      </w:r>
      <w:r w:rsidR="0059160B">
        <w:rPr>
          <w:rFonts w:eastAsia="Times New Roman" w:cs="Arial"/>
          <w:szCs w:val="16"/>
          <w:lang w:eastAsia="en-GB"/>
        </w:rPr>
        <w:t xml:space="preserve">; </w:t>
      </w:r>
      <w:r w:rsidR="00ED16FE">
        <w:rPr>
          <w:rFonts w:eastAsia="Times New Roman" w:cs="Arial"/>
          <w:szCs w:val="16"/>
          <w:lang w:eastAsia="en-GB"/>
        </w:rPr>
        <w:t xml:space="preserve">the </w:t>
      </w:r>
      <w:r w:rsidR="005D1231">
        <w:rPr>
          <w:rFonts w:eastAsia="Times New Roman" w:cs="Arial"/>
          <w:szCs w:val="16"/>
          <w:lang w:eastAsia="en-GB"/>
        </w:rPr>
        <w:t>prior year has been restated to reflect this</w:t>
      </w:r>
      <w:r w:rsidR="005D1231" w:rsidDel="00717AAE">
        <w:rPr>
          <w:rFonts w:eastAsia="Times New Roman" w:cs="Arial"/>
          <w:szCs w:val="16"/>
          <w:lang w:eastAsia="en-GB"/>
        </w:rPr>
        <w:t>.</w:t>
      </w:r>
    </w:p>
    <w:p w14:paraId="3D1D1B38" w14:textId="77777777" w:rsidR="00732D61" w:rsidRPr="005B0EAC" w:rsidRDefault="00732D61" w:rsidP="005D1231">
      <w:pPr>
        <w:spacing w:line="276" w:lineRule="auto"/>
        <w:jc w:val="both"/>
        <w:rPr>
          <w:rFonts w:eastAsia="Times New Roman" w:cs="Arial"/>
          <w:szCs w:val="16"/>
          <w:lang w:eastAsia="en-GB"/>
        </w:rPr>
      </w:pPr>
    </w:p>
    <w:p w14:paraId="3E69E03A" w14:textId="3FCA3BA0" w:rsidR="00C44C48" w:rsidRPr="005136C6" w:rsidRDefault="00141767" w:rsidP="00EE76A8">
      <w:pPr>
        <w:spacing w:after="240" w:line="276" w:lineRule="auto"/>
        <w:rPr>
          <w:rFonts w:eastAsia="MS Mincho" w:cs="Arial"/>
        </w:rPr>
      </w:pPr>
      <w:r>
        <w:rPr>
          <w:rFonts w:eastAsia="MS Mincho" w:cs="Arial"/>
        </w:rPr>
        <w:t>C</w:t>
      </w:r>
      <w:r w:rsidR="5B01D8DB" w:rsidRPr="506BEAC4">
        <w:rPr>
          <w:rFonts w:eastAsia="MS Mincho" w:cs="Arial"/>
        </w:rPr>
        <w:t>ontinuing revenue was £217.9</w:t>
      </w:r>
      <w:r w:rsidR="003719ED">
        <w:rPr>
          <w:rFonts w:eastAsia="MS Mincho" w:cs="Arial"/>
        </w:rPr>
        <w:t xml:space="preserve"> </w:t>
      </w:r>
      <w:r w:rsidR="5B01D8DB" w:rsidRPr="506BEAC4">
        <w:rPr>
          <w:rFonts w:eastAsia="MS Mincho" w:cs="Arial"/>
        </w:rPr>
        <w:t>m</w:t>
      </w:r>
      <w:r w:rsidR="003719ED">
        <w:rPr>
          <w:rFonts w:eastAsia="MS Mincho" w:cs="Arial"/>
        </w:rPr>
        <w:t>illion</w:t>
      </w:r>
      <w:r w:rsidR="5B01D8DB" w:rsidRPr="506BEAC4">
        <w:rPr>
          <w:rFonts w:eastAsia="MS Mincho" w:cs="Arial"/>
        </w:rPr>
        <w:t xml:space="preserve"> (FY</w:t>
      </w:r>
      <w:r w:rsidR="15524AEC" w:rsidRPr="506BEAC4">
        <w:rPr>
          <w:rFonts w:eastAsia="MS Mincho" w:cs="Arial"/>
        </w:rPr>
        <w:t>20</w:t>
      </w:r>
      <w:r w:rsidR="5B01D8DB" w:rsidRPr="506BEAC4">
        <w:rPr>
          <w:rFonts w:eastAsia="MS Mincho" w:cs="Arial"/>
        </w:rPr>
        <w:t>25: £225.4</w:t>
      </w:r>
      <w:r w:rsidR="003719ED">
        <w:rPr>
          <w:rFonts w:eastAsia="MS Mincho" w:cs="Arial"/>
        </w:rPr>
        <w:t xml:space="preserve"> </w:t>
      </w:r>
      <w:r w:rsidR="5B01D8DB" w:rsidRPr="506BEAC4">
        <w:rPr>
          <w:rFonts w:eastAsia="MS Mincho" w:cs="Arial"/>
        </w:rPr>
        <w:t>m</w:t>
      </w:r>
      <w:r w:rsidR="003719ED">
        <w:rPr>
          <w:rFonts w:eastAsia="MS Mincho" w:cs="Arial"/>
        </w:rPr>
        <w:t>illion</w:t>
      </w:r>
      <w:r w:rsidR="5B01D8DB" w:rsidRPr="506BEAC4">
        <w:rPr>
          <w:rFonts w:eastAsia="MS Mincho" w:cs="Arial"/>
        </w:rPr>
        <w:t>) and adjusted operating profit was £9.6</w:t>
      </w:r>
      <w:r w:rsidR="003719ED">
        <w:rPr>
          <w:rFonts w:eastAsia="MS Mincho" w:cs="Arial"/>
        </w:rPr>
        <w:t xml:space="preserve"> </w:t>
      </w:r>
      <w:r w:rsidR="5B01D8DB" w:rsidRPr="506BEAC4">
        <w:rPr>
          <w:rFonts w:eastAsia="MS Mincho" w:cs="Arial"/>
        </w:rPr>
        <w:t>m</w:t>
      </w:r>
      <w:r w:rsidR="003719ED">
        <w:rPr>
          <w:rFonts w:eastAsia="MS Mincho" w:cs="Arial"/>
        </w:rPr>
        <w:t>illion</w:t>
      </w:r>
      <w:r w:rsidR="5B01D8DB" w:rsidRPr="506BEAC4">
        <w:rPr>
          <w:rFonts w:eastAsia="MS Mincho" w:cs="Arial"/>
        </w:rPr>
        <w:t xml:space="preserve"> (FY</w:t>
      </w:r>
      <w:r w:rsidR="15524AEC" w:rsidRPr="506BEAC4">
        <w:rPr>
          <w:rFonts w:eastAsia="MS Mincho" w:cs="Arial"/>
        </w:rPr>
        <w:t>20</w:t>
      </w:r>
      <w:r w:rsidR="5B01D8DB" w:rsidRPr="506BEAC4">
        <w:rPr>
          <w:rFonts w:eastAsia="MS Mincho" w:cs="Arial"/>
        </w:rPr>
        <w:t>25: £1</w:t>
      </w:r>
      <w:r w:rsidR="007A41B5">
        <w:rPr>
          <w:rFonts w:eastAsia="MS Mincho" w:cs="Arial"/>
        </w:rPr>
        <w:t>6.0</w:t>
      </w:r>
      <w:r w:rsidR="003719ED">
        <w:rPr>
          <w:rFonts w:eastAsia="MS Mincho" w:cs="Arial"/>
        </w:rPr>
        <w:t xml:space="preserve"> </w:t>
      </w:r>
      <w:r w:rsidR="5B01D8DB" w:rsidRPr="506BEAC4">
        <w:rPr>
          <w:rFonts w:eastAsia="MS Mincho" w:cs="Arial"/>
        </w:rPr>
        <w:t>m</w:t>
      </w:r>
      <w:r w:rsidR="003719ED">
        <w:rPr>
          <w:rFonts w:eastAsia="MS Mincho" w:cs="Arial"/>
        </w:rPr>
        <w:t>illion</w:t>
      </w:r>
      <w:r w:rsidR="5B01D8DB" w:rsidRPr="506BEAC4">
        <w:rPr>
          <w:rFonts w:eastAsia="MS Mincho" w:cs="Arial"/>
        </w:rPr>
        <w:t>), with a margin of 4.4% (FY</w:t>
      </w:r>
      <w:r w:rsidR="15524AEC" w:rsidRPr="506BEAC4">
        <w:rPr>
          <w:rFonts w:eastAsia="MS Mincho" w:cs="Arial"/>
        </w:rPr>
        <w:t>20</w:t>
      </w:r>
      <w:r w:rsidR="5B01D8DB" w:rsidRPr="506BEAC4">
        <w:rPr>
          <w:rFonts w:eastAsia="MS Mincho" w:cs="Arial"/>
        </w:rPr>
        <w:t xml:space="preserve">25: 7.1%), reflecting </w:t>
      </w:r>
      <w:r w:rsidR="000E2CDA">
        <w:rPr>
          <w:rFonts w:eastAsia="MS Mincho" w:cs="Arial"/>
        </w:rPr>
        <w:t xml:space="preserve">the impact of </w:t>
      </w:r>
      <w:r w:rsidR="5B01D8DB" w:rsidRPr="506BEAC4">
        <w:rPr>
          <w:rFonts w:eastAsia="MS Mincho" w:cs="Arial"/>
        </w:rPr>
        <w:t>tariff</w:t>
      </w:r>
      <w:r w:rsidR="000E2CDA">
        <w:rPr>
          <w:rFonts w:eastAsia="MS Mincho" w:cs="Arial"/>
        </w:rPr>
        <w:t>s</w:t>
      </w:r>
      <w:r w:rsidR="5B01D8DB" w:rsidRPr="506BEAC4">
        <w:rPr>
          <w:rFonts w:eastAsia="MS Mincho" w:cs="Arial"/>
        </w:rPr>
        <w:t xml:space="preserve">, </w:t>
      </w:r>
      <w:r w:rsidR="000E2CDA">
        <w:rPr>
          <w:rFonts w:eastAsia="MS Mincho" w:cs="Arial"/>
        </w:rPr>
        <w:t xml:space="preserve">competitive </w:t>
      </w:r>
      <w:r w:rsidR="5B01D8DB" w:rsidRPr="506BEAC4">
        <w:rPr>
          <w:rFonts w:eastAsia="MS Mincho" w:cs="Arial"/>
        </w:rPr>
        <w:t xml:space="preserve">pricing </w:t>
      </w:r>
      <w:r w:rsidR="000E2CDA">
        <w:rPr>
          <w:rFonts w:eastAsia="MS Mincho" w:cs="Arial"/>
        </w:rPr>
        <w:t xml:space="preserve">pressures </w:t>
      </w:r>
      <w:r w:rsidR="5B01D8DB" w:rsidRPr="506BEAC4">
        <w:rPr>
          <w:rFonts w:eastAsia="MS Mincho" w:cs="Arial"/>
        </w:rPr>
        <w:t xml:space="preserve">and softer UK demand, partially offset by ongoing product diversification and disciplined cost management. Cash generation was </w:t>
      </w:r>
      <w:r w:rsidR="00A25DCC" w:rsidRPr="506BEAC4">
        <w:rPr>
          <w:rFonts w:eastAsia="MS Mincho" w:cs="Arial"/>
        </w:rPr>
        <w:t>particularly</w:t>
      </w:r>
      <w:r w:rsidR="2574E218" w:rsidRPr="506BEAC4">
        <w:rPr>
          <w:rFonts w:eastAsia="MS Mincho" w:cs="Arial"/>
        </w:rPr>
        <w:t xml:space="preserve"> strong</w:t>
      </w:r>
      <w:r w:rsidR="5B01D8DB" w:rsidRPr="506BEAC4">
        <w:rPr>
          <w:rFonts w:eastAsia="MS Mincho" w:cs="Arial"/>
        </w:rPr>
        <w:t>, with a net inflow of £1</w:t>
      </w:r>
      <w:r w:rsidR="350D3DBB" w:rsidRPr="506BEAC4">
        <w:rPr>
          <w:rFonts w:eastAsia="MS Mincho" w:cs="Arial"/>
        </w:rPr>
        <w:t>6.</w:t>
      </w:r>
      <w:r w:rsidR="005D66C8">
        <w:rPr>
          <w:rFonts w:eastAsia="MS Mincho" w:cs="Arial"/>
        </w:rPr>
        <w:t>2</w:t>
      </w:r>
      <w:r w:rsidR="003719ED">
        <w:rPr>
          <w:rFonts w:eastAsia="MS Mincho" w:cs="Arial"/>
        </w:rPr>
        <w:t xml:space="preserve"> </w:t>
      </w:r>
      <w:r w:rsidR="5B01D8DB" w:rsidRPr="506BEAC4">
        <w:rPr>
          <w:rFonts w:eastAsia="MS Mincho" w:cs="Arial"/>
        </w:rPr>
        <w:t>m</w:t>
      </w:r>
      <w:r w:rsidR="003719ED">
        <w:rPr>
          <w:rFonts w:eastAsia="MS Mincho" w:cs="Arial"/>
        </w:rPr>
        <w:t>illion</w:t>
      </w:r>
      <w:r w:rsidR="5B01D8DB" w:rsidRPr="506BEAC4">
        <w:rPr>
          <w:rFonts w:eastAsia="MS Mincho" w:cs="Arial"/>
        </w:rPr>
        <w:t xml:space="preserve"> from continuing operations driven by a release of working capital as inventory levels normalised, resulting in a strong year-end net cash position of £54.</w:t>
      </w:r>
      <w:r w:rsidR="005D66C8">
        <w:rPr>
          <w:rFonts w:eastAsia="MS Mincho" w:cs="Arial"/>
        </w:rPr>
        <w:t>6</w:t>
      </w:r>
      <w:r w:rsidR="003719ED">
        <w:rPr>
          <w:rFonts w:eastAsia="MS Mincho" w:cs="Arial"/>
        </w:rPr>
        <w:t xml:space="preserve"> </w:t>
      </w:r>
      <w:r w:rsidR="005D66C8" w:rsidRPr="005136C6">
        <w:rPr>
          <w:rFonts w:eastAsia="MS Mincho" w:cs="Arial"/>
        </w:rPr>
        <w:t>m</w:t>
      </w:r>
      <w:r w:rsidR="003719ED">
        <w:rPr>
          <w:rFonts w:eastAsia="MS Mincho" w:cs="Arial"/>
        </w:rPr>
        <w:t>illion</w:t>
      </w:r>
      <w:r w:rsidR="005D66C8" w:rsidRPr="005136C6">
        <w:rPr>
          <w:rFonts w:eastAsia="MS Mincho" w:cs="Arial"/>
        </w:rPr>
        <w:t xml:space="preserve"> </w:t>
      </w:r>
      <w:r w:rsidR="5B01D8DB" w:rsidRPr="506BEAC4">
        <w:rPr>
          <w:rFonts w:eastAsia="MS Mincho" w:cs="Arial"/>
        </w:rPr>
        <w:t>and reinforcing the resilience of the balance sheet.</w:t>
      </w:r>
      <w:r w:rsidR="14811446" w:rsidRPr="506BEAC4">
        <w:rPr>
          <w:rFonts w:eastAsia="MS Mincho" w:cs="Arial"/>
        </w:rPr>
        <w:t xml:space="preserve"> </w:t>
      </w:r>
    </w:p>
    <w:p w14:paraId="467662AD" w14:textId="4C5E41D7" w:rsidR="00F23AF1" w:rsidRDefault="00946883" w:rsidP="006F6BD7">
      <w:pPr>
        <w:spacing w:after="240" w:line="276" w:lineRule="auto"/>
        <w:rPr>
          <w:rFonts w:eastAsia="MS Mincho" w:cs="Arial"/>
        </w:rPr>
      </w:pPr>
      <w:r w:rsidRPr="005136C6">
        <w:rPr>
          <w:rFonts w:eastAsia="MS Mincho" w:cs="Arial"/>
        </w:rPr>
        <w:t xml:space="preserve">The Group continued to progress its strategic priorities, with a focus on product diversification and premiumisation to </w:t>
      </w:r>
      <w:r w:rsidR="005A3DFB">
        <w:rPr>
          <w:rFonts w:eastAsia="MS Mincho" w:cs="Arial"/>
        </w:rPr>
        <w:t>improve</w:t>
      </w:r>
      <w:r w:rsidRPr="005136C6">
        <w:rPr>
          <w:rFonts w:eastAsia="MS Mincho" w:cs="Arial"/>
        </w:rPr>
        <w:t xml:space="preserve"> the quality of revenue and reduce reliance on core categories. This has been demonstrated through expansion into adjacent and higher</w:t>
      </w:r>
      <w:r w:rsidR="000F606C" w:rsidRPr="005B0EAC">
        <w:rPr>
          <w:rFonts w:eastAsia="MS Mincho" w:cs="Arial"/>
        </w:rPr>
        <w:t xml:space="preserve"> price-point</w:t>
      </w:r>
      <w:r w:rsidRPr="005136C6">
        <w:rPr>
          <w:rFonts w:eastAsia="MS Mincho" w:cs="Arial"/>
        </w:rPr>
        <w:t xml:space="preserve"> categories, including décor</w:t>
      </w:r>
      <w:r w:rsidR="00F02DCF" w:rsidRPr="005B0EAC">
        <w:rPr>
          <w:rFonts w:eastAsia="MS Mincho" w:cs="Arial"/>
        </w:rPr>
        <w:t xml:space="preserve">, </w:t>
      </w:r>
      <w:r w:rsidRPr="005136C6">
        <w:rPr>
          <w:rFonts w:eastAsia="MS Mincho" w:cs="Arial"/>
        </w:rPr>
        <w:t xml:space="preserve">licensed ranges </w:t>
      </w:r>
      <w:r w:rsidR="00F02DCF" w:rsidRPr="005B0EAC">
        <w:rPr>
          <w:rFonts w:eastAsia="MS Mincho" w:cs="Arial"/>
        </w:rPr>
        <w:t>and</w:t>
      </w:r>
      <w:r w:rsidRPr="005136C6">
        <w:rPr>
          <w:rFonts w:eastAsia="MS Mincho" w:cs="Arial"/>
        </w:rPr>
        <w:t xml:space="preserve"> free</w:t>
      </w:r>
      <w:r w:rsidRPr="005136C6">
        <w:rPr>
          <w:rFonts w:ascii="Cambria Math" w:eastAsia="MS Mincho" w:hAnsi="Cambria Math" w:cs="Cambria Math"/>
        </w:rPr>
        <w:t>‑</w:t>
      </w:r>
      <w:r w:rsidRPr="005136C6">
        <w:rPr>
          <w:rFonts w:eastAsia="MS Mincho" w:cs="Arial"/>
        </w:rPr>
        <w:t>standing display units</w:t>
      </w:r>
      <w:r w:rsidR="005A3DFB">
        <w:rPr>
          <w:rFonts w:eastAsia="MS Mincho" w:cs="Arial"/>
        </w:rPr>
        <w:t xml:space="preserve">, alongside initiatives such as </w:t>
      </w:r>
      <w:r w:rsidRPr="005136C6">
        <w:rPr>
          <w:rFonts w:eastAsia="MS Mincho" w:cs="Arial"/>
        </w:rPr>
        <w:t>the Hinkler distribution agreement</w:t>
      </w:r>
      <w:r w:rsidR="008C0F7C">
        <w:rPr>
          <w:rFonts w:eastAsia="MS Mincho" w:cs="Arial"/>
        </w:rPr>
        <w:t xml:space="preserve">, which </w:t>
      </w:r>
      <w:r w:rsidRPr="005136C6">
        <w:rPr>
          <w:rFonts w:eastAsia="MS Mincho" w:cs="Arial"/>
        </w:rPr>
        <w:t>broaden</w:t>
      </w:r>
      <w:r w:rsidR="008C0F7C">
        <w:rPr>
          <w:rFonts w:eastAsia="MS Mincho" w:cs="Arial"/>
        </w:rPr>
        <w:t>s</w:t>
      </w:r>
      <w:r w:rsidRPr="005136C6">
        <w:rPr>
          <w:rFonts w:eastAsia="MS Mincho" w:cs="Arial"/>
        </w:rPr>
        <w:t xml:space="preserve"> the product offering while leveraging existing operational capacity.</w:t>
      </w:r>
      <w:r w:rsidR="00FD04D3">
        <w:rPr>
          <w:rFonts w:eastAsia="MS Mincho" w:cs="Arial"/>
        </w:rPr>
        <w:t xml:space="preserve"> </w:t>
      </w:r>
      <w:r w:rsidR="009B20E2">
        <w:rPr>
          <w:rFonts w:eastAsia="MS Mincho" w:cs="Arial"/>
        </w:rPr>
        <w:t>Together with the acquisition of Glenart</w:t>
      </w:r>
      <w:r w:rsidR="004B1ABA">
        <w:rPr>
          <w:rFonts w:eastAsia="MS Mincho" w:cs="Arial"/>
        </w:rPr>
        <w:t xml:space="preserve">, </w:t>
      </w:r>
      <w:r w:rsidR="004B1ABA" w:rsidRPr="506BEAC4">
        <w:rPr>
          <w:rFonts w:eastAsia="MS Mincho" w:cs="Arial"/>
        </w:rPr>
        <w:t>a complementary, bolt-on investment</w:t>
      </w:r>
      <w:r w:rsidR="004B1ABA">
        <w:rPr>
          <w:rFonts w:eastAsia="MS Mincho" w:cs="Arial"/>
        </w:rPr>
        <w:t xml:space="preserve"> completed in April</w:t>
      </w:r>
      <w:r w:rsidR="008A72B9">
        <w:rPr>
          <w:rFonts w:eastAsia="MS Mincho" w:cs="Arial"/>
        </w:rPr>
        <w:t xml:space="preserve"> 2026</w:t>
      </w:r>
      <w:r w:rsidR="004B1ABA">
        <w:rPr>
          <w:rFonts w:eastAsia="MS Mincho" w:cs="Arial"/>
        </w:rPr>
        <w:t xml:space="preserve">, </w:t>
      </w:r>
      <w:r w:rsidR="00537627">
        <w:rPr>
          <w:rFonts w:eastAsia="MS Mincho" w:cs="Arial"/>
        </w:rPr>
        <w:t>these actions</w:t>
      </w:r>
      <w:r w:rsidR="00001B7C">
        <w:rPr>
          <w:rFonts w:eastAsia="MS Mincho" w:cs="Arial"/>
        </w:rPr>
        <w:t xml:space="preserve"> reflect </w:t>
      </w:r>
      <w:r w:rsidR="00C3091B">
        <w:rPr>
          <w:rFonts w:eastAsia="MS Mincho" w:cs="Arial"/>
        </w:rPr>
        <w:t xml:space="preserve">the momentum </w:t>
      </w:r>
      <w:r w:rsidR="00D74829">
        <w:rPr>
          <w:rFonts w:eastAsia="MS Mincho" w:cs="Arial"/>
        </w:rPr>
        <w:t xml:space="preserve">in the </w:t>
      </w:r>
      <w:r w:rsidR="002E03DF">
        <w:rPr>
          <w:rFonts w:eastAsia="MS Mincho" w:cs="Arial"/>
        </w:rPr>
        <w:t xml:space="preserve">execution of the </w:t>
      </w:r>
      <w:r w:rsidR="00D74829">
        <w:rPr>
          <w:rFonts w:eastAsia="MS Mincho" w:cs="Arial"/>
        </w:rPr>
        <w:t>Group’s strateg</w:t>
      </w:r>
      <w:r w:rsidR="002E03DF">
        <w:rPr>
          <w:rFonts w:eastAsia="MS Mincho" w:cs="Arial"/>
        </w:rPr>
        <w:t>y</w:t>
      </w:r>
      <w:r w:rsidR="00D74829">
        <w:rPr>
          <w:rFonts w:eastAsia="MS Mincho" w:cs="Arial"/>
        </w:rPr>
        <w:t xml:space="preserve">. </w:t>
      </w:r>
    </w:p>
    <w:p w14:paraId="533F8356" w14:textId="0D215FE2" w:rsidR="006F6BD7" w:rsidRPr="006F6BD7" w:rsidRDefault="00464014" w:rsidP="00AB77AE">
      <w:pPr>
        <w:spacing w:after="240" w:line="276" w:lineRule="auto"/>
        <w:rPr>
          <w:rFonts w:eastAsia="MS Mincho" w:cs="Arial"/>
        </w:rPr>
      </w:pPr>
      <w:r>
        <w:rPr>
          <w:rFonts w:eastAsia="MS Mincho" w:cs="Arial"/>
        </w:rPr>
        <w:t xml:space="preserve">This progress is further supported by investment in the Group’s long-term capabilities. </w:t>
      </w:r>
      <w:r w:rsidR="00F23AF1">
        <w:rPr>
          <w:rFonts w:eastAsia="MS Mincho" w:cs="Arial"/>
        </w:rPr>
        <w:t>Strengthening the leadershi</w:t>
      </w:r>
      <w:r>
        <w:rPr>
          <w:rFonts w:eastAsia="MS Mincho" w:cs="Arial"/>
        </w:rPr>
        <w:t xml:space="preserve">p through the </w:t>
      </w:r>
      <w:r w:rsidRPr="006F6BD7">
        <w:rPr>
          <w:rFonts w:eastAsia="MS Mincho" w:cs="Arial"/>
        </w:rPr>
        <w:t xml:space="preserve">appointment of Gerald Kuehr as </w:t>
      </w:r>
      <w:r>
        <w:rPr>
          <w:rFonts w:eastAsia="MS Mincho" w:cs="Arial"/>
        </w:rPr>
        <w:t>CEO</w:t>
      </w:r>
      <w:r w:rsidRPr="006F6BD7">
        <w:rPr>
          <w:rFonts w:eastAsia="MS Mincho" w:cs="Arial"/>
        </w:rPr>
        <w:t xml:space="preserve"> </w:t>
      </w:r>
      <w:r>
        <w:rPr>
          <w:rFonts w:eastAsia="MS Mincho" w:cs="Arial"/>
        </w:rPr>
        <w:t>from 1 July</w:t>
      </w:r>
      <w:r w:rsidR="001458E1">
        <w:rPr>
          <w:rFonts w:eastAsia="MS Mincho" w:cs="Arial"/>
        </w:rPr>
        <w:t xml:space="preserve"> 2026</w:t>
      </w:r>
      <w:r>
        <w:rPr>
          <w:rFonts w:eastAsia="MS Mincho" w:cs="Arial"/>
        </w:rPr>
        <w:t>,</w:t>
      </w:r>
      <w:r w:rsidR="00BA3067" w:rsidRPr="00BA3067">
        <w:rPr>
          <w:rFonts w:eastAsia="MS Mincho" w:cs="Arial"/>
        </w:rPr>
        <w:t xml:space="preserve"> </w:t>
      </w:r>
      <w:r w:rsidR="00BA3067" w:rsidRPr="006F6BD7">
        <w:rPr>
          <w:rFonts w:eastAsia="MS Mincho" w:cs="Arial"/>
        </w:rPr>
        <w:t>the introduction of a refreshed capital allocation framework,</w:t>
      </w:r>
      <w:r w:rsidR="00AB77AE">
        <w:rPr>
          <w:rFonts w:eastAsia="MS Mincho" w:cs="Arial"/>
        </w:rPr>
        <w:t xml:space="preserve"> and </w:t>
      </w:r>
      <w:r w:rsidR="00280A42">
        <w:rPr>
          <w:rFonts w:eastAsia="MS Mincho" w:cs="Arial"/>
        </w:rPr>
        <w:t xml:space="preserve">continued </w:t>
      </w:r>
      <w:r w:rsidR="5B01D8DB" w:rsidRPr="506BEAC4">
        <w:rPr>
          <w:rFonts w:eastAsia="MS Mincho" w:cs="Arial"/>
        </w:rPr>
        <w:t xml:space="preserve">progress in sustainability, </w:t>
      </w:r>
      <w:r w:rsidR="00E318AA">
        <w:rPr>
          <w:rFonts w:eastAsia="MS Mincho" w:cs="Arial"/>
        </w:rPr>
        <w:t>with</w:t>
      </w:r>
      <w:r w:rsidR="00E318AA" w:rsidRPr="506BEAC4">
        <w:rPr>
          <w:rFonts w:eastAsia="MS Mincho" w:cs="Arial"/>
        </w:rPr>
        <w:t xml:space="preserve"> </w:t>
      </w:r>
      <w:r w:rsidR="5B01D8DB" w:rsidRPr="506BEAC4">
        <w:rPr>
          <w:rFonts w:eastAsia="MS Mincho" w:cs="Arial"/>
        </w:rPr>
        <w:t>first-time Scope 3 emissions reporting and SBTi-validated targets</w:t>
      </w:r>
      <w:r w:rsidR="00280A42">
        <w:rPr>
          <w:rFonts w:eastAsia="MS Mincho" w:cs="Arial"/>
        </w:rPr>
        <w:t xml:space="preserve">, </w:t>
      </w:r>
      <w:r w:rsidR="00AB77AE">
        <w:rPr>
          <w:rFonts w:eastAsia="MS Mincho" w:cs="Arial"/>
        </w:rPr>
        <w:t xml:space="preserve">positions </w:t>
      </w:r>
      <w:r w:rsidR="006F6BD7" w:rsidRPr="006F6BD7">
        <w:rPr>
          <w:rFonts w:eastAsia="MS Mincho" w:cs="Arial"/>
        </w:rPr>
        <w:t>the Group well to deliver sustainable growth in FY2027 and beyond.</w:t>
      </w:r>
    </w:p>
    <w:p w14:paraId="6E97A402" w14:textId="77777777" w:rsidR="0048551F" w:rsidRPr="003F3D7D" w:rsidRDefault="008858D5" w:rsidP="003F3D7D">
      <w:pPr>
        <w:pStyle w:val="Heading2"/>
        <w:rPr>
          <w:b w:val="0"/>
          <w:i/>
          <w:szCs w:val="16"/>
        </w:rPr>
      </w:pPr>
      <w:r w:rsidRPr="003F3D7D">
        <w:rPr>
          <w:sz w:val="16"/>
          <w:szCs w:val="16"/>
        </w:rPr>
        <w:t xml:space="preserve">Board changes </w:t>
      </w:r>
      <w:r w:rsidR="0048551F" w:rsidRPr="003F3D7D">
        <w:rPr>
          <w:b w:val="0"/>
          <w:i/>
          <w:sz w:val="16"/>
          <w:szCs w:val="16"/>
        </w:rPr>
        <w:t>– a year of transition, positioned for the next phase of growth</w:t>
      </w:r>
    </w:p>
    <w:p w14:paraId="12D25D75" w14:textId="5710B157" w:rsidR="00863777" w:rsidRDefault="00863777" w:rsidP="00090EE0">
      <w:pPr>
        <w:spacing w:line="276" w:lineRule="auto"/>
        <w:jc w:val="both"/>
        <w:rPr>
          <w:rFonts w:eastAsia="Cambria" w:cs="Arial"/>
        </w:rPr>
      </w:pPr>
      <w:r w:rsidRPr="00863777">
        <w:rPr>
          <w:rFonts w:eastAsia="Cambria" w:cs="Arial"/>
        </w:rPr>
        <w:t xml:space="preserve">During the year, the Board underwent a number of changes. Paul Bal stepped down from his role as Chief Executive Officer </w:t>
      </w:r>
      <w:r w:rsidR="001458E1">
        <w:rPr>
          <w:rFonts w:eastAsia="Cambria" w:cs="Arial"/>
        </w:rPr>
        <w:t xml:space="preserve">(CEO) </w:t>
      </w:r>
      <w:r w:rsidRPr="00863777">
        <w:rPr>
          <w:rFonts w:eastAsia="Cambria" w:cs="Arial"/>
        </w:rPr>
        <w:t>following the successful disposal of DG Americas. Stewart Gilliland assumed the role of Interim Executive Chair, providing leadership continuity</w:t>
      </w:r>
      <w:r w:rsidR="00EB22E0">
        <w:rPr>
          <w:rFonts w:eastAsia="Cambria" w:cs="Arial"/>
        </w:rPr>
        <w:t xml:space="preserve">, </w:t>
      </w:r>
      <w:r w:rsidRPr="00863777">
        <w:rPr>
          <w:rFonts w:eastAsia="Cambria" w:cs="Arial"/>
        </w:rPr>
        <w:t>stability</w:t>
      </w:r>
      <w:r w:rsidR="00EB22E0">
        <w:rPr>
          <w:rFonts w:eastAsia="Cambria" w:cs="Arial"/>
        </w:rPr>
        <w:t xml:space="preserve"> </w:t>
      </w:r>
      <w:r w:rsidRPr="00863777">
        <w:rPr>
          <w:rFonts w:eastAsia="Cambria" w:cs="Arial"/>
        </w:rPr>
        <w:t xml:space="preserve">and commitment to the role until the appointment of </w:t>
      </w:r>
      <w:r w:rsidR="00141767">
        <w:rPr>
          <w:rFonts w:eastAsia="Cambria" w:cs="Arial"/>
        </w:rPr>
        <w:t>the</w:t>
      </w:r>
      <w:r w:rsidRPr="00863777">
        <w:rPr>
          <w:rFonts w:eastAsia="Cambria" w:cs="Arial"/>
        </w:rPr>
        <w:t xml:space="preserve"> permanent </w:t>
      </w:r>
      <w:r w:rsidR="001458E1">
        <w:rPr>
          <w:rFonts w:eastAsia="Cambria" w:cs="Arial"/>
        </w:rPr>
        <w:t>CEO</w:t>
      </w:r>
      <w:r w:rsidRPr="00863777">
        <w:rPr>
          <w:rFonts w:eastAsia="Cambria" w:cs="Arial"/>
        </w:rPr>
        <w:t xml:space="preserve"> </w:t>
      </w:r>
      <w:r w:rsidR="00EB22E0">
        <w:rPr>
          <w:rFonts w:eastAsia="Cambria" w:cs="Arial"/>
        </w:rPr>
        <w:t>was</w:t>
      </w:r>
      <w:r w:rsidRPr="00863777">
        <w:rPr>
          <w:rFonts w:eastAsia="Cambria" w:cs="Arial"/>
        </w:rPr>
        <w:t xml:space="preserve"> finalised.</w:t>
      </w:r>
    </w:p>
    <w:p w14:paraId="464A456B" w14:textId="77777777" w:rsidR="00E30D61" w:rsidRPr="00863777" w:rsidRDefault="00E30D61" w:rsidP="00863777">
      <w:pPr>
        <w:spacing w:line="276" w:lineRule="auto"/>
        <w:jc w:val="both"/>
        <w:rPr>
          <w:rFonts w:eastAsia="Cambria" w:cs="Arial"/>
        </w:rPr>
      </w:pPr>
    </w:p>
    <w:p w14:paraId="2B57FD57" w14:textId="39B29742" w:rsidR="00863777" w:rsidRDefault="00863777" w:rsidP="00863777">
      <w:pPr>
        <w:spacing w:line="276" w:lineRule="auto"/>
        <w:jc w:val="both"/>
        <w:rPr>
          <w:rFonts w:eastAsia="Cambria" w:cs="Arial"/>
        </w:rPr>
      </w:pPr>
      <w:r w:rsidRPr="00863777">
        <w:rPr>
          <w:rFonts w:eastAsia="Cambria" w:cs="Arial"/>
        </w:rPr>
        <w:t xml:space="preserve">In April 2026, the Group announced the appointment of Gerald Kuehr as </w:t>
      </w:r>
      <w:r w:rsidR="003B06FA">
        <w:rPr>
          <w:rFonts w:eastAsia="Cambria" w:cs="Arial"/>
        </w:rPr>
        <w:t>CEO</w:t>
      </w:r>
      <w:r w:rsidRPr="00863777">
        <w:rPr>
          <w:rFonts w:eastAsia="Cambria" w:cs="Arial"/>
        </w:rPr>
        <w:t xml:space="preserve"> Designate, effective from 1 May 2026, with Gerald assuming the role of </w:t>
      </w:r>
      <w:r w:rsidR="003B06FA">
        <w:rPr>
          <w:rFonts w:eastAsia="Cambria" w:cs="Arial"/>
        </w:rPr>
        <w:t>CEO</w:t>
      </w:r>
      <w:r w:rsidRPr="00863777">
        <w:rPr>
          <w:rFonts w:eastAsia="Cambria" w:cs="Arial"/>
        </w:rPr>
        <w:t xml:space="preserve"> from 1 July 2026. Gerald has been working with the Group in an advisory capacity since January 2026, during which time he has developed a strong understanding of the Group’s strategy, operations and customer base. Since his formal appointment, Gerald has continued to work closely with the Board and senior leadership team to support continuity of execution, engage with key customers and progress </w:t>
      </w:r>
      <w:r w:rsidR="00D67634">
        <w:rPr>
          <w:rFonts w:eastAsia="Cambria" w:cs="Arial"/>
        </w:rPr>
        <w:t xml:space="preserve">strategic </w:t>
      </w:r>
      <w:r w:rsidRPr="00863777">
        <w:rPr>
          <w:rFonts w:eastAsia="Cambria" w:cs="Arial"/>
        </w:rPr>
        <w:t xml:space="preserve">priorities aligned to value creation. Upon his appointment as </w:t>
      </w:r>
      <w:r w:rsidR="003B06FA">
        <w:rPr>
          <w:rFonts w:eastAsia="Cambria" w:cs="Arial"/>
        </w:rPr>
        <w:t>CEO</w:t>
      </w:r>
      <w:r w:rsidRPr="00863777">
        <w:rPr>
          <w:rFonts w:eastAsia="Cambria" w:cs="Arial"/>
        </w:rPr>
        <w:t>, Stewart Gilliland will revert to his role as Non</w:t>
      </w:r>
      <w:r w:rsidRPr="00863777">
        <w:rPr>
          <w:rFonts w:ascii="Cambria Math" w:eastAsia="Cambria" w:hAnsi="Cambria Math" w:cs="Cambria Math"/>
        </w:rPr>
        <w:t>‑</w:t>
      </w:r>
      <w:r w:rsidRPr="00863777">
        <w:rPr>
          <w:rFonts w:eastAsia="Cambria" w:cs="Arial"/>
        </w:rPr>
        <w:t>Executive Chair.</w:t>
      </w:r>
    </w:p>
    <w:p w14:paraId="3FD7CEC1" w14:textId="77777777" w:rsidR="00E30D61" w:rsidRPr="00863777" w:rsidRDefault="00E30D61" w:rsidP="00863777">
      <w:pPr>
        <w:spacing w:line="276" w:lineRule="auto"/>
        <w:jc w:val="both"/>
        <w:rPr>
          <w:rFonts w:eastAsia="Cambria" w:cs="Arial"/>
        </w:rPr>
      </w:pPr>
    </w:p>
    <w:p w14:paraId="6FEC3105" w14:textId="3638AFA2" w:rsidR="0062032B" w:rsidRDefault="00863777" w:rsidP="00863777">
      <w:pPr>
        <w:spacing w:line="276" w:lineRule="auto"/>
        <w:jc w:val="both"/>
        <w:rPr>
          <w:rFonts w:eastAsia="Cambria" w:cs="Arial"/>
        </w:rPr>
      </w:pPr>
      <w:r w:rsidRPr="00863777">
        <w:rPr>
          <w:rFonts w:eastAsia="Cambria" w:cs="Arial"/>
        </w:rPr>
        <w:t>Mark Tentori</w:t>
      </w:r>
      <w:r w:rsidR="003E0114">
        <w:rPr>
          <w:rFonts w:eastAsia="Cambria" w:cs="Arial"/>
        </w:rPr>
        <w:t xml:space="preserve">, </w:t>
      </w:r>
      <w:r w:rsidR="003E0114" w:rsidRPr="00863777">
        <w:rPr>
          <w:rFonts w:eastAsia="Cambria" w:cs="Arial"/>
        </w:rPr>
        <w:t>Senior Independent Director and Chair of the Audit Committee</w:t>
      </w:r>
      <w:r w:rsidR="003E0114">
        <w:rPr>
          <w:rFonts w:eastAsia="Cambria" w:cs="Arial"/>
        </w:rPr>
        <w:t>,</w:t>
      </w:r>
      <w:r w:rsidR="003E0114" w:rsidRPr="00863777">
        <w:rPr>
          <w:rFonts w:eastAsia="Cambria" w:cs="Arial"/>
        </w:rPr>
        <w:t xml:space="preserve"> </w:t>
      </w:r>
      <w:r w:rsidRPr="00863777">
        <w:rPr>
          <w:rFonts w:eastAsia="Cambria" w:cs="Arial"/>
        </w:rPr>
        <w:t>stepped down from the Board following the AGM, in line with governance best practice, having served as a Director for over nine years. Following Mark’s departure, John Gittins, who joined the Board in March 2025, has been appointed Chair of the Audit Committee, and Clare Askem has assumed the role of Senior Independent Director, ensuring continued strong governance, independence and oversight at Board level.</w:t>
      </w:r>
    </w:p>
    <w:p w14:paraId="18C9B937" w14:textId="77777777" w:rsidR="003F6834" w:rsidRDefault="003F6834" w:rsidP="00863777">
      <w:pPr>
        <w:spacing w:line="276" w:lineRule="auto"/>
        <w:jc w:val="both"/>
        <w:rPr>
          <w:rFonts w:eastAsia="Cambria" w:cs="Arial"/>
        </w:rPr>
      </w:pPr>
    </w:p>
    <w:p w14:paraId="786BA8B1" w14:textId="1DD7553D" w:rsidR="003F6834" w:rsidRDefault="003F6834" w:rsidP="00863777">
      <w:pPr>
        <w:spacing w:line="276" w:lineRule="auto"/>
        <w:jc w:val="both"/>
        <w:rPr>
          <w:rFonts w:eastAsia="Cambria" w:cs="Arial"/>
        </w:rPr>
      </w:pPr>
      <w:r>
        <w:rPr>
          <w:rFonts w:eastAsia="Cambria" w:cs="Arial"/>
        </w:rPr>
        <w:t xml:space="preserve">The Board would like to thank Paul and Mark for </w:t>
      </w:r>
      <w:r w:rsidR="00A135AE">
        <w:rPr>
          <w:rFonts w:eastAsia="Cambria" w:cs="Arial"/>
        </w:rPr>
        <w:t>the</w:t>
      </w:r>
      <w:r>
        <w:rPr>
          <w:rFonts w:eastAsia="Cambria" w:cs="Arial"/>
        </w:rPr>
        <w:t xml:space="preserve"> significant contribution, commitment and guidance </w:t>
      </w:r>
      <w:r w:rsidR="00A135AE">
        <w:rPr>
          <w:rFonts w:eastAsia="Cambria" w:cs="Arial"/>
        </w:rPr>
        <w:t>they provided</w:t>
      </w:r>
      <w:r w:rsidR="00252A9E">
        <w:rPr>
          <w:rFonts w:eastAsia="Cambria" w:cs="Arial"/>
        </w:rPr>
        <w:t xml:space="preserve"> </w:t>
      </w:r>
      <w:r w:rsidR="00EE194B">
        <w:rPr>
          <w:rFonts w:eastAsia="Cambria" w:cs="Arial"/>
        </w:rPr>
        <w:t xml:space="preserve">during their respective </w:t>
      </w:r>
      <w:r w:rsidR="00252A9E">
        <w:rPr>
          <w:rFonts w:eastAsia="Cambria" w:cs="Arial"/>
        </w:rPr>
        <w:t xml:space="preserve">tenures. </w:t>
      </w:r>
      <w:r w:rsidR="00F238D2">
        <w:rPr>
          <w:rFonts w:eastAsia="Cambria" w:cs="Arial"/>
        </w:rPr>
        <w:t>The Board also welcomes Gera</w:t>
      </w:r>
      <w:r w:rsidR="00C46A62">
        <w:rPr>
          <w:rFonts w:eastAsia="Cambria" w:cs="Arial"/>
        </w:rPr>
        <w:t>l</w:t>
      </w:r>
      <w:r w:rsidR="00F238D2">
        <w:rPr>
          <w:rFonts w:eastAsia="Cambria" w:cs="Arial"/>
        </w:rPr>
        <w:t>d and</w:t>
      </w:r>
      <w:r w:rsidR="00F76D60">
        <w:rPr>
          <w:rFonts w:eastAsia="Cambria" w:cs="Arial"/>
        </w:rPr>
        <w:t xml:space="preserve"> looks forward with confidence to the next phase of the Group’s journey </w:t>
      </w:r>
      <w:r w:rsidR="00F238D2">
        <w:rPr>
          <w:rFonts w:eastAsia="Cambria" w:cs="Arial"/>
        </w:rPr>
        <w:t xml:space="preserve">under </w:t>
      </w:r>
      <w:r w:rsidR="00F76D60">
        <w:rPr>
          <w:rFonts w:eastAsia="Cambria" w:cs="Arial"/>
        </w:rPr>
        <w:t xml:space="preserve">his </w:t>
      </w:r>
      <w:r w:rsidR="00F238D2">
        <w:rPr>
          <w:rFonts w:eastAsia="Cambria" w:cs="Arial"/>
        </w:rPr>
        <w:t>leadership</w:t>
      </w:r>
      <w:r w:rsidR="00F76D60">
        <w:rPr>
          <w:rFonts w:eastAsia="Cambria" w:cs="Arial"/>
        </w:rPr>
        <w:t>.</w:t>
      </w:r>
    </w:p>
    <w:p w14:paraId="1B24A4E6" w14:textId="77777777" w:rsidR="00E30D61" w:rsidRDefault="00E30D61" w:rsidP="00863777">
      <w:pPr>
        <w:spacing w:line="276" w:lineRule="auto"/>
        <w:jc w:val="both"/>
        <w:rPr>
          <w:rFonts w:eastAsia="Cambria" w:cs="Arial"/>
        </w:rPr>
      </w:pPr>
    </w:p>
    <w:p w14:paraId="66604AB3" w14:textId="027B83BE" w:rsidR="00FD23BF" w:rsidRPr="00327FAA" w:rsidRDefault="008858D5" w:rsidP="00327FAA">
      <w:pPr>
        <w:pStyle w:val="Heading2"/>
        <w:rPr>
          <w:szCs w:val="16"/>
        </w:rPr>
      </w:pPr>
      <w:r w:rsidRPr="003F3D7D">
        <w:rPr>
          <w:sz w:val="16"/>
          <w:szCs w:val="16"/>
        </w:rPr>
        <w:t>Divestment of DG Americas</w:t>
      </w:r>
      <w:r w:rsidR="004A2AFA" w:rsidRPr="00327FAA">
        <w:rPr>
          <w:sz w:val="16"/>
          <w:szCs w:val="16"/>
        </w:rPr>
        <w:t xml:space="preserve"> </w:t>
      </w:r>
      <w:r w:rsidR="004A2AFA" w:rsidRPr="00327FAA">
        <w:rPr>
          <w:b w:val="0"/>
          <w:i/>
          <w:sz w:val="16"/>
          <w:szCs w:val="16"/>
        </w:rPr>
        <w:t>– a transformational deal</w:t>
      </w:r>
    </w:p>
    <w:p w14:paraId="4386016C" w14:textId="1B5B58C3" w:rsidR="00FD23BF" w:rsidRDefault="00FD23BF" w:rsidP="00FD23BF">
      <w:pPr>
        <w:spacing w:line="276" w:lineRule="auto"/>
        <w:jc w:val="both"/>
        <w:rPr>
          <w:rFonts w:eastAsia="Cambria" w:cs="Arial"/>
        </w:rPr>
      </w:pPr>
      <w:r w:rsidRPr="00FD23BF">
        <w:rPr>
          <w:rFonts w:eastAsia="Cambria" w:cs="Arial"/>
        </w:rPr>
        <w:t>The Group completed the disposal of DG Americas on 30 May 2025</w:t>
      </w:r>
      <w:r w:rsidR="00912E7F">
        <w:rPr>
          <w:rFonts w:eastAsia="Cambria" w:cs="Arial"/>
        </w:rPr>
        <w:t xml:space="preserve">, exiting </w:t>
      </w:r>
      <w:r w:rsidR="00912E7F" w:rsidRPr="00912E7F">
        <w:rPr>
          <w:rFonts w:eastAsia="Cambria" w:cs="Arial"/>
        </w:rPr>
        <w:t>a structurally challenged and loss-making part of the Group. The timing</w:t>
      </w:r>
      <w:r w:rsidR="005565DC">
        <w:rPr>
          <w:rFonts w:eastAsia="Cambria" w:cs="Arial"/>
        </w:rPr>
        <w:t xml:space="preserve"> </w:t>
      </w:r>
      <w:r w:rsidR="00912E7F" w:rsidRPr="00912E7F">
        <w:rPr>
          <w:rFonts w:eastAsia="Cambria" w:cs="Arial"/>
        </w:rPr>
        <w:t xml:space="preserve">and nature of the transaction mitigated further adverse financial and operational impact </w:t>
      </w:r>
      <w:r w:rsidR="0044695F">
        <w:rPr>
          <w:rFonts w:eastAsia="Cambria" w:cs="Arial"/>
        </w:rPr>
        <w:t>that</w:t>
      </w:r>
      <w:r w:rsidR="00912E7F" w:rsidRPr="00912E7F">
        <w:rPr>
          <w:rFonts w:eastAsia="Cambria" w:cs="Arial"/>
        </w:rPr>
        <w:t xml:space="preserve"> the Group would otherwise have</w:t>
      </w:r>
      <w:r w:rsidR="003F6ADF">
        <w:rPr>
          <w:rFonts w:eastAsia="Cambria" w:cs="Arial"/>
        </w:rPr>
        <w:t xml:space="preserve"> </w:t>
      </w:r>
      <w:r w:rsidR="00912E7F" w:rsidRPr="00912E7F">
        <w:rPr>
          <w:rFonts w:eastAsia="Cambria" w:cs="Arial"/>
        </w:rPr>
        <w:t>experienced</w:t>
      </w:r>
      <w:r w:rsidR="00822588">
        <w:rPr>
          <w:rFonts w:eastAsia="Cambria" w:cs="Arial"/>
        </w:rPr>
        <w:t xml:space="preserve">. </w:t>
      </w:r>
      <w:r w:rsidR="00F3188F">
        <w:rPr>
          <w:rFonts w:eastAsia="Cambria" w:cs="Arial"/>
        </w:rPr>
        <w:t xml:space="preserve">The decision </w:t>
      </w:r>
      <w:r w:rsidR="00912E7F" w:rsidRPr="00912E7F">
        <w:rPr>
          <w:rFonts w:eastAsia="Cambria" w:cs="Arial"/>
        </w:rPr>
        <w:t xml:space="preserve">protected the </w:t>
      </w:r>
      <w:r w:rsidR="00F6682A">
        <w:rPr>
          <w:rFonts w:eastAsia="Cambria" w:cs="Arial"/>
        </w:rPr>
        <w:t>remaining part of the Group</w:t>
      </w:r>
      <w:r w:rsidR="00063C22">
        <w:rPr>
          <w:rFonts w:eastAsia="Cambria" w:cs="Arial"/>
        </w:rPr>
        <w:t>,</w:t>
      </w:r>
      <w:r w:rsidR="00F6682A">
        <w:rPr>
          <w:rFonts w:eastAsia="Cambria" w:cs="Arial"/>
        </w:rPr>
        <w:t xml:space="preserve"> which is </w:t>
      </w:r>
      <w:r w:rsidR="00912E7F" w:rsidRPr="00912E7F">
        <w:rPr>
          <w:rFonts w:eastAsia="Cambria" w:cs="Arial"/>
        </w:rPr>
        <w:t xml:space="preserve">profitable and </w:t>
      </w:r>
      <w:r w:rsidR="00D3517D" w:rsidRPr="00912E7F">
        <w:rPr>
          <w:rFonts w:eastAsia="Cambria" w:cs="Arial"/>
        </w:rPr>
        <w:t>cash generative</w:t>
      </w:r>
      <w:r w:rsidR="00912E7F" w:rsidRPr="00912E7F">
        <w:rPr>
          <w:rFonts w:eastAsia="Cambria" w:cs="Arial"/>
        </w:rPr>
        <w:t xml:space="preserve">. </w:t>
      </w:r>
      <w:r w:rsidRPr="00FD23BF">
        <w:rPr>
          <w:rFonts w:eastAsia="Cambria" w:cs="Arial"/>
        </w:rPr>
        <w:t>Hilco is progressing the realisation of the DG Americas entities through asset disposals and liquidations, with any future net proceeds payable to the Group dependent on the outcome of this process. As at 31 March 2026, the expected cash flows from any potential future proceeds were assessed to have a fair value of £nil.</w:t>
      </w:r>
    </w:p>
    <w:p w14:paraId="19EA2E5D" w14:textId="77777777" w:rsidR="005A20DA" w:rsidRPr="00FD23BF" w:rsidRDefault="005A20DA" w:rsidP="00FD23BF">
      <w:pPr>
        <w:spacing w:line="276" w:lineRule="auto"/>
        <w:jc w:val="both"/>
        <w:rPr>
          <w:rFonts w:eastAsia="Cambria" w:cs="Arial"/>
        </w:rPr>
      </w:pPr>
    </w:p>
    <w:p w14:paraId="06F16D58" w14:textId="291A31B4" w:rsidR="00FD23BF" w:rsidRDefault="00FD23BF" w:rsidP="00FD23BF">
      <w:pPr>
        <w:spacing w:line="276" w:lineRule="auto"/>
        <w:jc w:val="both"/>
        <w:rPr>
          <w:rFonts w:eastAsia="Cambria" w:cs="Arial"/>
        </w:rPr>
      </w:pPr>
      <w:r w:rsidRPr="00FD23BF">
        <w:rPr>
          <w:rFonts w:eastAsia="Cambria" w:cs="Arial"/>
        </w:rPr>
        <w:t>A loss of £</w:t>
      </w:r>
      <w:r w:rsidR="007C3BB1">
        <w:rPr>
          <w:rFonts w:eastAsia="Cambria" w:cs="Arial"/>
        </w:rPr>
        <w:t>1</w:t>
      </w:r>
      <w:r w:rsidR="00750CEE">
        <w:rPr>
          <w:rFonts w:eastAsia="Cambria" w:cs="Arial"/>
        </w:rPr>
        <w:t>10</w:t>
      </w:r>
      <w:r w:rsidR="00E96941">
        <w:rPr>
          <w:rFonts w:eastAsia="Cambria" w:cs="Arial"/>
        </w:rPr>
        <w:t>.2</w:t>
      </w:r>
      <w:r w:rsidRPr="00FD23BF">
        <w:rPr>
          <w:rFonts w:eastAsia="Cambria" w:cs="Arial"/>
        </w:rPr>
        <w:t xml:space="preserve"> million was recognised on the disposal of DG Americas which, together with £</w:t>
      </w:r>
      <w:r w:rsidR="00E95335">
        <w:rPr>
          <w:rFonts w:eastAsia="Cambria" w:cs="Arial"/>
        </w:rPr>
        <w:t>7.5</w:t>
      </w:r>
      <w:r w:rsidRPr="00FD23BF">
        <w:rPr>
          <w:rFonts w:eastAsia="Cambria" w:cs="Arial"/>
        </w:rPr>
        <w:t xml:space="preserve"> million of trading losses generated by the business prior to disposal, resulted in a loss from discontinued operations of £</w:t>
      </w:r>
      <w:r w:rsidR="003F4A8E">
        <w:rPr>
          <w:rFonts w:eastAsia="Cambria" w:cs="Arial"/>
        </w:rPr>
        <w:t>117.7</w:t>
      </w:r>
      <w:r w:rsidRPr="00FD23BF">
        <w:rPr>
          <w:rFonts w:eastAsia="Cambria" w:cs="Arial"/>
        </w:rPr>
        <w:t xml:space="preserve"> million for the period.</w:t>
      </w:r>
    </w:p>
    <w:p w14:paraId="777C68FE" w14:textId="77777777" w:rsidR="005A20DA" w:rsidRPr="00FD23BF" w:rsidRDefault="005A20DA" w:rsidP="00FD23BF">
      <w:pPr>
        <w:spacing w:line="276" w:lineRule="auto"/>
        <w:jc w:val="both"/>
        <w:rPr>
          <w:rFonts w:eastAsia="Cambria" w:cs="Arial"/>
        </w:rPr>
      </w:pPr>
    </w:p>
    <w:p w14:paraId="37EF1BCC" w14:textId="7436CA0F" w:rsidR="00C023AE" w:rsidRDefault="00C023AE" w:rsidP="00C023AE">
      <w:pPr>
        <w:spacing w:line="276" w:lineRule="auto"/>
        <w:jc w:val="both"/>
        <w:rPr>
          <w:rFonts w:eastAsia="Cambria" w:cs="Arial"/>
        </w:rPr>
      </w:pPr>
      <w:r w:rsidRPr="00C023AE">
        <w:rPr>
          <w:rFonts w:eastAsia="Cambria" w:cs="Arial"/>
        </w:rPr>
        <w:t>Following the disposal of DG Americas, the Group has undertaken a strategic review of its financial reporting approach. As a result of the materially reduced level of USD</w:t>
      </w:r>
      <w:r w:rsidRPr="00C023AE">
        <w:rPr>
          <w:rFonts w:ascii="Cambria Math" w:eastAsia="Cambria" w:hAnsi="Cambria Math" w:cs="Cambria Math"/>
        </w:rPr>
        <w:t>‑</w:t>
      </w:r>
      <w:r w:rsidRPr="00C023AE">
        <w:rPr>
          <w:rFonts w:eastAsia="Cambria" w:cs="Arial"/>
        </w:rPr>
        <w:t xml:space="preserve">denominated revenues and profits, the Group </w:t>
      </w:r>
      <w:r w:rsidR="00134422">
        <w:rPr>
          <w:rFonts w:eastAsia="Cambria" w:cs="Arial"/>
        </w:rPr>
        <w:t xml:space="preserve">has </w:t>
      </w:r>
      <w:r w:rsidRPr="00C023AE">
        <w:rPr>
          <w:rFonts w:eastAsia="Cambria" w:cs="Arial"/>
        </w:rPr>
        <w:t>adopt</w:t>
      </w:r>
      <w:r w:rsidR="00134422">
        <w:rPr>
          <w:rFonts w:eastAsia="Cambria" w:cs="Arial"/>
        </w:rPr>
        <w:t>ed</w:t>
      </w:r>
      <w:r w:rsidRPr="00C023AE">
        <w:rPr>
          <w:rFonts w:eastAsia="Cambria" w:cs="Arial"/>
        </w:rPr>
        <w:t xml:space="preserve"> GBP as its presentation currency for the consolidated financial statements. </w:t>
      </w:r>
      <w:r w:rsidR="00266096">
        <w:rPr>
          <w:rFonts w:eastAsia="Cambria" w:cs="Arial"/>
        </w:rPr>
        <w:t xml:space="preserve">Comparative information has been restated to reflect this change in reporting currency. </w:t>
      </w:r>
    </w:p>
    <w:p w14:paraId="272881D2" w14:textId="77777777" w:rsidR="00C023AE" w:rsidRPr="00C023AE" w:rsidRDefault="00C023AE" w:rsidP="00C023AE">
      <w:pPr>
        <w:spacing w:line="276" w:lineRule="auto"/>
        <w:jc w:val="both"/>
        <w:rPr>
          <w:rFonts w:eastAsia="Cambria" w:cs="Arial"/>
        </w:rPr>
      </w:pPr>
    </w:p>
    <w:p w14:paraId="19EAB7CD" w14:textId="36704773" w:rsidR="00B55E82" w:rsidRDefault="00C023AE" w:rsidP="00C023AE">
      <w:pPr>
        <w:spacing w:line="276" w:lineRule="auto"/>
        <w:jc w:val="both"/>
        <w:rPr>
          <w:rFonts w:eastAsia="Cambria" w:cs="Arial"/>
        </w:rPr>
      </w:pPr>
      <w:r w:rsidRPr="00C023AE">
        <w:rPr>
          <w:rFonts w:eastAsia="Cambria" w:cs="Arial"/>
        </w:rPr>
        <w:t xml:space="preserve">Comparative information for prior periods has </w:t>
      </w:r>
      <w:r w:rsidR="001D72A7" w:rsidRPr="00C023AE">
        <w:rPr>
          <w:rFonts w:eastAsia="Cambria" w:cs="Arial"/>
        </w:rPr>
        <w:t xml:space="preserve">been </w:t>
      </w:r>
      <w:r w:rsidR="008A4167" w:rsidRPr="00C023AE">
        <w:rPr>
          <w:rFonts w:eastAsia="Cambria" w:cs="Arial"/>
        </w:rPr>
        <w:t>re</w:t>
      </w:r>
      <w:r w:rsidR="0066773D">
        <w:rPr>
          <w:rFonts w:eastAsia="Cambria" w:cs="Arial"/>
        </w:rPr>
        <w:t>-</w:t>
      </w:r>
      <w:r w:rsidR="008A4167">
        <w:rPr>
          <w:rFonts w:eastAsia="Cambria" w:cs="Arial"/>
        </w:rPr>
        <w:t xml:space="preserve">presented </w:t>
      </w:r>
      <w:r w:rsidRPr="00C023AE">
        <w:rPr>
          <w:rFonts w:eastAsia="Cambria" w:cs="Arial"/>
        </w:rPr>
        <w:t xml:space="preserve">to reflect the classification of DG Americas as a discontinued operation, consistent with the current year presentation. Cash flows relating to discontinued operations are </w:t>
      </w:r>
      <w:r w:rsidR="00AC6250">
        <w:rPr>
          <w:rFonts w:eastAsia="Cambria" w:cs="Arial"/>
        </w:rPr>
        <w:t>disclosed</w:t>
      </w:r>
      <w:r w:rsidRPr="00C023AE">
        <w:rPr>
          <w:rFonts w:eastAsia="Cambria" w:cs="Arial"/>
        </w:rPr>
        <w:t xml:space="preserve"> separately within the cash flow. Further detail is provided in note 1 to the financial statements.</w:t>
      </w:r>
    </w:p>
    <w:p w14:paraId="4CC32924" w14:textId="77777777" w:rsidR="00266096" w:rsidRPr="00B8452B" w:rsidRDefault="00266096" w:rsidP="00C023AE">
      <w:pPr>
        <w:spacing w:line="276" w:lineRule="auto"/>
        <w:jc w:val="both"/>
        <w:rPr>
          <w:rFonts w:eastAsia="Cambria" w:cs="Arial"/>
          <w:b/>
        </w:rPr>
      </w:pPr>
    </w:p>
    <w:p w14:paraId="2CD7E928" w14:textId="46B16C13" w:rsidR="008858D5" w:rsidRPr="00327FAA" w:rsidRDefault="00A81EEB" w:rsidP="00327FAA">
      <w:pPr>
        <w:pStyle w:val="Heading2"/>
        <w:rPr>
          <w:b w:val="0"/>
          <w:i/>
          <w:szCs w:val="16"/>
        </w:rPr>
      </w:pPr>
      <w:r>
        <w:rPr>
          <w:sz w:val="16"/>
          <w:szCs w:val="16"/>
        </w:rPr>
        <w:lastRenderedPageBreak/>
        <w:t>Strategy</w:t>
      </w:r>
      <w:r w:rsidRPr="00327FAA">
        <w:rPr>
          <w:sz w:val="16"/>
          <w:szCs w:val="16"/>
        </w:rPr>
        <w:t xml:space="preserve"> </w:t>
      </w:r>
      <w:r w:rsidR="008858D5" w:rsidRPr="00327FAA">
        <w:rPr>
          <w:sz w:val="16"/>
          <w:szCs w:val="16"/>
        </w:rPr>
        <w:t xml:space="preserve">and </w:t>
      </w:r>
      <w:r>
        <w:rPr>
          <w:sz w:val="16"/>
          <w:szCs w:val="16"/>
        </w:rPr>
        <w:t xml:space="preserve">outlook </w:t>
      </w:r>
      <w:r w:rsidR="003663A3" w:rsidRPr="00327FAA">
        <w:rPr>
          <w:b w:val="0"/>
          <w:i/>
          <w:sz w:val="16"/>
          <w:szCs w:val="16"/>
        </w:rPr>
        <w:t>– focused on delivery</w:t>
      </w:r>
    </w:p>
    <w:p w14:paraId="1AD2564E" w14:textId="77777777" w:rsidR="00BE5DC4" w:rsidRPr="00BE5DC4" w:rsidRDefault="00BE5DC4" w:rsidP="00BE5DC4">
      <w:pPr>
        <w:spacing w:after="240" w:line="276" w:lineRule="auto"/>
        <w:rPr>
          <w:rFonts w:eastAsia="MS Mincho" w:cs="Arial"/>
        </w:rPr>
      </w:pPr>
      <w:r w:rsidRPr="00BE5DC4">
        <w:rPr>
          <w:rFonts w:eastAsia="MS Mincho" w:cs="Arial"/>
        </w:rPr>
        <w:t>The Group delivered a strong performance in the year, exceeding the expectations set at the outset and demonstrating the resilience of its business model, the strength of its customer relationships and the quality of its category expertise across both Celebrate and Create. Our design-led proposition, supported by long-standing retailer partnerships, global sourcing capabilities and disciplined operational execution, continues to provide a robust platform for sustainable growth and cash generation.</w:t>
      </w:r>
    </w:p>
    <w:p w14:paraId="151D26AF" w14:textId="7FCE95D7" w:rsidR="00801B66" w:rsidRDefault="00BE5DC4" w:rsidP="001E1ACE">
      <w:pPr>
        <w:spacing w:after="240" w:line="276" w:lineRule="auto"/>
        <w:rPr>
          <w:rFonts w:eastAsia="MS Mincho" w:cs="Arial"/>
        </w:rPr>
      </w:pPr>
      <w:r w:rsidRPr="00BE5DC4">
        <w:rPr>
          <w:rFonts w:eastAsia="MS Mincho" w:cs="Arial"/>
        </w:rPr>
        <w:t>Following the appointment of the new CEO, the Group’s strategy remains focused on evolution rather than revolution, with continued emphasis on the four long-term growth pillars that underpin future value creation. These priorities are premiumisation, product diversification, customer and channel expansion, and the strengthening of commercial capability. Through a more differentiated and higher-value product offering, continued expansion into adjacent and underpenetrated categories, broader customer reach across geographies and channels, and enhanced commercial execution, the Group is well positioned to deliver further growth in revenue, margins and cash generation over the medium term</w:t>
      </w:r>
      <w:r w:rsidR="00801B66">
        <w:rPr>
          <w:rFonts w:eastAsia="MS Mincho" w:cs="Arial"/>
        </w:rPr>
        <w:t>, whilst remaining mindful of ongoing macroeconomic and geopolitical uncertainties</w:t>
      </w:r>
      <w:r w:rsidRPr="00BE5DC4">
        <w:rPr>
          <w:rFonts w:eastAsia="MS Mincho" w:cs="Arial"/>
        </w:rPr>
        <w:t xml:space="preserve">. </w:t>
      </w:r>
    </w:p>
    <w:p w14:paraId="749B389F" w14:textId="58EAC2D2" w:rsidR="001E1ACE" w:rsidRPr="001E1ACE" w:rsidRDefault="00E90727" w:rsidP="001E1ACE">
      <w:pPr>
        <w:spacing w:after="240" w:line="276" w:lineRule="auto"/>
        <w:rPr>
          <w:rFonts w:eastAsia="MS Mincho" w:cs="Arial"/>
        </w:rPr>
      </w:pPr>
      <w:r w:rsidRPr="00E90727">
        <w:rPr>
          <w:rFonts w:eastAsia="MS Mincho" w:cs="Arial"/>
        </w:rPr>
        <w:t>The Group enters the new financial period with a strong orderbook representing 78% of budgeted revenues</w:t>
      </w:r>
      <w:r>
        <w:rPr>
          <w:rFonts w:eastAsia="MS Mincho" w:cs="Arial"/>
        </w:rPr>
        <w:t xml:space="preserve"> (</w:t>
      </w:r>
      <w:r w:rsidRPr="00E90727">
        <w:rPr>
          <w:rFonts w:eastAsia="MS Mincho" w:cs="Arial"/>
        </w:rPr>
        <w:t>compared to 75% in the prior year</w:t>
      </w:r>
      <w:r w:rsidR="006432A7">
        <w:rPr>
          <w:rFonts w:eastAsia="MS Mincho" w:cs="Arial"/>
        </w:rPr>
        <w:t>)</w:t>
      </w:r>
      <w:r w:rsidRPr="00E90727">
        <w:rPr>
          <w:rFonts w:eastAsia="MS Mincho" w:cs="Arial"/>
        </w:rPr>
        <w:t>, providing good visibility and underpinning confidence in near-term performance.</w:t>
      </w:r>
      <w:r>
        <w:rPr>
          <w:rFonts w:eastAsia="MS Mincho" w:cs="Arial"/>
        </w:rPr>
        <w:t xml:space="preserve"> </w:t>
      </w:r>
      <w:r w:rsidR="00C802B8">
        <w:rPr>
          <w:rFonts w:eastAsia="MS Mincho" w:cs="Arial"/>
        </w:rPr>
        <w:t>T</w:t>
      </w:r>
      <w:r w:rsidR="00BE5DC4" w:rsidRPr="00BE5DC4">
        <w:rPr>
          <w:rFonts w:eastAsia="MS Mincho" w:cs="Arial"/>
        </w:rPr>
        <w:t xml:space="preserve">he Group </w:t>
      </w:r>
      <w:r w:rsidR="00C802B8">
        <w:rPr>
          <w:rFonts w:eastAsia="MS Mincho" w:cs="Arial"/>
        </w:rPr>
        <w:t>also</w:t>
      </w:r>
      <w:r w:rsidR="00BE5DC4" w:rsidRPr="00BE5DC4">
        <w:rPr>
          <w:rFonts w:eastAsia="MS Mincho" w:cs="Arial"/>
        </w:rPr>
        <w:t xml:space="preserve"> remains focused on dis</w:t>
      </w:r>
      <w:r w:rsidR="00BE5DC4" w:rsidRPr="008A60F1">
        <w:rPr>
          <w:rFonts w:eastAsia="MS Mincho" w:cs="Arial"/>
        </w:rPr>
        <w:t>ciplined cost management and strong capital allocation to support scalable, profitable growth and long-term shareholder returns.</w:t>
      </w:r>
      <w:r w:rsidR="00BA7EA7" w:rsidRPr="008A60F1">
        <w:rPr>
          <w:rFonts w:eastAsia="MS Mincho" w:cs="Arial"/>
        </w:rPr>
        <w:t xml:space="preserve"> </w:t>
      </w:r>
      <w:r w:rsidR="001E1ACE" w:rsidRPr="008A60F1">
        <w:rPr>
          <w:rFonts w:eastAsia="MS Mincho" w:cs="Arial"/>
        </w:rPr>
        <w:t xml:space="preserve">Looking ahead, </w:t>
      </w:r>
      <w:r w:rsidR="008A60F1">
        <w:rPr>
          <w:rFonts w:eastAsia="MS Mincho" w:cs="Arial"/>
        </w:rPr>
        <w:t xml:space="preserve">as previously stated, </w:t>
      </w:r>
      <w:r w:rsidR="001E1ACE" w:rsidRPr="008A60F1">
        <w:rPr>
          <w:rFonts w:eastAsia="MS Mincho" w:cs="Arial"/>
        </w:rPr>
        <w:t xml:space="preserve">the Board expects to deliver annual revenue growth in the range of </w:t>
      </w:r>
      <w:r w:rsidR="008A60F1" w:rsidRPr="008A60F1">
        <w:rPr>
          <w:rFonts w:eastAsia="MS Mincho" w:cs="Arial"/>
        </w:rPr>
        <w:t>0-5</w:t>
      </w:r>
      <w:r w:rsidR="001E1ACE" w:rsidRPr="008A60F1">
        <w:rPr>
          <w:rFonts w:eastAsia="MS Mincho" w:cs="Arial"/>
        </w:rPr>
        <w:t xml:space="preserve">% per annum, </w:t>
      </w:r>
      <w:r w:rsidR="00A71813">
        <w:rPr>
          <w:rFonts w:eastAsia="MS Mincho" w:cs="Arial"/>
        </w:rPr>
        <w:t xml:space="preserve">adjusted </w:t>
      </w:r>
      <w:r w:rsidR="001E1ACE" w:rsidRPr="008A60F1">
        <w:rPr>
          <w:rFonts w:eastAsia="MS Mincho" w:cs="Arial"/>
        </w:rPr>
        <w:t xml:space="preserve">operating margins of </w:t>
      </w:r>
      <w:r w:rsidR="008A60F1" w:rsidRPr="008A60F1">
        <w:rPr>
          <w:rFonts w:eastAsia="MS Mincho" w:cs="Arial"/>
        </w:rPr>
        <w:t>4-5</w:t>
      </w:r>
      <w:r w:rsidR="001E1ACE" w:rsidRPr="008A60F1">
        <w:rPr>
          <w:rFonts w:eastAsia="MS Mincho" w:cs="Arial"/>
        </w:rPr>
        <w:t xml:space="preserve">%, and annual </w:t>
      </w:r>
      <w:r w:rsidR="0070143C">
        <w:rPr>
          <w:rFonts w:eastAsia="MS Mincho" w:cs="Arial"/>
        </w:rPr>
        <w:t xml:space="preserve">free </w:t>
      </w:r>
      <w:r w:rsidR="001E1ACE" w:rsidRPr="008A60F1">
        <w:rPr>
          <w:rFonts w:eastAsia="MS Mincho" w:cs="Arial"/>
        </w:rPr>
        <w:t>cash generation of approximately £</w:t>
      </w:r>
      <w:r w:rsidR="008A60F1" w:rsidRPr="008A60F1">
        <w:rPr>
          <w:rFonts w:eastAsia="MS Mincho" w:cs="Arial"/>
        </w:rPr>
        <w:t>5</w:t>
      </w:r>
      <w:r w:rsidR="001A440F">
        <w:rPr>
          <w:rFonts w:eastAsia="MS Mincho" w:cs="Arial"/>
        </w:rPr>
        <w:t xml:space="preserve"> </w:t>
      </w:r>
      <w:r w:rsidR="001E1ACE" w:rsidRPr="008A60F1">
        <w:rPr>
          <w:rFonts w:eastAsia="MS Mincho" w:cs="Arial"/>
        </w:rPr>
        <w:t>m</w:t>
      </w:r>
      <w:r w:rsidR="001A440F">
        <w:rPr>
          <w:rFonts w:eastAsia="MS Mincho" w:cs="Arial"/>
        </w:rPr>
        <w:t>illion</w:t>
      </w:r>
      <w:r w:rsidR="001E1ACE" w:rsidRPr="008A60F1">
        <w:rPr>
          <w:rFonts w:eastAsia="MS Mincho" w:cs="Arial"/>
        </w:rPr>
        <w:t>, supported by continued execution against its strategic priorities.</w:t>
      </w:r>
    </w:p>
    <w:p w14:paraId="01D82F44" w14:textId="32A765CA" w:rsidR="001E1ACE" w:rsidRPr="001E1ACE" w:rsidRDefault="001E1ACE" w:rsidP="001E1ACE">
      <w:pPr>
        <w:spacing w:after="240" w:line="276" w:lineRule="auto"/>
        <w:rPr>
          <w:rFonts w:eastAsia="MS Mincho" w:cs="Arial"/>
        </w:rPr>
      </w:pPr>
      <w:r w:rsidRPr="001E1ACE">
        <w:rPr>
          <w:rFonts w:eastAsia="MS Mincho" w:cs="Arial"/>
        </w:rPr>
        <w:t>In April 2026, the Group completed the acquisition of Glenart S.A., a South African manufacturer within the Celebrate category, with particular strength in crackers. The business is highly complementary to the Group’s existing operations and provides an opportunity to expand into a new geography while leveraging established customer channels. The acquisition represents a disciplined, bolt</w:t>
      </w:r>
      <w:r w:rsidRPr="001E1ACE">
        <w:rPr>
          <w:rFonts w:ascii="Cambria Math" w:eastAsia="MS Mincho" w:hAnsi="Cambria Math" w:cs="Cambria Math"/>
        </w:rPr>
        <w:t>‑</w:t>
      </w:r>
      <w:r w:rsidRPr="001E1ACE">
        <w:rPr>
          <w:rFonts w:eastAsia="MS Mincho" w:cs="Arial"/>
        </w:rPr>
        <w:t xml:space="preserve">on investment aligned to the Group’s strategic pillars and </w:t>
      </w:r>
      <w:r w:rsidR="00115E04">
        <w:rPr>
          <w:rFonts w:eastAsia="MS Mincho" w:cs="Arial"/>
        </w:rPr>
        <w:t>will be</w:t>
      </w:r>
      <w:r w:rsidR="00D337AE">
        <w:rPr>
          <w:rFonts w:eastAsia="MS Mincho" w:cs="Arial"/>
        </w:rPr>
        <w:t xml:space="preserve"> immediately</w:t>
      </w:r>
      <w:r w:rsidR="00115E04">
        <w:rPr>
          <w:rFonts w:eastAsia="MS Mincho" w:cs="Arial"/>
        </w:rPr>
        <w:t xml:space="preserve"> </w:t>
      </w:r>
      <w:r w:rsidRPr="001E1ACE">
        <w:rPr>
          <w:rFonts w:eastAsia="MS Mincho" w:cs="Arial"/>
        </w:rPr>
        <w:t>earnings enhancing.</w:t>
      </w:r>
    </w:p>
    <w:p w14:paraId="1A7A92FC" w14:textId="77777777" w:rsidR="008C775C" w:rsidRPr="00B8452B" w:rsidRDefault="008C775C" w:rsidP="008C775C">
      <w:pPr>
        <w:spacing w:after="240" w:line="276" w:lineRule="auto"/>
        <w:rPr>
          <w:rFonts w:eastAsia="MS Mincho" w:cs="Arial"/>
        </w:rPr>
      </w:pPr>
      <w:r w:rsidRPr="001E1ACE">
        <w:rPr>
          <w:rFonts w:eastAsia="MS Mincho" w:cs="Arial"/>
        </w:rPr>
        <w:t>Overall, the Group remains well positioned to deliver sustainable revenue growth, margin progression and consistent cash generation, underpinned by a clear strategy</w:t>
      </w:r>
      <w:r>
        <w:rPr>
          <w:rFonts w:eastAsia="MS Mincho" w:cs="Arial"/>
        </w:rPr>
        <w:t xml:space="preserve"> and leadership</w:t>
      </w:r>
      <w:r w:rsidRPr="001E1ACE">
        <w:rPr>
          <w:rFonts w:eastAsia="MS Mincho" w:cs="Arial"/>
        </w:rPr>
        <w:t>, strong customer partnerships and continued operational discipline.</w:t>
      </w:r>
    </w:p>
    <w:p w14:paraId="0738C2D9" w14:textId="750597BC" w:rsidR="008C775C" w:rsidRPr="00327FAA" w:rsidRDefault="008C775C" w:rsidP="00327FAA">
      <w:pPr>
        <w:pStyle w:val="Heading2"/>
        <w:rPr>
          <w:b w:val="0"/>
          <w:szCs w:val="16"/>
        </w:rPr>
      </w:pPr>
      <w:r w:rsidRPr="00327FAA">
        <w:rPr>
          <w:sz w:val="16"/>
          <w:szCs w:val="16"/>
        </w:rPr>
        <w:t xml:space="preserve">Capital allocation </w:t>
      </w:r>
      <w:r w:rsidR="002F103E" w:rsidRPr="00327FAA">
        <w:rPr>
          <w:b w:val="0"/>
          <w:i/>
          <w:sz w:val="16"/>
          <w:szCs w:val="16"/>
        </w:rPr>
        <w:t>–</w:t>
      </w:r>
      <w:r w:rsidRPr="00327FAA">
        <w:rPr>
          <w:b w:val="0"/>
          <w:i/>
          <w:sz w:val="16"/>
          <w:szCs w:val="16"/>
        </w:rPr>
        <w:t xml:space="preserve"> </w:t>
      </w:r>
      <w:r w:rsidR="00883B32" w:rsidRPr="00327FAA">
        <w:rPr>
          <w:b w:val="0"/>
          <w:i/>
          <w:sz w:val="16"/>
          <w:szCs w:val="16"/>
        </w:rPr>
        <w:t>disciplined framework, delivering shareholder returns</w:t>
      </w:r>
    </w:p>
    <w:p w14:paraId="4E824537" w14:textId="220F667F" w:rsidR="00363E77" w:rsidRDefault="0083246D" w:rsidP="00794669">
      <w:pPr>
        <w:spacing w:after="240" w:line="276" w:lineRule="auto"/>
        <w:rPr>
          <w:rFonts w:eastAsia="MS Mincho" w:cs="Arial"/>
        </w:rPr>
      </w:pPr>
      <w:r w:rsidRPr="0083246D">
        <w:rPr>
          <w:rFonts w:eastAsia="MS Mincho" w:cs="Arial"/>
        </w:rPr>
        <w:t xml:space="preserve">The </w:t>
      </w:r>
      <w:r>
        <w:rPr>
          <w:rFonts w:eastAsia="MS Mincho" w:cs="Arial"/>
        </w:rPr>
        <w:t xml:space="preserve">Board has approved </w:t>
      </w:r>
      <w:r w:rsidRPr="0083246D">
        <w:rPr>
          <w:rFonts w:eastAsia="MS Mincho" w:cs="Arial"/>
        </w:rPr>
        <w:t>a disciplined capital allocation framework</w:t>
      </w:r>
      <w:r w:rsidR="0024618C">
        <w:rPr>
          <w:rFonts w:eastAsia="MS Mincho" w:cs="Arial"/>
        </w:rPr>
        <w:t>,</w:t>
      </w:r>
      <w:r w:rsidRPr="0083246D">
        <w:rPr>
          <w:rFonts w:eastAsia="MS Mincho" w:cs="Arial"/>
        </w:rPr>
        <w:t xml:space="preserve"> </w:t>
      </w:r>
      <w:r>
        <w:rPr>
          <w:rFonts w:eastAsia="MS Mincho" w:cs="Arial"/>
        </w:rPr>
        <w:t xml:space="preserve">aligned to </w:t>
      </w:r>
      <w:r w:rsidRPr="0083246D">
        <w:rPr>
          <w:rFonts w:eastAsia="MS Mincho" w:cs="Arial"/>
        </w:rPr>
        <w:t>long-term shareholder value</w:t>
      </w:r>
      <w:r>
        <w:rPr>
          <w:rFonts w:eastAsia="MS Mincho" w:cs="Arial"/>
        </w:rPr>
        <w:t xml:space="preserve"> creation</w:t>
      </w:r>
      <w:r w:rsidRPr="0083246D">
        <w:rPr>
          <w:rFonts w:eastAsia="MS Mincho" w:cs="Arial"/>
        </w:rPr>
        <w:t xml:space="preserve">, prioritising investment in growth through organic initiatives and </w:t>
      </w:r>
      <w:r w:rsidR="005E4FBA" w:rsidRPr="6E240BAE">
        <w:rPr>
          <w:rFonts w:eastAsia="MS Mincho" w:cs="Arial"/>
        </w:rPr>
        <w:t>strategically</w:t>
      </w:r>
      <w:r w:rsidR="788D7CFB" w:rsidRPr="24E58289">
        <w:rPr>
          <w:rFonts w:eastAsia="MS Mincho" w:cs="Arial"/>
        </w:rPr>
        <w:t xml:space="preserve"> aligned </w:t>
      </w:r>
      <w:r w:rsidRPr="0083246D">
        <w:rPr>
          <w:rFonts w:eastAsia="MS Mincho" w:cs="Arial"/>
        </w:rPr>
        <w:t xml:space="preserve">selective M&amp;A, alongside a progressive dividend policy and </w:t>
      </w:r>
      <w:r w:rsidR="000977C1">
        <w:rPr>
          <w:rFonts w:eastAsia="MS Mincho" w:cs="Arial"/>
        </w:rPr>
        <w:t>the return of</w:t>
      </w:r>
      <w:r w:rsidR="00077BC7">
        <w:rPr>
          <w:rFonts w:eastAsia="MS Mincho" w:cs="Arial"/>
        </w:rPr>
        <w:t xml:space="preserve"> </w:t>
      </w:r>
      <w:r w:rsidRPr="0083246D">
        <w:rPr>
          <w:rFonts w:eastAsia="MS Mincho" w:cs="Arial"/>
        </w:rPr>
        <w:t>surplus capital</w:t>
      </w:r>
      <w:r w:rsidR="00077BC7">
        <w:rPr>
          <w:rFonts w:eastAsia="MS Mincho" w:cs="Arial"/>
        </w:rPr>
        <w:t xml:space="preserve"> where appropriate, while </w:t>
      </w:r>
      <w:r w:rsidR="000977C1">
        <w:rPr>
          <w:rFonts w:eastAsia="MS Mincho" w:cs="Arial"/>
        </w:rPr>
        <w:t>maintaining</w:t>
      </w:r>
      <w:r w:rsidR="00077BC7">
        <w:rPr>
          <w:rFonts w:eastAsia="MS Mincho" w:cs="Arial"/>
        </w:rPr>
        <w:t xml:space="preserve"> a strong balance sheet</w:t>
      </w:r>
      <w:r w:rsidRPr="0083246D">
        <w:rPr>
          <w:rFonts w:eastAsia="MS Mincho" w:cs="Arial"/>
        </w:rPr>
        <w:t xml:space="preserve">. </w:t>
      </w:r>
      <w:r w:rsidR="00363E77" w:rsidRPr="00363E77">
        <w:rPr>
          <w:rFonts w:eastAsia="MS Mincho" w:cs="Arial"/>
        </w:rPr>
        <w:t>The dividend policy will be progressive and seek to move towards a dividend cover of no less than 3x over time.</w:t>
      </w:r>
    </w:p>
    <w:p w14:paraId="39AA1B5E" w14:textId="03C94204" w:rsidR="00764CA6" w:rsidRDefault="00457740" w:rsidP="00327FAA">
      <w:pPr>
        <w:spacing w:after="240" w:line="276" w:lineRule="auto"/>
        <w:rPr>
          <w:rFonts w:eastAsia="MS Mincho" w:cs="Arial"/>
        </w:rPr>
      </w:pPr>
      <w:r w:rsidRPr="00C4523B">
        <w:rPr>
          <w:rFonts w:eastAsia="MS Mincho" w:cs="Arial"/>
        </w:rPr>
        <w:t>Reflecting t</w:t>
      </w:r>
      <w:r w:rsidR="0083246D" w:rsidRPr="00C4523B">
        <w:rPr>
          <w:rFonts w:eastAsia="MS Mincho" w:cs="Arial"/>
        </w:rPr>
        <w:t>his approach</w:t>
      </w:r>
      <w:r w:rsidR="000977C1" w:rsidRPr="00C4523B">
        <w:rPr>
          <w:rFonts w:eastAsia="MS Mincho" w:cs="Arial"/>
        </w:rPr>
        <w:t>, the Group is pleased to announce</w:t>
      </w:r>
      <w:r w:rsidR="00D022D9" w:rsidRPr="00C4523B">
        <w:rPr>
          <w:rFonts w:eastAsia="MS Mincho" w:cs="Arial"/>
        </w:rPr>
        <w:t xml:space="preserve"> a 1.0p dividend </w:t>
      </w:r>
      <w:r w:rsidR="324FFB2B" w:rsidRPr="00327FAA">
        <w:rPr>
          <w:rFonts w:eastAsia="MS Mincho" w:cs="Arial"/>
        </w:rPr>
        <w:t xml:space="preserve">per share </w:t>
      </w:r>
      <w:r w:rsidR="002422A4">
        <w:rPr>
          <w:rFonts w:eastAsia="MS Mincho" w:cs="Arial"/>
        </w:rPr>
        <w:t>for the full year</w:t>
      </w:r>
      <w:r w:rsidR="00417226">
        <w:rPr>
          <w:rFonts w:eastAsia="MS Mincho" w:cs="Arial"/>
        </w:rPr>
        <w:t xml:space="preserve"> (FY2025: 0.0p per share)</w:t>
      </w:r>
      <w:r w:rsidR="00791291">
        <w:rPr>
          <w:rFonts w:eastAsia="MS Mincho" w:cs="Arial"/>
        </w:rPr>
        <w:t xml:space="preserve">. This represents a dividend cover of </w:t>
      </w:r>
      <w:r w:rsidR="0016402A">
        <w:rPr>
          <w:rFonts w:eastAsia="MS Mincho" w:cs="Arial"/>
        </w:rPr>
        <w:t>7.2x</w:t>
      </w:r>
      <w:r w:rsidR="00942249">
        <w:rPr>
          <w:rFonts w:eastAsia="MS Mincho" w:cs="Arial"/>
        </w:rPr>
        <w:t xml:space="preserve"> </w:t>
      </w:r>
      <w:r w:rsidR="006206D2">
        <w:rPr>
          <w:rFonts w:eastAsia="MS Mincho" w:cs="Arial"/>
        </w:rPr>
        <w:t xml:space="preserve">and </w:t>
      </w:r>
      <w:r w:rsidR="006B0B21" w:rsidRPr="00320DAF">
        <w:rPr>
          <w:rFonts w:eastAsia="MS Mincho" w:cs="Arial"/>
        </w:rPr>
        <w:t>result</w:t>
      </w:r>
      <w:r w:rsidR="006206D2">
        <w:rPr>
          <w:rFonts w:eastAsia="MS Mincho" w:cs="Arial"/>
        </w:rPr>
        <w:t>s</w:t>
      </w:r>
      <w:r w:rsidR="006B0B21" w:rsidRPr="00320DAF">
        <w:rPr>
          <w:rFonts w:eastAsia="MS Mincho" w:cs="Arial"/>
        </w:rPr>
        <w:t xml:space="preserve"> in a total cash distribution to shareholders of </w:t>
      </w:r>
      <w:r w:rsidR="00201672">
        <w:rPr>
          <w:rFonts w:eastAsia="MS Mincho" w:cs="Arial"/>
        </w:rPr>
        <w:t>c.</w:t>
      </w:r>
      <w:r w:rsidR="006B0B21" w:rsidRPr="00320DAF">
        <w:rPr>
          <w:rFonts w:eastAsia="MS Mincho" w:cs="Arial"/>
        </w:rPr>
        <w:t>£</w:t>
      </w:r>
      <w:r w:rsidR="00804D42">
        <w:rPr>
          <w:rFonts w:eastAsia="MS Mincho" w:cs="Arial"/>
        </w:rPr>
        <w:t>1</w:t>
      </w:r>
      <w:r w:rsidR="001A440F">
        <w:rPr>
          <w:rFonts w:eastAsia="MS Mincho" w:cs="Arial"/>
        </w:rPr>
        <w:t xml:space="preserve">.0 </w:t>
      </w:r>
      <w:r w:rsidR="006B0B21" w:rsidRPr="00320DAF">
        <w:rPr>
          <w:rFonts w:eastAsia="MS Mincho" w:cs="Arial"/>
        </w:rPr>
        <w:t>m</w:t>
      </w:r>
      <w:r w:rsidR="001A440F">
        <w:rPr>
          <w:rFonts w:eastAsia="MS Mincho" w:cs="Arial"/>
        </w:rPr>
        <w:t>illion</w:t>
      </w:r>
      <w:r w:rsidR="006B0B21" w:rsidRPr="00320DAF">
        <w:rPr>
          <w:rFonts w:eastAsia="MS Mincho" w:cs="Arial"/>
        </w:rPr>
        <w:t xml:space="preserve">, subject to shareholders' approval at the AGM on </w:t>
      </w:r>
      <w:r w:rsidR="006206D2">
        <w:rPr>
          <w:rFonts w:eastAsia="MS Mincho" w:cs="Arial"/>
        </w:rPr>
        <w:t>24</w:t>
      </w:r>
      <w:r w:rsidR="0077248B">
        <w:rPr>
          <w:rFonts w:eastAsia="MS Mincho" w:cs="Arial"/>
        </w:rPr>
        <w:t xml:space="preserve"> September</w:t>
      </w:r>
      <w:r w:rsidR="006B0B21" w:rsidRPr="00320DAF">
        <w:rPr>
          <w:rFonts w:eastAsia="MS Mincho" w:cs="Arial"/>
        </w:rPr>
        <w:t xml:space="preserve"> 2026. The final dividend will be paid </w:t>
      </w:r>
      <w:r w:rsidR="006B0B21" w:rsidRPr="001559FA">
        <w:rPr>
          <w:rFonts w:eastAsia="MS Mincho" w:cs="Arial"/>
        </w:rPr>
        <w:t xml:space="preserve">on </w:t>
      </w:r>
      <w:r w:rsidR="002F679F" w:rsidRPr="001559FA">
        <w:rPr>
          <w:rFonts w:eastAsia="MS Mincho" w:cs="Arial"/>
        </w:rPr>
        <w:t>9 October</w:t>
      </w:r>
      <w:r w:rsidR="006B0B21" w:rsidRPr="00320DAF">
        <w:rPr>
          <w:rFonts w:eastAsia="MS Mincho" w:cs="Arial"/>
        </w:rPr>
        <w:t xml:space="preserve"> 2026 to shareholders on the register of members at the close of business on </w:t>
      </w:r>
      <w:r w:rsidR="001F0EF8">
        <w:rPr>
          <w:rFonts w:eastAsia="MS Mincho" w:cs="Arial"/>
        </w:rPr>
        <w:t>4 September</w:t>
      </w:r>
      <w:r w:rsidR="006B0B21" w:rsidRPr="00320DAF">
        <w:rPr>
          <w:rFonts w:eastAsia="MS Mincho" w:cs="Arial"/>
        </w:rPr>
        <w:t xml:space="preserve"> 2026.</w:t>
      </w:r>
    </w:p>
    <w:p w14:paraId="47357FBF" w14:textId="3276C7E1" w:rsidR="00F965CD" w:rsidRDefault="00764CA6" w:rsidP="00794669">
      <w:pPr>
        <w:rPr>
          <w:rFonts w:eastAsia="MS Mincho" w:cs="Arial"/>
        </w:rPr>
      </w:pPr>
      <w:r>
        <w:rPr>
          <w:rFonts w:eastAsia="MS Mincho" w:cs="Arial"/>
        </w:rPr>
        <w:t>In line with the Group’s updated capital allocation policy</w:t>
      </w:r>
      <w:r w:rsidR="00804D42">
        <w:rPr>
          <w:rFonts w:eastAsia="MS Mincho" w:cs="Arial"/>
        </w:rPr>
        <w:t xml:space="preserve">, </w:t>
      </w:r>
      <w:r w:rsidR="009420BC">
        <w:rPr>
          <w:rFonts w:eastAsia="MS Mincho" w:cs="Arial"/>
        </w:rPr>
        <w:t xml:space="preserve">aligned to </w:t>
      </w:r>
      <w:r w:rsidR="00DF5D20">
        <w:rPr>
          <w:rFonts w:eastAsia="MS Mincho" w:cs="Arial"/>
        </w:rPr>
        <w:t xml:space="preserve">long-term shareholder value creation, </w:t>
      </w:r>
      <w:r w:rsidR="00804D42">
        <w:rPr>
          <w:rFonts w:eastAsia="MS Mincho" w:cs="Arial"/>
        </w:rPr>
        <w:t>the Company has also today announced the initiation of a sh</w:t>
      </w:r>
      <w:r w:rsidR="006D7F8F">
        <w:rPr>
          <w:rFonts w:eastAsia="MS Mincho" w:cs="Arial"/>
        </w:rPr>
        <w:t>a</w:t>
      </w:r>
      <w:r w:rsidR="00804D42">
        <w:rPr>
          <w:rFonts w:eastAsia="MS Mincho" w:cs="Arial"/>
        </w:rPr>
        <w:t>re</w:t>
      </w:r>
      <w:r w:rsidR="006D7F8F">
        <w:rPr>
          <w:rFonts w:eastAsia="MS Mincho" w:cs="Arial"/>
        </w:rPr>
        <w:t xml:space="preserve"> buyback programme for up to </w:t>
      </w:r>
      <w:r w:rsidR="00D022D9" w:rsidRPr="00C4523B">
        <w:rPr>
          <w:rFonts w:eastAsia="MS Mincho" w:cs="Arial"/>
        </w:rPr>
        <w:t xml:space="preserve">10% </w:t>
      </w:r>
      <w:r w:rsidR="006D7F8F">
        <w:rPr>
          <w:rFonts w:eastAsia="MS Mincho" w:cs="Arial"/>
        </w:rPr>
        <w:t xml:space="preserve">of the issued </w:t>
      </w:r>
      <w:r w:rsidR="00D022D9" w:rsidRPr="00C4523B">
        <w:rPr>
          <w:rFonts w:eastAsia="MS Mincho" w:cs="Arial"/>
        </w:rPr>
        <w:t xml:space="preserve">share </w:t>
      </w:r>
      <w:r w:rsidR="006D7F8F">
        <w:rPr>
          <w:rFonts w:eastAsia="MS Mincho" w:cs="Arial"/>
        </w:rPr>
        <w:t>capital</w:t>
      </w:r>
      <w:r w:rsidR="00823E58">
        <w:rPr>
          <w:rFonts w:eastAsia="MS Mincho" w:cs="Arial"/>
        </w:rPr>
        <w:t xml:space="preserve"> </w:t>
      </w:r>
      <w:r w:rsidR="00C575D3">
        <w:rPr>
          <w:rFonts w:eastAsia="MS Mincho" w:cs="Arial"/>
        </w:rPr>
        <w:t>until the next AGM</w:t>
      </w:r>
      <w:r w:rsidR="00397919">
        <w:rPr>
          <w:rFonts w:eastAsia="MS Mincho" w:cs="Arial"/>
        </w:rPr>
        <w:t xml:space="preserve"> on 24 September 2026, </w:t>
      </w:r>
      <w:r w:rsidR="004B2FF3">
        <w:rPr>
          <w:rFonts w:eastAsia="MS Mincho" w:cs="Arial"/>
        </w:rPr>
        <w:t>subject to liquidity</w:t>
      </w:r>
      <w:r w:rsidR="00F965CD">
        <w:rPr>
          <w:rFonts w:eastAsia="MS Mincho" w:cs="Arial"/>
        </w:rPr>
        <w:t>. Shares purchased as part of the buyback will be cancelled.</w:t>
      </w:r>
    </w:p>
    <w:p w14:paraId="64C73CE0" w14:textId="77777777" w:rsidR="003350F4" w:rsidRDefault="003350F4" w:rsidP="00794669">
      <w:pPr>
        <w:rPr>
          <w:rFonts w:eastAsia="MS Mincho" w:cs="Arial"/>
        </w:rPr>
      </w:pPr>
    </w:p>
    <w:p w14:paraId="11019CEA" w14:textId="11DED0E4" w:rsidR="00C4523B" w:rsidRPr="00327FAA" w:rsidRDefault="003350F4" w:rsidP="00327FAA">
      <w:r>
        <w:rPr>
          <w:rFonts w:eastAsia="MS Mincho" w:cs="Arial"/>
        </w:rPr>
        <w:t xml:space="preserve">The capital allocation policy marks </w:t>
      </w:r>
      <w:r w:rsidR="00E628E0" w:rsidRPr="00C4523B">
        <w:rPr>
          <w:rFonts w:eastAsia="MS Mincho" w:cs="Arial"/>
        </w:rPr>
        <w:t xml:space="preserve">a significant step in the delivery of tangible shareholder returns </w:t>
      </w:r>
      <w:r w:rsidR="00D022D9" w:rsidRPr="00C4523B">
        <w:rPr>
          <w:rFonts w:eastAsia="MS Mincho" w:cs="Arial"/>
        </w:rPr>
        <w:t>and demonstrat</w:t>
      </w:r>
      <w:r w:rsidR="00117659">
        <w:rPr>
          <w:rFonts w:eastAsia="MS Mincho" w:cs="Arial"/>
        </w:rPr>
        <w:t>es</w:t>
      </w:r>
      <w:r w:rsidR="00D022D9" w:rsidRPr="00C4523B">
        <w:rPr>
          <w:rFonts w:eastAsia="MS Mincho" w:cs="Arial"/>
        </w:rPr>
        <w:t xml:space="preserve"> confi</w:t>
      </w:r>
      <w:r w:rsidR="00F55AD1" w:rsidRPr="00C4523B">
        <w:rPr>
          <w:rFonts w:eastAsia="MS Mincho" w:cs="Arial"/>
        </w:rPr>
        <w:t xml:space="preserve">dence </w:t>
      </w:r>
      <w:r w:rsidR="00117659">
        <w:rPr>
          <w:rFonts w:eastAsia="MS Mincho" w:cs="Arial"/>
        </w:rPr>
        <w:t xml:space="preserve">in </w:t>
      </w:r>
      <w:r w:rsidR="515A8EEA" w:rsidRPr="00C4523B">
        <w:rPr>
          <w:rFonts w:eastAsia="MS Mincho" w:cs="Arial"/>
        </w:rPr>
        <w:t>the st</w:t>
      </w:r>
      <w:r w:rsidR="03879CDA" w:rsidRPr="00C4523B">
        <w:rPr>
          <w:rFonts w:eastAsia="MS Mincho" w:cs="Arial"/>
        </w:rPr>
        <w:t>reng</w:t>
      </w:r>
      <w:r w:rsidR="515A8EEA" w:rsidRPr="00C4523B">
        <w:rPr>
          <w:rFonts w:eastAsia="MS Mincho" w:cs="Arial"/>
        </w:rPr>
        <w:t>th of ou</w:t>
      </w:r>
      <w:r w:rsidR="6D79A4D2" w:rsidRPr="00C4523B">
        <w:rPr>
          <w:rFonts w:eastAsia="MS Mincho" w:cs="Arial"/>
        </w:rPr>
        <w:t>r</w:t>
      </w:r>
      <w:r w:rsidR="515A8EEA" w:rsidRPr="00C4523B">
        <w:rPr>
          <w:rFonts w:eastAsia="MS Mincho" w:cs="Arial"/>
        </w:rPr>
        <w:t xml:space="preserve"> balance sheet and </w:t>
      </w:r>
      <w:r w:rsidR="00F55AD1" w:rsidRPr="00C4523B">
        <w:rPr>
          <w:rFonts w:eastAsia="MS Mincho" w:cs="Arial"/>
        </w:rPr>
        <w:t xml:space="preserve">the Group’s </w:t>
      </w:r>
      <w:r w:rsidR="001E393C" w:rsidRPr="00C4523B">
        <w:rPr>
          <w:rFonts w:eastAsia="MS Mincho" w:cs="Arial"/>
        </w:rPr>
        <w:t>outloo</w:t>
      </w:r>
      <w:r w:rsidR="4F2AEEEB" w:rsidRPr="00C4523B">
        <w:rPr>
          <w:rFonts w:eastAsia="MS Mincho" w:cs="Arial"/>
        </w:rPr>
        <w:t>k</w:t>
      </w:r>
      <w:r w:rsidR="00C4523B">
        <w:rPr>
          <w:rFonts w:eastAsia="MS Mincho" w:cs="Arial"/>
        </w:rPr>
        <w:t>.</w:t>
      </w:r>
    </w:p>
    <w:p w14:paraId="0C2D6C26" w14:textId="77777777" w:rsidR="008858D5" w:rsidRPr="00327FAA" w:rsidRDefault="008858D5" w:rsidP="00327FAA">
      <w:pPr>
        <w:pStyle w:val="Heading2"/>
        <w:rPr>
          <w:b w:val="0"/>
          <w:szCs w:val="16"/>
        </w:rPr>
      </w:pPr>
      <w:r w:rsidRPr="00327FAA">
        <w:rPr>
          <w:sz w:val="16"/>
          <w:szCs w:val="16"/>
        </w:rPr>
        <w:t xml:space="preserve">Regional highlights </w:t>
      </w:r>
    </w:p>
    <w:p w14:paraId="46AF247C" w14:textId="2374654A" w:rsidR="00BF6E8F" w:rsidRDefault="00BF6E8F" w:rsidP="00BF6E8F">
      <w:pPr>
        <w:spacing w:after="240" w:line="276" w:lineRule="auto"/>
        <w:rPr>
          <w:rFonts w:eastAsia="Cambria" w:cs="Arial"/>
        </w:rPr>
      </w:pPr>
      <w:r w:rsidRPr="00BF6E8F">
        <w:rPr>
          <w:rFonts w:eastAsia="Cambria" w:cs="Arial"/>
        </w:rPr>
        <w:t>The continuing Group comprises three reporting segments: DG Europe</w:t>
      </w:r>
      <w:r w:rsidR="00AC5D9F">
        <w:rPr>
          <w:rFonts w:eastAsia="Cambria" w:cs="Arial"/>
        </w:rPr>
        <w:t>,</w:t>
      </w:r>
      <w:r w:rsidRPr="00BF6E8F">
        <w:rPr>
          <w:rFonts w:eastAsia="Cambria" w:cs="Arial"/>
        </w:rPr>
        <w:t xml:space="preserve"> </w:t>
      </w:r>
      <w:r w:rsidR="00AC5D9F" w:rsidRPr="00BF6E8F">
        <w:rPr>
          <w:rFonts w:eastAsia="Cambria" w:cs="Arial"/>
        </w:rPr>
        <w:t>DG UK</w:t>
      </w:r>
      <w:r w:rsidRPr="00BF6E8F">
        <w:rPr>
          <w:rFonts w:eastAsia="Cambria" w:cs="Arial"/>
        </w:rPr>
        <w:t xml:space="preserve"> and DG Australia, along with</w:t>
      </w:r>
      <w:r>
        <w:rPr>
          <w:rFonts w:eastAsia="Cambria" w:cs="Arial"/>
        </w:rPr>
        <w:t xml:space="preserve"> </w:t>
      </w:r>
      <w:r w:rsidRPr="00BF6E8F">
        <w:rPr>
          <w:rFonts w:eastAsia="Cambria" w:cs="Arial"/>
        </w:rPr>
        <w:t>central costs and eliminations. The Group’s product categories fall into two key themes: Celebrate and Create.</w:t>
      </w:r>
      <w:r>
        <w:rPr>
          <w:rFonts w:eastAsia="Cambria" w:cs="Arial"/>
        </w:rPr>
        <w:t xml:space="preserve"> </w:t>
      </w:r>
      <w:r w:rsidRPr="00BF6E8F">
        <w:rPr>
          <w:rFonts w:eastAsia="Cambria" w:cs="Arial"/>
        </w:rPr>
        <w:t>As a leading manufacturer and distributor of celebration products, our ranges help millions of people celebrate</w:t>
      </w:r>
      <w:r>
        <w:rPr>
          <w:rFonts w:eastAsia="Cambria" w:cs="Arial"/>
        </w:rPr>
        <w:t xml:space="preserve"> </w:t>
      </w:r>
      <w:r w:rsidRPr="00BF6E8F">
        <w:rPr>
          <w:rFonts w:eastAsia="Cambria" w:cs="Arial"/>
        </w:rPr>
        <w:t>life’s special moments each year. The Celebrate category is made up of gift packaging (such as giftwrap,</w:t>
      </w:r>
      <w:r>
        <w:rPr>
          <w:rFonts w:eastAsia="Cambria" w:cs="Arial"/>
        </w:rPr>
        <w:t xml:space="preserve"> </w:t>
      </w:r>
      <w:r w:rsidRPr="00BF6E8F">
        <w:rPr>
          <w:rFonts w:eastAsia="Cambria" w:cs="Arial"/>
        </w:rPr>
        <w:t>greetings cards and gift bags), party products and goods not for resale. The Group’s Create products spark</w:t>
      </w:r>
      <w:r>
        <w:rPr>
          <w:rFonts w:eastAsia="Cambria" w:cs="Arial"/>
        </w:rPr>
        <w:t xml:space="preserve"> </w:t>
      </w:r>
      <w:r w:rsidRPr="00BF6E8F">
        <w:rPr>
          <w:rFonts w:eastAsia="Cambria" w:cs="Arial"/>
        </w:rPr>
        <w:t>imagination, foster creativity, and encourage learning, to help consumers of all ages express themselves and</w:t>
      </w:r>
      <w:r>
        <w:rPr>
          <w:rFonts w:eastAsia="Cambria" w:cs="Arial"/>
        </w:rPr>
        <w:t xml:space="preserve"> </w:t>
      </w:r>
      <w:r w:rsidRPr="00BF6E8F">
        <w:rPr>
          <w:rFonts w:eastAsia="Cambria" w:cs="Arial"/>
        </w:rPr>
        <w:t>build new skills. This category includes stationery, homeware and craft product categories.</w:t>
      </w:r>
      <w:r>
        <w:rPr>
          <w:rFonts w:eastAsia="Cambria" w:cs="Arial"/>
        </w:rPr>
        <w:t xml:space="preserve"> </w:t>
      </w:r>
    </w:p>
    <w:p w14:paraId="43D3360B" w14:textId="1D02091F" w:rsidR="00BF6E8F" w:rsidRPr="00B8452B" w:rsidRDefault="00BF6E8F" w:rsidP="00BF6E8F">
      <w:pPr>
        <w:spacing w:after="240" w:line="276" w:lineRule="auto"/>
        <w:rPr>
          <w:rFonts w:eastAsia="Cambria" w:cs="Arial"/>
        </w:rPr>
      </w:pPr>
      <w:r w:rsidRPr="00BF6E8F">
        <w:rPr>
          <w:rFonts w:eastAsia="Cambria" w:cs="Arial"/>
        </w:rPr>
        <w:t>Across the Group, there are a combination of well-structured product ranges with a strong focus on design and</w:t>
      </w:r>
      <w:r>
        <w:rPr>
          <w:rFonts w:eastAsia="Cambria" w:cs="Arial"/>
        </w:rPr>
        <w:t xml:space="preserve"> </w:t>
      </w:r>
      <w:r w:rsidRPr="00BF6E8F">
        <w:rPr>
          <w:rFonts w:eastAsia="Cambria" w:cs="Arial"/>
        </w:rPr>
        <w:t>innovation, supported by a geographically diverse market footprint.</w:t>
      </w:r>
    </w:p>
    <w:tbl>
      <w:tblPr>
        <w:tblW w:w="9493" w:type="dxa"/>
        <w:jc w:val="center"/>
        <w:tblLayout w:type="fixed"/>
        <w:tblLook w:val="04A0" w:firstRow="1" w:lastRow="0" w:firstColumn="1" w:lastColumn="0" w:noHBand="0" w:noVBand="1"/>
      </w:tblPr>
      <w:tblGrid>
        <w:gridCol w:w="1555"/>
        <w:gridCol w:w="850"/>
        <w:gridCol w:w="851"/>
        <w:gridCol w:w="823"/>
        <w:gridCol w:w="256"/>
        <w:gridCol w:w="905"/>
        <w:gridCol w:w="992"/>
        <w:gridCol w:w="999"/>
        <w:gridCol w:w="256"/>
        <w:gridCol w:w="1013"/>
        <w:gridCol w:w="993"/>
      </w:tblGrid>
      <w:tr w:rsidR="00DF1576" w:rsidRPr="001A0FEC" w14:paraId="12DAE8B3" w14:textId="77777777">
        <w:trPr>
          <w:trHeight w:hRule="exact" w:val="20"/>
          <w:jc w:val="center"/>
        </w:trPr>
        <w:tc>
          <w:tcPr>
            <w:tcW w:w="1555" w:type="dxa"/>
            <w:tcBorders>
              <w:top w:val="nil"/>
              <w:left w:val="nil"/>
              <w:bottom w:val="nil"/>
              <w:right w:val="nil"/>
            </w:tcBorders>
            <w:vAlign w:val="bottom"/>
            <w:hideMark/>
          </w:tcPr>
          <w:p w14:paraId="47F885F8" w14:textId="77777777" w:rsidR="00DF1576" w:rsidRDefault="00DF1576">
            <w:pPr>
              <w:rPr>
                <w:sz w:val="2"/>
              </w:rPr>
            </w:pPr>
            <w:bookmarkStart w:id="3" w:name="_09b7d888_9601_490d_b8e1_6bfed3af9627"/>
            <w:bookmarkStart w:id="4" w:name="_3600dfb0_0ff3_4b43_bba5_abc32f7e9bda"/>
            <w:bookmarkStart w:id="5" w:name="_fec42340_5a20_41af_b511_4e6ff0b81c46"/>
            <w:bookmarkEnd w:id="3"/>
            <w:bookmarkEnd w:id="4"/>
          </w:p>
        </w:tc>
        <w:tc>
          <w:tcPr>
            <w:tcW w:w="850" w:type="dxa"/>
            <w:tcBorders>
              <w:top w:val="nil"/>
              <w:left w:val="nil"/>
              <w:bottom w:val="nil"/>
              <w:right w:val="nil"/>
            </w:tcBorders>
            <w:vAlign w:val="bottom"/>
            <w:hideMark/>
          </w:tcPr>
          <w:p w14:paraId="24385323" w14:textId="77777777" w:rsidR="00DF1576" w:rsidRDefault="00DF1576">
            <w:pPr>
              <w:rPr>
                <w:sz w:val="2"/>
              </w:rPr>
            </w:pPr>
          </w:p>
        </w:tc>
        <w:tc>
          <w:tcPr>
            <w:tcW w:w="851" w:type="dxa"/>
            <w:tcBorders>
              <w:top w:val="nil"/>
              <w:left w:val="nil"/>
              <w:bottom w:val="nil"/>
              <w:right w:val="nil"/>
            </w:tcBorders>
            <w:vAlign w:val="bottom"/>
            <w:hideMark/>
          </w:tcPr>
          <w:p w14:paraId="1FDA299A" w14:textId="77777777" w:rsidR="00DF1576" w:rsidRDefault="00DF1576">
            <w:pPr>
              <w:rPr>
                <w:sz w:val="2"/>
              </w:rPr>
            </w:pPr>
          </w:p>
        </w:tc>
        <w:tc>
          <w:tcPr>
            <w:tcW w:w="823" w:type="dxa"/>
            <w:tcBorders>
              <w:top w:val="nil"/>
              <w:left w:val="nil"/>
              <w:bottom w:val="nil"/>
              <w:right w:val="nil"/>
            </w:tcBorders>
            <w:vAlign w:val="bottom"/>
            <w:hideMark/>
          </w:tcPr>
          <w:p w14:paraId="0F7AC227" w14:textId="77777777" w:rsidR="00DF1576" w:rsidRDefault="00DF1576">
            <w:pPr>
              <w:rPr>
                <w:sz w:val="2"/>
              </w:rPr>
            </w:pPr>
          </w:p>
        </w:tc>
        <w:tc>
          <w:tcPr>
            <w:tcW w:w="256" w:type="dxa"/>
            <w:tcBorders>
              <w:top w:val="nil"/>
              <w:left w:val="nil"/>
              <w:bottom w:val="nil"/>
              <w:right w:val="nil"/>
            </w:tcBorders>
            <w:noWrap/>
            <w:vAlign w:val="bottom"/>
            <w:hideMark/>
          </w:tcPr>
          <w:p w14:paraId="73771766" w14:textId="77777777" w:rsidR="00DF1576" w:rsidRDefault="00DF1576">
            <w:pPr>
              <w:rPr>
                <w:sz w:val="2"/>
              </w:rPr>
            </w:pPr>
          </w:p>
        </w:tc>
        <w:tc>
          <w:tcPr>
            <w:tcW w:w="905" w:type="dxa"/>
            <w:tcBorders>
              <w:top w:val="nil"/>
              <w:left w:val="nil"/>
              <w:bottom w:val="nil"/>
              <w:right w:val="nil"/>
            </w:tcBorders>
            <w:vAlign w:val="bottom"/>
            <w:hideMark/>
          </w:tcPr>
          <w:p w14:paraId="3AC99DF7" w14:textId="77777777" w:rsidR="00DF1576" w:rsidRDefault="00DF1576">
            <w:pPr>
              <w:rPr>
                <w:sz w:val="2"/>
              </w:rPr>
            </w:pPr>
          </w:p>
        </w:tc>
        <w:tc>
          <w:tcPr>
            <w:tcW w:w="992" w:type="dxa"/>
            <w:tcBorders>
              <w:top w:val="nil"/>
              <w:left w:val="nil"/>
              <w:bottom w:val="nil"/>
              <w:right w:val="nil"/>
            </w:tcBorders>
            <w:vAlign w:val="bottom"/>
            <w:hideMark/>
          </w:tcPr>
          <w:p w14:paraId="63BDD496" w14:textId="77777777" w:rsidR="00DF1576" w:rsidRDefault="00DF1576">
            <w:pPr>
              <w:rPr>
                <w:sz w:val="2"/>
              </w:rPr>
            </w:pPr>
          </w:p>
        </w:tc>
        <w:tc>
          <w:tcPr>
            <w:tcW w:w="999" w:type="dxa"/>
            <w:tcBorders>
              <w:top w:val="nil"/>
              <w:left w:val="nil"/>
              <w:bottom w:val="nil"/>
              <w:right w:val="nil"/>
            </w:tcBorders>
            <w:vAlign w:val="bottom"/>
            <w:hideMark/>
          </w:tcPr>
          <w:p w14:paraId="04915FC1" w14:textId="77777777" w:rsidR="00DF1576" w:rsidRDefault="00DF1576">
            <w:pPr>
              <w:rPr>
                <w:sz w:val="2"/>
              </w:rPr>
            </w:pPr>
          </w:p>
        </w:tc>
        <w:tc>
          <w:tcPr>
            <w:tcW w:w="256" w:type="dxa"/>
            <w:tcBorders>
              <w:top w:val="nil"/>
              <w:left w:val="nil"/>
              <w:bottom w:val="nil"/>
              <w:right w:val="nil"/>
            </w:tcBorders>
            <w:noWrap/>
            <w:vAlign w:val="bottom"/>
            <w:hideMark/>
          </w:tcPr>
          <w:p w14:paraId="581319BF" w14:textId="77777777" w:rsidR="00DF1576" w:rsidRDefault="00DF1576">
            <w:pPr>
              <w:rPr>
                <w:sz w:val="2"/>
              </w:rPr>
            </w:pPr>
          </w:p>
        </w:tc>
        <w:tc>
          <w:tcPr>
            <w:tcW w:w="1013" w:type="dxa"/>
            <w:tcBorders>
              <w:top w:val="nil"/>
              <w:left w:val="nil"/>
              <w:bottom w:val="nil"/>
              <w:right w:val="nil"/>
            </w:tcBorders>
            <w:vAlign w:val="bottom"/>
            <w:hideMark/>
          </w:tcPr>
          <w:p w14:paraId="6FCF9BC9" w14:textId="77777777" w:rsidR="00DF1576" w:rsidRDefault="00DF1576">
            <w:pPr>
              <w:rPr>
                <w:sz w:val="2"/>
              </w:rPr>
            </w:pPr>
          </w:p>
        </w:tc>
        <w:tc>
          <w:tcPr>
            <w:tcW w:w="993" w:type="dxa"/>
            <w:tcBorders>
              <w:top w:val="nil"/>
              <w:left w:val="nil"/>
              <w:bottom w:val="nil"/>
              <w:right w:val="nil"/>
            </w:tcBorders>
            <w:vAlign w:val="bottom"/>
            <w:hideMark/>
          </w:tcPr>
          <w:p w14:paraId="0A986156" w14:textId="77777777" w:rsidR="00DF1576" w:rsidRDefault="00DF1576">
            <w:pPr>
              <w:rPr>
                <w:sz w:val="2"/>
              </w:rPr>
            </w:pPr>
          </w:p>
        </w:tc>
      </w:tr>
      <w:tr w:rsidR="00DF1576" w:rsidRPr="001A0FEC" w14:paraId="60FF4D56" w14:textId="77777777">
        <w:trPr>
          <w:trHeight w:val="320"/>
          <w:jc w:val="center"/>
        </w:trPr>
        <w:tc>
          <w:tcPr>
            <w:tcW w:w="1555" w:type="dxa"/>
            <w:tcBorders>
              <w:top w:val="single" w:sz="4" w:space="0" w:color="auto"/>
            </w:tcBorders>
            <w:noWrap/>
            <w:vAlign w:val="bottom"/>
            <w:hideMark/>
          </w:tcPr>
          <w:p w14:paraId="731DE74D" w14:textId="435E93B6" w:rsidR="00DF1576" w:rsidRPr="00BF257F" w:rsidRDefault="00DF1576">
            <w:pPr>
              <w:spacing w:line="240" w:lineRule="auto"/>
              <w:rPr>
                <w:rFonts w:eastAsia="Times New Roman" w:cs="Arial"/>
                <w:b/>
                <w:sz w:val="14"/>
                <w:szCs w:val="14"/>
                <w:lang w:eastAsia="en-GB"/>
              </w:rPr>
            </w:pPr>
            <w:bookmarkStart w:id="6" w:name="_1f16ec61_971d_4dff_8ef3_3463a66f149a"/>
          </w:p>
        </w:tc>
        <w:tc>
          <w:tcPr>
            <w:tcW w:w="2524" w:type="dxa"/>
            <w:gridSpan w:val="3"/>
            <w:tcBorders>
              <w:top w:val="single" w:sz="4" w:space="0" w:color="auto"/>
            </w:tcBorders>
            <w:noWrap/>
            <w:vAlign w:val="center"/>
            <w:hideMark/>
          </w:tcPr>
          <w:p w14:paraId="5D3F71BA" w14:textId="77777777" w:rsidR="00DF1576" w:rsidRPr="00253286" w:rsidRDefault="00DF1576">
            <w:pPr>
              <w:spacing w:line="240" w:lineRule="auto"/>
              <w:jc w:val="center"/>
              <w:rPr>
                <w:rFonts w:eastAsia="Times New Roman" w:cs="Arial"/>
                <w:b/>
                <w:bCs/>
                <w:sz w:val="14"/>
                <w:szCs w:val="14"/>
                <w:lang w:eastAsia="en-GB"/>
              </w:rPr>
            </w:pPr>
            <w:r w:rsidRPr="00253286">
              <w:rPr>
                <w:rFonts w:eastAsia="Times New Roman" w:cs="Arial"/>
                <w:b/>
                <w:bCs/>
                <w:sz w:val="14"/>
                <w:szCs w:val="14"/>
                <w:lang w:eastAsia="en-GB"/>
              </w:rPr>
              <w:t>Revenue</w:t>
            </w:r>
          </w:p>
        </w:tc>
        <w:tc>
          <w:tcPr>
            <w:tcW w:w="256" w:type="dxa"/>
            <w:noWrap/>
            <w:vAlign w:val="bottom"/>
            <w:hideMark/>
          </w:tcPr>
          <w:p w14:paraId="65FAD70B" w14:textId="77777777" w:rsidR="00DF1576" w:rsidRPr="00253286" w:rsidRDefault="00DF1576">
            <w:pPr>
              <w:spacing w:line="240" w:lineRule="auto"/>
              <w:jc w:val="center"/>
              <w:rPr>
                <w:rFonts w:eastAsia="Times New Roman" w:cs="Arial"/>
                <w:b/>
                <w:bCs/>
                <w:sz w:val="14"/>
                <w:szCs w:val="14"/>
                <w:lang w:eastAsia="en-GB"/>
              </w:rPr>
            </w:pPr>
          </w:p>
        </w:tc>
        <w:tc>
          <w:tcPr>
            <w:tcW w:w="2896" w:type="dxa"/>
            <w:gridSpan w:val="3"/>
            <w:tcBorders>
              <w:top w:val="single" w:sz="4" w:space="0" w:color="auto"/>
            </w:tcBorders>
            <w:noWrap/>
            <w:vAlign w:val="center"/>
            <w:hideMark/>
          </w:tcPr>
          <w:p w14:paraId="63189F1B" w14:textId="7DDEBBE9" w:rsidR="00DF1576" w:rsidRPr="00253286" w:rsidRDefault="00DF1576">
            <w:pPr>
              <w:spacing w:line="240" w:lineRule="auto"/>
              <w:jc w:val="center"/>
              <w:rPr>
                <w:rFonts w:eastAsia="Times New Roman" w:cs="Arial"/>
                <w:b/>
                <w:bCs/>
                <w:sz w:val="14"/>
                <w:szCs w:val="14"/>
                <w:lang w:eastAsia="en-GB"/>
              </w:rPr>
            </w:pPr>
            <w:r w:rsidRPr="00253286">
              <w:rPr>
                <w:rFonts w:eastAsia="Times New Roman" w:cs="Arial"/>
                <w:b/>
                <w:bCs/>
                <w:sz w:val="14"/>
                <w:szCs w:val="14"/>
                <w:lang w:eastAsia="en-GB"/>
              </w:rPr>
              <w:t>Adjusted operating profit</w:t>
            </w:r>
            <w:r w:rsidR="00E16E3B">
              <w:rPr>
                <w:rFonts w:eastAsia="Times New Roman" w:cs="Arial"/>
                <w:b/>
                <w:bCs/>
                <w:sz w:val="14"/>
                <w:szCs w:val="14"/>
                <w:lang w:eastAsia="en-GB"/>
              </w:rPr>
              <w:t>/(loss)</w:t>
            </w:r>
          </w:p>
        </w:tc>
        <w:tc>
          <w:tcPr>
            <w:tcW w:w="256" w:type="dxa"/>
            <w:noWrap/>
            <w:vAlign w:val="bottom"/>
            <w:hideMark/>
          </w:tcPr>
          <w:p w14:paraId="429CAE0B" w14:textId="77777777" w:rsidR="00DF1576" w:rsidRPr="00253286" w:rsidRDefault="00DF1576">
            <w:pPr>
              <w:spacing w:line="240" w:lineRule="auto"/>
              <w:jc w:val="center"/>
              <w:rPr>
                <w:rFonts w:eastAsia="Times New Roman" w:cs="Arial"/>
                <w:b/>
                <w:bCs/>
                <w:sz w:val="14"/>
                <w:szCs w:val="14"/>
                <w:lang w:eastAsia="en-GB"/>
              </w:rPr>
            </w:pPr>
          </w:p>
        </w:tc>
        <w:tc>
          <w:tcPr>
            <w:tcW w:w="2006" w:type="dxa"/>
            <w:gridSpan w:val="2"/>
            <w:tcBorders>
              <w:top w:val="single" w:sz="4" w:space="0" w:color="auto"/>
            </w:tcBorders>
            <w:noWrap/>
            <w:vAlign w:val="center"/>
            <w:hideMark/>
          </w:tcPr>
          <w:p w14:paraId="0FCDB0AB" w14:textId="77777777" w:rsidR="00DF1576" w:rsidRPr="00253286" w:rsidRDefault="00DF1576">
            <w:pPr>
              <w:spacing w:line="240" w:lineRule="auto"/>
              <w:jc w:val="center"/>
              <w:rPr>
                <w:rFonts w:eastAsia="Times New Roman" w:cs="Arial"/>
                <w:b/>
                <w:bCs/>
                <w:sz w:val="14"/>
                <w:szCs w:val="14"/>
                <w:lang w:eastAsia="en-GB"/>
              </w:rPr>
            </w:pPr>
            <w:r w:rsidRPr="00253286">
              <w:rPr>
                <w:rFonts w:eastAsia="Times New Roman" w:cs="Arial"/>
                <w:b/>
                <w:bCs/>
                <w:sz w:val="14"/>
                <w:szCs w:val="14"/>
                <w:lang w:eastAsia="en-GB"/>
              </w:rPr>
              <w:t>Adjusted operating margin</w:t>
            </w:r>
          </w:p>
        </w:tc>
      </w:tr>
      <w:tr w:rsidR="00DF1576" w:rsidRPr="001A0FEC" w14:paraId="39AF0C4E" w14:textId="77777777">
        <w:trPr>
          <w:trHeight w:val="192"/>
          <w:jc w:val="center"/>
        </w:trPr>
        <w:tc>
          <w:tcPr>
            <w:tcW w:w="1555" w:type="dxa"/>
            <w:vAlign w:val="bottom"/>
            <w:hideMark/>
          </w:tcPr>
          <w:p w14:paraId="3D46C571" w14:textId="77777777" w:rsidR="00DF1576" w:rsidRPr="00BF257F" w:rsidRDefault="00DF1576">
            <w:pPr>
              <w:spacing w:line="240" w:lineRule="auto"/>
              <w:rPr>
                <w:rFonts w:eastAsia="Times New Roman" w:cs="Arial"/>
                <w:b/>
                <w:bCs/>
                <w:sz w:val="14"/>
                <w:szCs w:val="14"/>
                <w:lang w:eastAsia="en-GB"/>
              </w:rPr>
            </w:pPr>
            <w:r w:rsidRPr="00BF257F">
              <w:rPr>
                <w:rFonts w:eastAsia="Times New Roman" w:cs="Arial"/>
                <w:b/>
                <w:bCs/>
                <w:sz w:val="14"/>
                <w:szCs w:val="14"/>
                <w:lang w:eastAsia="en-GB"/>
              </w:rPr>
              <w:t> </w:t>
            </w:r>
          </w:p>
        </w:tc>
        <w:tc>
          <w:tcPr>
            <w:tcW w:w="850" w:type="dxa"/>
            <w:vAlign w:val="bottom"/>
            <w:hideMark/>
          </w:tcPr>
          <w:p w14:paraId="5F115ACA" w14:textId="77777777" w:rsidR="00DF1576" w:rsidRPr="00253286" w:rsidRDefault="00DF1576">
            <w:pPr>
              <w:spacing w:line="240" w:lineRule="auto"/>
              <w:jc w:val="center"/>
              <w:rPr>
                <w:rFonts w:eastAsia="Times New Roman" w:cs="Arial"/>
                <w:b/>
                <w:sz w:val="14"/>
                <w:szCs w:val="14"/>
                <w:lang w:eastAsia="en-GB"/>
              </w:rPr>
            </w:pPr>
            <w:r w:rsidRPr="00253286">
              <w:rPr>
                <w:rFonts w:eastAsia="Times New Roman" w:cs="Arial"/>
                <w:b/>
                <w:sz w:val="14"/>
                <w:szCs w:val="14"/>
                <w:lang w:eastAsia="en-GB"/>
              </w:rPr>
              <w:t>FY2026</w:t>
            </w:r>
          </w:p>
        </w:tc>
        <w:tc>
          <w:tcPr>
            <w:tcW w:w="851" w:type="dxa"/>
            <w:vAlign w:val="bottom"/>
            <w:hideMark/>
          </w:tcPr>
          <w:p w14:paraId="37D4CFF3" w14:textId="77777777" w:rsidR="00DF1576" w:rsidRPr="00253286" w:rsidRDefault="00DF1576">
            <w:pPr>
              <w:spacing w:line="240" w:lineRule="auto"/>
              <w:jc w:val="center"/>
              <w:rPr>
                <w:rFonts w:eastAsia="Times New Roman" w:cs="Arial"/>
                <w:b/>
                <w:sz w:val="14"/>
                <w:szCs w:val="14"/>
                <w:lang w:eastAsia="en-GB"/>
              </w:rPr>
            </w:pPr>
            <w:r w:rsidRPr="00253286">
              <w:rPr>
                <w:rFonts w:eastAsia="Times New Roman" w:cs="Arial"/>
                <w:b/>
                <w:sz w:val="14"/>
                <w:szCs w:val="14"/>
                <w:lang w:eastAsia="en-GB"/>
              </w:rPr>
              <w:t>FY2025</w:t>
            </w:r>
          </w:p>
        </w:tc>
        <w:tc>
          <w:tcPr>
            <w:tcW w:w="823" w:type="dxa"/>
            <w:vAlign w:val="bottom"/>
            <w:hideMark/>
          </w:tcPr>
          <w:p w14:paraId="7A3A6B93" w14:textId="77777777" w:rsidR="00DF1576" w:rsidRPr="00B909ED" w:rsidRDefault="00DF1576">
            <w:pPr>
              <w:spacing w:line="240" w:lineRule="auto"/>
              <w:jc w:val="center"/>
              <w:rPr>
                <w:rFonts w:eastAsia="Times New Roman" w:cs="Arial"/>
                <w:b/>
                <w:i/>
                <w:iCs/>
                <w:sz w:val="14"/>
                <w:szCs w:val="14"/>
                <w:lang w:eastAsia="en-GB"/>
              </w:rPr>
            </w:pPr>
            <w:r w:rsidRPr="00B909ED">
              <w:rPr>
                <w:rFonts w:eastAsia="Times New Roman" w:cs="Arial"/>
                <w:b/>
                <w:i/>
                <w:iCs/>
                <w:sz w:val="14"/>
                <w:szCs w:val="14"/>
                <w:lang w:eastAsia="en-GB"/>
              </w:rPr>
              <w:t>Change</w:t>
            </w:r>
          </w:p>
        </w:tc>
        <w:tc>
          <w:tcPr>
            <w:tcW w:w="256" w:type="dxa"/>
            <w:noWrap/>
            <w:vAlign w:val="bottom"/>
            <w:hideMark/>
          </w:tcPr>
          <w:p w14:paraId="2E3DDF7D" w14:textId="77777777" w:rsidR="00DF1576" w:rsidRPr="00253286" w:rsidRDefault="00DF1576">
            <w:pPr>
              <w:spacing w:line="240" w:lineRule="auto"/>
              <w:jc w:val="center"/>
              <w:rPr>
                <w:rFonts w:eastAsia="Times New Roman" w:cs="Arial"/>
                <w:b/>
                <w:bCs/>
                <w:sz w:val="14"/>
                <w:szCs w:val="14"/>
                <w:lang w:eastAsia="en-GB"/>
              </w:rPr>
            </w:pPr>
          </w:p>
        </w:tc>
        <w:tc>
          <w:tcPr>
            <w:tcW w:w="905" w:type="dxa"/>
            <w:vAlign w:val="bottom"/>
            <w:hideMark/>
          </w:tcPr>
          <w:p w14:paraId="16B38645" w14:textId="77777777" w:rsidR="00DF1576" w:rsidRPr="00253286" w:rsidRDefault="00DF1576">
            <w:pPr>
              <w:spacing w:line="240" w:lineRule="auto"/>
              <w:jc w:val="center"/>
              <w:rPr>
                <w:rFonts w:eastAsia="Times New Roman" w:cs="Arial"/>
                <w:b/>
                <w:sz w:val="14"/>
                <w:szCs w:val="14"/>
                <w:lang w:eastAsia="en-GB"/>
              </w:rPr>
            </w:pPr>
            <w:r w:rsidRPr="00253286">
              <w:rPr>
                <w:rFonts w:eastAsia="Times New Roman" w:cs="Arial"/>
                <w:b/>
                <w:sz w:val="14"/>
                <w:szCs w:val="14"/>
                <w:lang w:eastAsia="en-GB"/>
              </w:rPr>
              <w:t>FY2026</w:t>
            </w:r>
          </w:p>
        </w:tc>
        <w:tc>
          <w:tcPr>
            <w:tcW w:w="992" w:type="dxa"/>
            <w:vAlign w:val="bottom"/>
            <w:hideMark/>
          </w:tcPr>
          <w:p w14:paraId="0032BFF7" w14:textId="77777777" w:rsidR="00DF1576" w:rsidRPr="00253286" w:rsidRDefault="00DF1576">
            <w:pPr>
              <w:spacing w:line="240" w:lineRule="auto"/>
              <w:jc w:val="center"/>
              <w:rPr>
                <w:rFonts w:eastAsia="Times New Roman" w:cs="Arial"/>
                <w:b/>
                <w:sz w:val="14"/>
                <w:szCs w:val="14"/>
                <w:lang w:eastAsia="en-GB"/>
              </w:rPr>
            </w:pPr>
            <w:r w:rsidRPr="00253286">
              <w:rPr>
                <w:rFonts w:eastAsia="Times New Roman" w:cs="Arial"/>
                <w:b/>
                <w:sz w:val="14"/>
                <w:szCs w:val="14"/>
                <w:lang w:eastAsia="en-GB"/>
              </w:rPr>
              <w:t>FY2025</w:t>
            </w:r>
          </w:p>
        </w:tc>
        <w:tc>
          <w:tcPr>
            <w:tcW w:w="999" w:type="dxa"/>
            <w:vAlign w:val="bottom"/>
            <w:hideMark/>
          </w:tcPr>
          <w:p w14:paraId="35FB115E" w14:textId="77777777" w:rsidR="00DF1576" w:rsidRPr="00B909ED" w:rsidRDefault="00DF1576">
            <w:pPr>
              <w:spacing w:line="240" w:lineRule="auto"/>
              <w:jc w:val="center"/>
              <w:rPr>
                <w:rFonts w:eastAsia="Times New Roman" w:cs="Arial"/>
                <w:b/>
                <w:i/>
                <w:iCs/>
                <w:sz w:val="14"/>
                <w:szCs w:val="14"/>
                <w:lang w:eastAsia="en-GB"/>
              </w:rPr>
            </w:pPr>
            <w:r w:rsidRPr="00B909ED">
              <w:rPr>
                <w:rFonts w:eastAsia="Times New Roman" w:cs="Arial"/>
                <w:b/>
                <w:i/>
                <w:iCs/>
                <w:sz w:val="14"/>
                <w:szCs w:val="14"/>
                <w:lang w:eastAsia="en-GB"/>
              </w:rPr>
              <w:t>Change</w:t>
            </w:r>
          </w:p>
        </w:tc>
        <w:tc>
          <w:tcPr>
            <w:tcW w:w="256" w:type="dxa"/>
            <w:noWrap/>
            <w:vAlign w:val="bottom"/>
            <w:hideMark/>
          </w:tcPr>
          <w:p w14:paraId="7BD6042F" w14:textId="77777777" w:rsidR="00DF1576" w:rsidRPr="00253286" w:rsidRDefault="00DF1576">
            <w:pPr>
              <w:spacing w:line="240" w:lineRule="auto"/>
              <w:jc w:val="center"/>
              <w:rPr>
                <w:rFonts w:eastAsia="Times New Roman" w:cs="Arial"/>
                <w:b/>
                <w:bCs/>
                <w:sz w:val="14"/>
                <w:szCs w:val="14"/>
                <w:lang w:eastAsia="en-GB"/>
              </w:rPr>
            </w:pPr>
          </w:p>
        </w:tc>
        <w:tc>
          <w:tcPr>
            <w:tcW w:w="1013" w:type="dxa"/>
            <w:vAlign w:val="bottom"/>
            <w:hideMark/>
          </w:tcPr>
          <w:p w14:paraId="5C6B80C6" w14:textId="77777777" w:rsidR="00DF1576" w:rsidRPr="00253286" w:rsidRDefault="00DF1576">
            <w:pPr>
              <w:spacing w:line="240" w:lineRule="auto"/>
              <w:jc w:val="center"/>
              <w:rPr>
                <w:rFonts w:eastAsia="Times New Roman" w:cs="Arial"/>
                <w:b/>
                <w:sz w:val="14"/>
                <w:szCs w:val="14"/>
                <w:lang w:eastAsia="en-GB"/>
              </w:rPr>
            </w:pPr>
            <w:r w:rsidRPr="00253286">
              <w:rPr>
                <w:rFonts w:eastAsia="Times New Roman" w:cs="Arial"/>
                <w:b/>
                <w:sz w:val="14"/>
                <w:szCs w:val="14"/>
                <w:lang w:eastAsia="en-GB"/>
              </w:rPr>
              <w:t>FY2026</w:t>
            </w:r>
          </w:p>
        </w:tc>
        <w:tc>
          <w:tcPr>
            <w:tcW w:w="993" w:type="dxa"/>
            <w:vAlign w:val="bottom"/>
            <w:hideMark/>
          </w:tcPr>
          <w:p w14:paraId="233815F5" w14:textId="77777777" w:rsidR="00DF1576" w:rsidRPr="00253286" w:rsidRDefault="00DF1576">
            <w:pPr>
              <w:spacing w:line="240" w:lineRule="auto"/>
              <w:jc w:val="center"/>
              <w:rPr>
                <w:rFonts w:eastAsia="Times New Roman" w:cs="Arial"/>
                <w:b/>
                <w:sz w:val="14"/>
                <w:szCs w:val="14"/>
                <w:lang w:eastAsia="en-GB"/>
              </w:rPr>
            </w:pPr>
            <w:r w:rsidRPr="00253286">
              <w:rPr>
                <w:rFonts w:eastAsia="Times New Roman" w:cs="Arial"/>
                <w:b/>
                <w:sz w:val="14"/>
                <w:szCs w:val="14"/>
                <w:lang w:eastAsia="en-GB"/>
              </w:rPr>
              <w:t>FY2025</w:t>
            </w:r>
          </w:p>
        </w:tc>
      </w:tr>
      <w:tr w:rsidR="00DF1576" w:rsidRPr="001A0FEC" w14:paraId="21972DF5" w14:textId="77777777">
        <w:trPr>
          <w:trHeight w:val="138"/>
          <w:jc w:val="center"/>
        </w:trPr>
        <w:tc>
          <w:tcPr>
            <w:tcW w:w="1555" w:type="dxa"/>
            <w:vAlign w:val="bottom"/>
          </w:tcPr>
          <w:p w14:paraId="0B77DDF0" w14:textId="4EE32212" w:rsidR="00DF1576" w:rsidRPr="00BF257F" w:rsidRDefault="00AC5D9F">
            <w:pPr>
              <w:spacing w:line="240" w:lineRule="auto"/>
              <w:rPr>
                <w:rFonts w:eastAsia="Times New Roman" w:cs="Arial"/>
                <w:sz w:val="14"/>
                <w:szCs w:val="14"/>
                <w:lang w:eastAsia="en-GB"/>
              </w:rPr>
            </w:pPr>
            <w:r w:rsidRPr="00BF257F">
              <w:rPr>
                <w:rFonts w:eastAsia="Times New Roman" w:cs="Arial"/>
                <w:b/>
                <w:bCs/>
                <w:sz w:val="14"/>
                <w:szCs w:val="14"/>
                <w:lang w:eastAsia="en-GB"/>
              </w:rPr>
              <w:t>Segments </w:t>
            </w:r>
          </w:p>
        </w:tc>
        <w:tc>
          <w:tcPr>
            <w:tcW w:w="850" w:type="dxa"/>
            <w:vAlign w:val="bottom"/>
          </w:tcPr>
          <w:p w14:paraId="1089EC40" w14:textId="77777777" w:rsidR="00DF1576" w:rsidRPr="00253286" w:rsidRDefault="00DF1576">
            <w:pPr>
              <w:spacing w:line="240" w:lineRule="auto"/>
              <w:jc w:val="center"/>
              <w:rPr>
                <w:rFonts w:eastAsia="Times New Roman" w:cs="Arial"/>
                <w:sz w:val="14"/>
                <w:szCs w:val="14"/>
                <w:lang w:eastAsia="en-GB"/>
              </w:rPr>
            </w:pPr>
            <w:r w:rsidRPr="00253286">
              <w:rPr>
                <w:rFonts w:eastAsia="Times New Roman" w:cs="Arial"/>
                <w:sz w:val="14"/>
                <w:szCs w:val="14"/>
                <w:lang w:eastAsia="en-GB"/>
              </w:rPr>
              <w:t>£m</w:t>
            </w:r>
          </w:p>
        </w:tc>
        <w:tc>
          <w:tcPr>
            <w:tcW w:w="851" w:type="dxa"/>
            <w:vAlign w:val="bottom"/>
          </w:tcPr>
          <w:p w14:paraId="1638FF3C" w14:textId="77777777" w:rsidR="00DF1576" w:rsidRPr="00253286" w:rsidRDefault="00DF1576">
            <w:pPr>
              <w:spacing w:line="240" w:lineRule="auto"/>
              <w:jc w:val="center"/>
              <w:rPr>
                <w:rFonts w:eastAsia="Times New Roman" w:cs="Arial"/>
                <w:sz w:val="14"/>
                <w:szCs w:val="14"/>
                <w:lang w:eastAsia="en-GB"/>
              </w:rPr>
            </w:pPr>
            <w:r w:rsidRPr="00253286">
              <w:rPr>
                <w:rFonts w:eastAsia="Times New Roman" w:cs="Arial"/>
                <w:sz w:val="14"/>
                <w:szCs w:val="14"/>
                <w:lang w:eastAsia="en-GB"/>
              </w:rPr>
              <w:t>£m</w:t>
            </w:r>
          </w:p>
        </w:tc>
        <w:tc>
          <w:tcPr>
            <w:tcW w:w="823" w:type="dxa"/>
            <w:vAlign w:val="bottom"/>
          </w:tcPr>
          <w:p w14:paraId="23A46C2D" w14:textId="77777777" w:rsidR="00DF1576" w:rsidRPr="00B909ED" w:rsidRDefault="00DF1576">
            <w:pPr>
              <w:spacing w:line="240" w:lineRule="auto"/>
              <w:jc w:val="center"/>
              <w:rPr>
                <w:rFonts w:eastAsia="Times New Roman" w:cs="Arial"/>
                <w:i/>
                <w:iCs/>
                <w:sz w:val="14"/>
                <w:szCs w:val="14"/>
                <w:lang w:eastAsia="en-GB"/>
              </w:rPr>
            </w:pPr>
            <w:r w:rsidRPr="00B909ED">
              <w:rPr>
                <w:rFonts w:eastAsia="Times New Roman" w:cs="Arial"/>
                <w:i/>
                <w:iCs/>
                <w:sz w:val="14"/>
                <w:szCs w:val="14"/>
                <w:lang w:eastAsia="en-GB"/>
              </w:rPr>
              <w:t>%</w:t>
            </w:r>
          </w:p>
        </w:tc>
        <w:tc>
          <w:tcPr>
            <w:tcW w:w="256" w:type="dxa"/>
            <w:noWrap/>
            <w:vAlign w:val="bottom"/>
          </w:tcPr>
          <w:p w14:paraId="75D6C9D8" w14:textId="77777777" w:rsidR="00DF1576" w:rsidRPr="00253286" w:rsidRDefault="00DF1576">
            <w:pPr>
              <w:spacing w:line="240" w:lineRule="auto"/>
              <w:jc w:val="center"/>
              <w:rPr>
                <w:rFonts w:eastAsia="Times New Roman" w:cs="Arial"/>
                <w:sz w:val="14"/>
                <w:szCs w:val="14"/>
                <w:lang w:eastAsia="en-GB"/>
              </w:rPr>
            </w:pPr>
          </w:p>
        </w:tc>
        <w:tc>
          <w:tcPr>
            <w:tcW w:w="905" w:type="dxa"/>
            <w:vAlign w:val="bottom"/>
          </w:tcPr>
          <w:p w14:paraId="4C0A58F5" w14:textId="77777777" w:rsidR="00DF1576" w:rsidRPr="00253286" w:rsidRDefault="00DF1576">
            <w:pPr>
              <w:spacing w:line="240" w:lineRule="auto"/>
              <w:jc w:val="center"/>
              <w:rPr>
                <w:rFonts w:eastAsia="Times New Roman" w:cs="Arial"/>
                <w:sz w:val="14"/>
                <w:szCs w:val="14"/>
                <w:lang w:eastAsia="en-GB"/>
              </w:rPr>
            </w:pPr>
            <w:r w:rsidRPr="00253286">
              <w:rPr>
                <w:rFonts w:eastAsia="Times New Roman" w:cs="Arial"/>
                <w:sz w:val="14"/>
                <w:szCs w:val="14"/>
                <w:lang w:eastAsia="en-GB"/>
              </w:rPr>
              <w:t>£m</w:t>
            </w:r>
          </w:p>
        </w:tc>
        <w:tc>
          <w:tcPr>
            <w:tcW w:w="992" w:type="dxa"/>
            <w:vAlign w:val="bottom"/>
          </w:tcPr>
          <w:p w14:paraId="440381A6" w14:textId="77777777" w:rsidR="00DF1576" w:rsidRPr="00253286" w:rsidRDefault="00DF1576">
            <w:pPr>
              <w:spacing w:line="240" w:lineRule="auto"/>
              <w:jc w:val="center"/>
              <w:rPr>
                <w:rFonts w:eastAsia="Times New Roman" w:cs="Arial"/>
                <w:sz w:val="14"/>
                <w:szCs w:val="14"/>
                <w:lang w:eastAsia="en-GB"/>
              </w:rPr>
            </w:pPr>
            <w:r w:rsidRPr="00253286">
              <w:rPr>
                <w:rFonts w:eastAsia="Times New Roman" w:cs="Arial"/>
                <w:sz w:val="14"/>
                <w:szCs w:val="14"/>
                <w:lang w:eastAsia="en-GB"/>
              </w:rPr>
              <w:t>£m</w:t>
            </w:r>
          </w:p>
        </w:tc>
        <w:tc>
          <w:tcPr>
            <w:tcW w:w="999" w:type="dxa"/>
            <w:vAlign w:val="bottom"/>
          </w:tcPr>
          <w:p w14:paraId="5591A48E" w14:textId="77777777" w:rsidR="00DF1576" w:rsidRPr="00B909ED" w:rsidRDefault="00DF1576">
            <w:pPr>
              <w:spacing w:line="240" w:lineRule="auto"/>
              <w:jc w:val="center"/>
              <w:rPr>
                <w:rFonts w:eastAsia="Times New Roman" w:cs="Arial"/>
                <w:i/>
                <w:iCs/>
                <w:sz w:val="14"/>
                <w:szCs w:val="14"/>
                <w:lang w:eastAsia="en-GB"/>
              </w:rPr>
            </w:pPr>
            <w:r w:rsidRPr="00B909ED">
              <w:rPr>
                <w:rFonts w:eastAsia="Times New Roman" w:cs="Arial"/>
                <w:i/>
                <w:iCs/>
                <w:sz w:val="14"/>
                <w:szCs w:val="14"/>
                <w:lang w:eastAsia="en-GB"/>
              </w:rPr>
              <w:t>%</w:t>
            </w:r>
          </w:p>
        </w:tc>
        <w:tc>
          <w:tcPr>
            <w:tcW w:w="256" w:type="dxa"/>
            <w:noWrap/>
            <w:vAlign w:val="bottom"/>
          </w:tcPr>
          <w:p w14:paraId="4F62C0F7" w14:textId="77777777" w:rsidR="00DF1576" w:rsidRPr="00253286" w:rsidRDefault="00DF1576">
            <w:pPr>
              <w:spacing w:line="240" w:lineRule="auto"/>
              <w:jc w:val="center"/>
              <w:rPr>
                <w:rFonts w:eastAsia="Times New Roman" w:cs="Arial"/>
                <w:sz w:val="14"/>
                <w:szCs w:val="14"/>
                <w:lang w:eastAsia="en-GB"/>
              </w:rPr>
            </w:pPr>
          </w:p>
        </w:tc>
        <w:tc>
          <w:tcPr>
            <w:tcW w:w="1013" w:type="dxa"/>
            <w:vAlign w:val="bottom"/>
          </w:tcPr>
          <w:p w14:paraId="1A91945B" w14:textId="77777777" w:rsidR="00DF1576" w:rsidRPr="00253286" w:rsidRDefault="00DF1576">
            <w:pPr>
              <w:spacing w:line="240" w:lineRule="auto"/>
              <w:jc w:val="center"/>
              <w:rPr>
                <w:rFonts w:eastAsia="Times New Roman" w:cs="Arial"/>
                <w:sz w:val="14"/>
                <w:szCs w:val="14"/>
                <w:lang w:eastAsia="en-GB"/>
              </w:rPr>
            </w:pPr>
            <w:r w:rsidRPr="00253286">
              <w:rPr>
                <w:rFonts w:eastAsia="Times New Roman" w:cs="Arial"/>
                <w:sz w:val="14"/>
                <w:szCs w:val="14"/>
                <w:lang w:eastAsia="en-GB"/>
              </w:rPr>
              <w:t>%</w:t>
            </w:r>
          </w:p>
        </w:tc>
        <w:tc>
          <w:tcPr>
            <w:tcW w:w="993" w:type="dxa"/>
            <w:vAlign w:val="bottom"/>
          </w:tcPr>
          <w:p w14:paraId="5DF52B9E" w14:textId="77777777" w:rsidR="00DF1576" w:rsidRPr="00253286" w:rsidRDefault="00DF1576">
            <w:pPr>
              <w:spacing w:line="240" w:lineRule="auto"/>
              <w:jc w:val="center"/>
              <w:rPr>
                <w:rFonts w:eastAsia="Times New Roman" w:cs="Arial"/>
                <w:sz w:val="14"/>
                <w:szCs w:val="14"/>
                <w:lang w:eastAsia="en-GB"/>
              </w:rPr>
            </w:pPr>
            <w:r w:rsidRPr="00253286">
              <w:rPr>
                <w:rFonts w:eastAsia="Times New Roman" w:cs="Arial"/>
                <w:sz w:val="14"/>
                <w:szCs w:val="14"/>
                <w:lang w:eastAsia="en-GB"/>
              </w:rPr>
              <w:t>%</w:t>
            </w:r>
          </w:p>
        </w:tc>
      </w:tr>
      <w:tr w:rsidR="00DF1576" w:rsidRPr="001A0FEC" w14:paraId="296FB3B7" w14:textId="77777777">
        <w:trPr>
          <w:trHeight w:val="320"/>
          <w:jc w:val="center"/>
        </w:trPr>
        <w:tc>
          <w:tcPr>
            <w:tcW w:w="1555" w:type="dxa"/>
            <w:tcBorders>
              <w:top w:val="single" w:sz="4" w:space="0" w:color="auto"/>
            </w:tcBorders>
            <w:noWrap/>
            <w:vAlign w:val="bottom"/>
          </w:tcPr>
          <w:p w14:paraId="3FCAD683" w14:textId="77777777" w:rsidR="00DF1576" w:rsidRPr="00BF257F" w:rsidRDefault="00DF1576">
            <w:pPr>
              <w:spacing w:line="240" w:lineRule="auto"/>
              <w:rPr>
                <w:rFonts w:eastAsia="Times New Roman" w:cs="Arial"/>
                <w:szCs w:val="16"/>
                <w:lang w:eastAsia="en-GB"/>
              </w:rPr>
            </w:pPr>
            <w:r w:rsidRPr="00BF257F">
              <w:rPr>
                <w:rFonts w:eastAsia="Times New Roman" w:cs="Arial"/>
                <w:szCs w:val="16"/>
                <w:lang w:eastAsia="en-GB"/>
              </w:rPr>
              <w:t>DG Europe</w:t>
            </w:r>
          </w:p>
        </w:tc>
        <w:tc>
          <w:tcPr>
            <w:tcW w:w="850" w:type="dxa"/>
            <w:tcBorders>
              <w:top w:val="single" w:sz="4" w:space="0" w:color="auto"/>
            </w:tcBorders>
            <w:noWrap/>
            <w:vAlign w:val="bottom"/>
          </w:tcPr>
          <w:p w14:paraId="63943681"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102.9</w:t>
            </w:r>
          </w:p>
        </w:tc>
        <w:tc>
          <w:tcPr>
            <w:tcW w:w="851" w:type="dxa"/>
            <w:tcBorders>
              <w:top w:val="single" w:sz="4" w:space="0" w:color="auto"/>
            </w:tcBorders>
            <w:noWrap/>
            <w:vAlign w:val="bottom"/>
          </w:tcPr>
          <w:p w14:paraId="47FBE7AD"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101.1</w:t>
            </w:r>
          </w:p>
        </w:tc>
        <w:tc>
          <w:tcPr>
            <w:tcW w:w="823" w:type="dxa"/>
            <w:tcBorders>
              <w:top w:val="single" w:sz="4" w:space="0" w:color="auto"/>
            </w:tcBorders>
            <w:noWrap/>
            <w:vAlign w:val="bottom"/>
          </w:tcPr>
          <w:p w14:paraId="25F3B882" w14:textId="77777777" w:rsidR="00DF1576" w:rsidRPr="00B909ED" w:rsidRDefault="00DF1576">
            <w:pPr>
              <w:spacing w:line="240" w:lineRule="auto"/>
              <w:jc w:val="center"/>
              <w:rPr>
                <w:rFonts w:eastAsia="Times New Roman" w:cs="Arial"/>
                <w:i/>
                <w:iCs/>
                <w:szCs w:val="16"/>
                <w:lang w:eastAsia="en-GB"/>
              </w:rPr>
            </w:pPr>
            <w:r w:rsidRPr="00B909ED">
              <w:rPr>
                <w:rFonts w:eastAsia="Times New Roman" w:cs="Arial"/>
                <w:i/>
                <w:iCs/>
                <w:szCs w:val="16"/>
                <w:lang w:eastAsia="en-GB"/>
              </w:rPr>
              <w:t>2</w:t>
            </w:r>
          </w:p>
        </w:tc>
        <w:tc>
          <w:tcPr>
            <w:tcW w:w="256" w:type="dxa"/>
            <w:noWrap/>
            <w:vAlign w:val="bottom"/>
          </w:tcPr>
          <w:p w14:paraId="11FA12D8" w14:textId="77777777" w:rsidR="00DF1576" w:rsidRPr="00BF257F" w:rsidRDefault="00DF1576">
            <w:pPr>
              <w:spacing w:line="240" w:lineRule="auto"/>
              <w:jc w:val="center"/>
              <w:rPr>
                <w:rFonts w:eastAsia="Times New Roman" w:cs="Arial"/>
                <w:szCs w:val="16"/>
                <w:lang w:eastAsia="en-GB"/>
              </w:rPr>
            </w:pPr>
          </w:p>
        </w:tc>
        <w:tc>
          <w:tcPr>
            <w:tcW w:w="905" w:type="dxa"/>
            <w:tcBorders>
              <w:top w:val="single" w:sz="4" w:space="0" w:color="auto"/>
            </w:tcBorders>
            <w:noWrap/>
            <w:vAlign w:val="bottom"/>
          </w:tcPr>
          <w:p w14:paraId="41B1A41D"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11.5</w:t>
            </w:r>
          </w:p>
        </w:tc>
        <w:tc>
          <w:tcPr>
            <w:tcW w:w="992" w:type="dxa"/>
            <w:tcBorders>
              <w:top w:val="single" w:sz="4" w:space="0" w:color="auto"/>
            </w:tcBorders>
            <w:noWrap/>
            <w:vAlign w:val="bottom"/>
          </w:tcPr>
          <w:p w14:paraId="56F1B67D"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14.4</w:t>
            </w:r>
          </w:p>
        </w:tc>
        <w:tc>
          <w:tcPr>
            <w:tcW w:w="999" w:type="dxa"/>
            <w:tcBorders>
              <w:top w:val="single" w:sz="4" w:space="0" w:color="auto"/>
            </w:tcBorders>
            <w:noWrap/>
            <w:vAlign w:val="bottom"/>
          </w:tcPr>
          <w:p w14:paraId="11F2BDF8" w14:textId="77777777" w:rsidR="00DF1576" w:rsidRPr="00B909ED" w:rsidRDefault="00DF1576">
            <w:pPr>
              <w:spacing w:line="240" w:lineRule="auto"/>
              <w:jc w:val="center"/>
              <w:rPr>
                <w:rFonts w:eastAsia="Times New Roman" w:cs="Arial"/>
                <w:i/>
                <w:iCs/>
                <w:szCs w:val="16"/>
                <w:lang w:eastAsia="en-GB"/>
              </w:rPr>
            </w:pPr>
            <w:r w:rsidRPr="00B909ED">
              <w:rPr>
                <w:rFonts w:eastAsia="Times New Roman" w:cs="Arial"/>
                <w:i/>
                <w:iCs/>
                <w:szCs w:val="16"/>
                <w:lang w:eastAsia="en-GB"/>
              </w:rPr>
              <w:t>(20)</w:t>
            </w:r>
          </w:p>
        </w:tc>
        <w:tc>
          <w:tcPr>
            <w:tcW w:w="256" w:type="dxa"/>
            <w:noWrap/>
            <w:vAlign w:val="bottom"/>
          </w:tcPr>
          <w:p w14:paraId="286E7D6E" w14:textId="77777777" w:rsidR="00DF1576" w:rsidRPr="00BF257F" w:rsidRDefault="00DF1576">
            <w:pPr>
              <w:spacing w:line="240" w:lineRule="auto"/>
              <w:jc w:val="center"/>
              <w:rPr>
                <w:rFonts w:eastAsia="Times New Roman" w:cs="Arial"/>
                <w:szCs w:val="16"/>
                <w:lang w:eastAsia="en-GB"/>
              </w:rPr>
            </w:pPr>
          </w:p>
        </w:tc>
        <w:tc>
          <w:tcPr>
            <w:tcW w:w="1013" w:type="dxa"/>
            <w:tcBorders>
              <w:top w:val="single" w:sz="4" w:space="0" w:color="auto"/>
            </w:tcBorders>
            <w:noWrap/>
            <w:vAlign w:val="bottom"/>
          </w:tcPr>
          <w:p w14:paraId="31CEB07D"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11.2</w:t>
            </w:r>
          </w:p>
        </w:tc>
        <w:tc>
          <w:tcPr>
            <w:tcW w:w="993" w:type="dxa"/>
            <w:tcBorders>
              <w:top w:val="single" w:sz="4" w:space="0" w:color="auto"/>
            </w:tcBorders>
            <w:noWrap/>
            <w:vAlign w:val="bottom"/>
          </w:tcPr>
          <w:p w14:paraId="615588D8"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14.3</w:t>
            </w:r>
          </w:p>
        </w:tc>
      </w:tr>
      <w:tr w:rsidR="00DF1576" w:rsidRPr="001A0FEC" w14:paraId="640C4D9F" w14:textId="77777777">
        <w:trPr>
          <w:trHeight w:val="320"/>
          <w:jc w:val="center"/>
        </w:trPr>
        <w:tc>
          <w:tcPr>
            <w:tcW w:w="1555" w:type="dxa"/>
            <w:noWrap/>
            <w:vAlign w:val="bottom"/>
          </w:tcPr>
          <w:p w14:paraId="3D4E46E0" w14:textId="77777777" w:rsidR="00DF1576" w:rsidRPr="00BF257F" w:rsidRDefault="00DF1576">
            <w:pPr>
              <w:spacing w:line="240" w:lineRule="auto"/>
              <w:rPr>
                <w:rFonts w:eastAsia="Times New Roman" w:cs="Arial"/>
                <w:szCs w:val="16"/>
                <w:lang w:eastAsia="en-GB"/>
              </w:rPr>
            </w:pPr>
            <w:r w:rsidRPr="00BF257F">
              <w:rPr>
                <w:rFonts w:eastAsia="Times New Roman" w:cs="Arial"/>
                <w:szCs w:val="16"/>
                <w:lang w:eastAsia="en-GB"/>
              </w:rPr>
              <w:t>DG UK</w:t>
            </w:r>
          </w:p>
        </w:tc>
        <w:tc>
          <w:tcPr>
            <w:tcW w:w="850" w:type="dxa"/>
            <w:noWrap/>
            <w:vAlign w:val="bottom"/>
          </w:tcPr>
          <w:p w14:paraId="7F01DF94" w14:textId="77777777" w:rsidR="00DF1576" w:rsidRPr="00BF257F" w:rsidRDefault="00DF1576">
            <w:pPr>
              <w:spacing w:line="240" w:lineRule="auto"/>
              <w:jc w:val="center"/>
              <w:rPr>
                <w:rFonts w:eastAsia="MS Mincho" w:cs="Arial"/>
                <w:b/>
                <w:bCs/>
                <w:szCs w:val="16"/>
              </w:rPr>
            </w:pPr>
            <w:r>
              <w:rPr>
                <w:rFonts w:eastAsia="MS Mincho" w:cs="Arial"/>
                <w:b/>
                <w:bCs/>
                <w:szCs w:val="16"/>
              </w:rPr>
              <w:t>82.0</w:t>
            </w:r>
          </w:p>
        </w:tc>
        <w:tc>
          <w:tcPr>
            <w:tcW w:w="851" w:type="dxa"/>
            <w:noWrap/>
            <w:vAlign w:val="bottom"/>
          </w:tcPr>
          <w:p w14:paraId="05EB39AA" w14:textId="77777777" w:rsidR="00DF1576" w:rsidRPr="00BF257F" w:rsidRDefault="00DF1576">
            <w:pPr>
              <w:spacing w:line="240" w:lineRule="auto"/>
              <w:jc w:val="center"/>
              <w:rPr>
                <w:rFonts w:eastAsia="MS Mincho" w:cs="Arial"/>
                <w:szCs w:val="16"/>
              </w:rPr>
            </w:pPr>
            <w:r>
              <w:rPr>
                <w:rFonts w:eastAsia="MS Mincho" w:cs="Arial"/>
                <w:szCs w:val="16"/>
              </w:rPr>
              <w:t>93.3</w:t>
            </w:r>
          </w:p>
        </w:tc>
        <w:tc>
          <w:tcPr>
            <w:tcW w:w="823" w:type="dxa"/>
            <w:noWrap/>
            <w:vAlign w:val="bottom"/>
          </w:tcPr>
          <w:p w14:paraId="2C0FDCD7" w14:textId="77777777" w:rsidR="00DF1576" w:rsidRPr="00B909ED" w:rsidRDefault="00DF1576">
            <w:pPr>
              <w:spacing w:line="240" w:lineRule="auto"/>
              <w:jc w:val="center"/>
              <w:rPr>
                <w:rFonts w:eastAsia="MS Mincho" w:cs="Arial"/>
                <w:i/>
                <w:iCs/>
                <w:szCs w:val="16"/>
              </w:rPr>
            </w:pPr>
            <w:r w:rsidRPr="00B909ED">
              <w:rPr>
                <w:rFonts w:eastAsia="MS Mincho" w:cs="Arial"/>
                <w:i/>
                <w:iCs/>
                <w:szCs w:val="16"/>
              </w:rPr>
              <w:t>(12)</w:t>
            </w:r>
          </w:p>
        </w:tc>
        <w:tc>
          <w:tcPr>
            <w:tcW w:w="256" w:type="dxa"/>
            <w:noWrap/>
            <w:vAlign w:val="bottom"/>
          </w:tcPr>
          <w:p w14:paraId="7797F2C7" w14:textId="77777777" w:rsidR="00DF1576" w:rsidRPr="00BF257F" w:rsidRDefault="00DF1576">
            <w:pPr>
              <w:spacing w:line="240" w:lineRule="auto"/>
              <w:jc w:val="center"/>
              <w:rPr>
                <w:rFonts w:eastAsia="Times New Roman" w:cs="Arial"/>
                <w:szCs w:val="16"/>
                <w:lang w:eastAsia="en-GB"/>
              </w:rPr>
            </w:pPr>
          </w:p>
        </w:tc>
        <w:tc>
          <w:tcPr>
            <w:tcW w:w="905" w:type="dxa"/>
            <w:noWrap/>
            <w:vAlign w:val="bottom"/>
          </w:tcPr>
          <w:p w14:paraId="1B49B1DC" w14:textId="77777777" w:rsidR="00DF1576" w:rsidRPr="00BF257F" w:rsidRDefault="00DF1576">
            <w:pPr>
              <w:spacing w:line="240" w:lineRule="auto"/>
              <w:jc w:val="center"/>
              <w:rPr>
                <w:rFonts w:eastAsia="MS Mincho" w:cs="Arial"/>
                <w:b/>
                <w:bCs/>
                <w:szCs w:val="16"/>
              </w:rPr>
            </w:pPr>
            <w:r>
              <w:rPr>
                <w:rFonts w:eastAsia="MS Mincho" w:cs="Arial"/>
                <w:b/>
                <w:bCs/>
                <w:szCs w:val="16"/>
              </w:rPr>
              <w:t>3.1</w:t>
            </w:r>
          </w:p>
        </w:tc>
        <w:tc>
          <w:tcPr>
            <w:tcW w:w="992" w:type="dxa"/>
            <w:noWrap/>
            <w:vAlign w:val="bottom"/>
          </w:tcPr>
          <w:p w14:paraId="7538F83F"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5.6</w:t>
            </w:r>
          </w:p>
        </w:tc>
        <w:tc>
          <w:tcPr>
            <w:tcW w:w="999" w:type="dxa"/>
            <w:noWrap/>
            <w:vAlign w:val="bottom"/>
          </w:tcPr>
          <w:p w14:paraId="259872FD" w14:textId="77777777" w:rsidR="00DF1576" w:rsidRPr="00B909ED" w:rsidRDefault="00DF1576">
            <w:pPr>
              <w:spacing w:line="240" w:lineRule="auto"/>
              <w:jc w:val="center"/>
              <w:rPr>
                <w:rFonts w:eastAsia="Times New Roman" w:cs="Arial"/>
                <w:i/>
                <w:iCs/>
                <w:szCs w:val="16"/>
                <w:lang w:eastAsia="en-GB"/>
              </w:rPr>
            </w:pPr>
            <w:r w:rsidRPr="00B909ED">
              <w:rPr>
                <w:rFonts w:eastAsia="Times New Roman" w:cs="Arial"/>
                <w:i/>
                <w:iCs/>
                <w:szCs w:val="16"/>
                <w:lang w:eastAsia="en-GB"/>
              </w:rPr>
              <w:t>(44)</w:t>
            </w:r>
          </w:p>
        </w:tc>
        <w:tc>
          <w:tcPr>
            <w:tcW w:w="256" w:type="dxa"/>
            <w:noWrap/>
            <w:vAlign w:val="bottom"/>
          </w:tcPr>
          <w:p w14:paraId="64800F2D" w14:textId="77777777" w:rsidR="00DF1576" w:rsidRPr="00BF257F" w:rsidRDefault="00DF1576">
            <w:pPr>
              <w:spacing w:line="240" w:lineRule="auto"/>
              <w:jc w:val="center"/>
              <w:rPr>
                <w:rFonts w:eastAsia="Times New Roman" w:cs="Arial"/>
                <w:szCs w:val="16"/>
                <w:lang w:eastAsia="en-GB"/>
              </w:rPr>
            </w:pPr>
          </w:p>
        </w:tc>
        <w:tc>
          <w:tcPr>
            <w:tcW w:w="1013" w:type="dxa"/>
            <w:noWrap/>
            <w:vAlign w:val="bottom"/>
          </w:tcPr>
          <w:p w14:paraId="1FD32530" w14:textId="77777777" w:rsidR="00DF1576" w:rsidRPr="00BF257F" w:rsidRDefault="00DF1576">
            <w:pPr>
              <w:spacing w:line="240" w:lineRule="auto"/>
              <w:jc w:val="center"/>
              <w:rPr>
                <w:rFonts w:eastAsia="MS Mincho" w:cs="Arial"/>
                <w:b/>
                <w:bCs/>
                <w:szCs w:val="16"/>
              </w:rPr>
            </w:pPr>
            <w:r>
              <w:rPr>
                <w:rFonts w:eastAsia="MS Mincho" w:cs="Arial"/>
                <w:b/>
                <w:bCs/>
                <w:szCs w:val="16"/>
              </w:rPr>
              <w:t>3.8</w:t>
            </w:r>
          </w:p>
        </w:tc>
        <w:tc>
          <w:tcPr>
            <w:tcW w:w="993" w:type="dxa"/>
            <w:noWrap/>
            <w:vAlign w:val="bottom"/>
          </w:tcPr>
          <w:p w14:paraId="0246753D"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5.9</w:t>
            </w:r>
          </w:p>
        </w:tc>
      </w:tr>
      <w:tr w:rsidR="00DF1576" w:rsidRPr="001A0FEC" w14:paraId="6C424062" w14:textId="77777777">
        <w:trPr>
          <w:trHeight w:val="320"/>
          <w:jc w:val="center"/>
        </w:trPr>
        <w:tc>
          <w:tcPr>
            <w:tcW w:w="1555" w:type="dxa"/>
            <w:noWrap/>
            <w:vAlign w:val="bottom"/>
            <w:hideMark/>
          </w:tcPr>
          <w:p w14:paraId="470AA9E6" w14:textId="77777777" w:rsidR="00DF1576" w:rsidRPr="00BF257F" w:rsidRDefault="00DF1576">
            <w:pPr>
              <w:spacing w:line="240" w:lineRule="auto"/>
              <w:rPr>
                <w:rFonts w:eastAsia="Times New Roman" w:cs="Arial"/>
                <w:szCs w:val="16"/>
                <w:lang w:eastAsia="en-GB"/>
              </w:rPr>
            </w:pPr>
            <w:r w:rsidRPr="00BF257F">
              <w:rPr>
                <w:rFonts w:eastAsia="Times New Roman" w:cs="Arial"/>
                <w:szCs w:val="16"/>
                <w:lang w:eastAsia="en-GB"/>
              </w:rPr>
              <w:t>DG Australia</w:t>
            </w:r>
          </w:p>
        </w:tc>
        <w:tc>
          <w:tcPr>
            <w:tcW w:w="850" w:type="dxa"/>
            <w:noWrap/>
            <w:vAlign w:val="bottom"/>
          </w:tcPr>
          <w:p w14:paraId="7F24C4ED"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33.5</w:t>
            </w:r>
          </w:p>
        </w:tc>
        <w:tc>
          <w:tcPr>
            <w:tcW w:w="851" w:type="dxa"/>
            <w:noWrap/>
            <w:vAlign w:val="bottom"/>
          </w:tcPr>
          <w:p w14:paraId="40A3B946"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31.6</w:t>
            </w:r>
          </w:p>
        </w:tc>
        <w:tc>
          <w:tcPr>
            <w:tcW w:w="823" w:type="dxa"/>
            <w:noWrap/>
            <w:vAlign w:val="bottom"/>
          </w:tcPr>
          <w:p w14:paraId="640791F6" w14:textId="77777777" w:rsidR="00DF1576" w:rsidRPr="00B909ED" w:rsidRDefault="00DF1576">
            <w:pPr>
              <w:spacing w:line="240" w:lineRule="auto"/>
              <w:jc w:val="center"/>
              <w:rPr>
                <w:rFonts w:eastAsia="Times New Roman" w:cs="Arial"/>
                <w:i/>
                <w:iCs/>
                <w:szCs w:val="16"/>
                <w:lang w:eastAsia="en-GB"/>
              </w:rPr>
            </w:pPr>
            <w:r w:rsidRPr="00B909ED">
              <w:rPr>
                <w:rFonts w:eastAsia="Times New Roman" w:cs="Arial"/>
                <w:i/>
                <w:iCs/>
                <w:szCs w:val="16"/>
                <w:lang w:eastAsia="en-GB"/>
              </w:rPr>
              <w:t>6</w:t>
            </w:r>
          </w:p>
        </w:tc>
        <w:tc>
          <w:tcPr>
            <w:tcW w:w="256" w:type="dxa"/>
            <w:noWrap/>
            <w:vAlign w:val="bottom"/>
          </w:tcPr>
          <w:p w14:paraId="11777AEA" w14:textId="77777777" w:rsidR="00DF1576" w:rsidRPr="00BF257F" w:rsidRDefault="00DF1576">
            <w:pPr>
              <w:spacing w:line="240" w:lineRule="auto"/>
              <w:jc w:val="center"/>
              <w:rPr>
                <w:rFonts w:eastAsia="Times New Roman" w:cs="Arial"/>
                <w:szCs w:val="16"/>
                <w:lang w:eastAsia="en-GB"/>
              </w:rPr>
            </w:pPr>
          </w:p>
        </w:tc>
        <w:tc>
          <w:tcPr>
            <w:tcW w:w="905" w:type="dxa"/>
            <w:noWrap/>
            <w:vAlign w:val="bottom"/>
          </w:tcPr>
          <w:p w14:paraId="2FB30FBE"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1.8</w:t>
            </w:r>
          </w:p>
        </w:tc>
        <w:tc>
          <w:tcPr>
            <w:tcW w:w="992" w:type="dxa"/>
            <w:noWrap/>
            <w:vAlign w:val="bottom"/>
          </w:tcPr>
          <w:p w14:paraId="036FB05D"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1.6</w:t>
            </w:r>
          </w:p>
        </w:tc>
        <w:tc>
          <w:tcPr>
            <w:tcW w:w="999" w:type="dxa"/>
            <w:noWrap/>
            <w:vAlign w:val="bottom"/>
          </w:tcPr>
          <w:p w14:paraId="6ECD8612" w14:textId="77777777" w:rsidR="00DF1576" w:rsidRPr="00B909ED" w:rsidRDefault="00DF1576">
            <w:pPr>
              <w:spacing w:line="240" w:lineRule="auto"/>
              <w:jc w:val="center"/>
              <w:rPr>
                <w:rFonts w:eastAsia="Times New Roman" w:cs="Arial"/>
                <w:i/>
                <w:iCs/>
                <w:szCs w:val="16"/>
                <w:lang w:eastAsia="en-GB"/>
              </w:rPr>
            </w:pPr>
            <w:r w:rsidRPr="00B909ED">
              <w:rPr>
                <w:rFonts w:eastAsia="Times New Roman" w:cs="Arial"/>
                <w:i/>
                <w:iCs/>
                <w:szCs w:val="16"/>
                <w:lang w:eastAsia="en-GB"/>
              </w:rPr>
              <w:t>8</w:t>
            </w:r>
          </w:p>
        </w:tc>
        <w:tc>
          <w:tcPr>
            <w:tcW w:w="256" w:type="dxa"/>
            <w:noWrap/>
            <w:vAlign w:val="bottom"/>
          </w:tcPr>
          <w:p w14:paraId="5D9D59C6" w14:textId="77777777" w:rsidR="00DF1576" w:rsidRPr="00BF257F" w:rsidRDefault="00DF1576">
            <w:pPr>
              <w:spacing w:line="240" w:lineRule="auto"/>
              <w:jc w:val="center"/>
              <w:rPr>
                <w:rFonts w:eastAsia="Times New Roman" w:cs="Arial"/>
                <w:szCs w:val="16"/>
                <w:lang w:eastAsia="en-GB"/>
              </w:rPr>
            </w:pPr>
          </w:p>
        </w:tc>
        <w:tc>
          <w:tcPr>
            <w:tcW w:w="1013" w:type="dxa"/>
            <w:noWrap/>
            <w:vAlign w:val="bottom"/>
          </w:tcPr>
          <w:p w14:paraId="7889D6DF"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5.2</w:t>
            </w:r>
          </w:p>
        </w:tc>
        <w:tc>
          <w:tcPr>
            <w:tcW w:w="993" w:type="dxa"/>
            <w:noWrap/>
            <w:vAlign w:val="bottom"/>
          </w:tcPr>
          <w:p w14:paraId="5B050FF6" w14:textId="77777777"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5.2</w:t>
            </w:r>
          </w:p>
        </w:tc>
      </w:tr>
      <w:tr w:rsidR="00DF1576" w:rsidRPr="001A0FEC" w14:paraId="491FB5A3" w14:textId="77777777">
        <w:trPr>
          <w:trHeight w:val="320"/>
          <w:jc w:val="center"/>
        </w:trPr>
        <w:tc>
          <w:tcPr>
            <w:tcW w:w="1555" w:type="dxa"/>
            <w:noWrap/>
            <w:vAlign w:val="bottom"/>
            <w:hideMark/>
          </w:tcPr>
          <w:p w14:paraId="44ACDEA5" w14:textId="77777777" w:rsidR="00DF1576" w:rsidRPr="00BF257F" w:rsidRDefault="00DF1576">
            <w:pPr>
              <w:spacing w:line="240" w:lineRule="auto"/>
              <w:rPr>
                <w:rFonts w:eastAsia="Times New Roman" w:cs="Arial"/>
                <w:szCs w:val="16"/>
                <w:lang w:eastAsia="en-GB"/>
              </w:rPr>
            </w:pPr>
          </w:p>
          <w:p w14:paraId="36E64146" w14:textId="77777777" w:rsidR="00DF1576" w:rsidRPr="00BF257F" w:rsidRDefault="00DF1576">
            <w:pPr>
              <w:spacing w:line="240" w:lineRule="auto"/>
              <w:rPr>
                <w:rFonts w:eastAsia="Times New Roman" w:cs="Arial"/>
                <w:szCs w:val="16"/>
                <w:lang w:eastAsia="en-GB"/>
              </w:rPr>
            </w:pPr>
            <w:r w:rsidRPr="00BF257F">
              <w:rPr>
                <w:rFonts w:eastAsia="Times New Roman" w:cs="Arial"/>
                <w:szCs w:val="16"/>
                <w:lang w:eastAsia="en-GB"/>
              </w:rPr>
              <w:t>Central costs &amp; eliminations</w:t>
            </w:r>
          </w:p>
        </w:tc>
        <w:tc>
          <w:tcPr>
            <w:tcW w:w="850" w:type="dxa"/>
            <w:noWrap/>
            <w:vAlign w:val="bottom"/>
          </w:tcPr>
          <w:p w14:paraId="3A62F265"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(0.5)</w:t>
            </w:r>
          </w:p>
        </w:tc>
        <w:tc>
          <w:tcPr>
            <w:tcW w:w="851" w:type="dxa"/>
            <w:noWrap/>
            <w:vAlign w:val="bottom"/>
          </w:tcPr>
          <w:p w14:paraId="00F9EFFA" w14:textId="3EC843E2"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(0.</w:t>
            </w:r>
            <w:r w:rsidR="00AD0694">
              <w:rPr>
                <w:rFonts w:eastAsia="Times New Roman" w:cs="Arial"/>
                <w:szCs w:val="16"/>
                <w:lang w:eastAsia="en-GB"/>
              </w:rPr>
              <w:t>6</w:t>
            </w:r>
            <w:r>
              <w:rPr>
                <w:rFonts w:eastAsia="Times New Roman" w:cs="Arial"/>
                <w:szCs w:val="16"/>
                <w:lang w:eastAsia="en-GB"/>
              </w:rPr>
              <w:t>)</w:t>
            </w:r>
          </w:p>
        </w:tc>
        <w:tc>
          <w:tcPr>
            <w:tcW w:w="823" w:type="dxa"/>
            <w:noWrap/>
            <w:vAlign w:val="bottom"/>
          </w:tcPr>
          <w:p w14:paraId="0F77F0C9" w14:textId="34F07865" w:rsidR="00DF1576" w:rsidRPr="00B909ED" w:rsidRDefault="00DF1576" w:rsidP="002F6F1F">
            <w:pPr>
              <w:spacing w:line="240" w:lineRule="auto"/>
              <w:jc w:val="center"/>
              <w:rPr>
                <w:rFonts w:eastAsia="Times New Roman" w:cs="Arial"/>
                <w:i/>
                <w:iCs/>
                <w:szCs w:val="16"/>
                <w:lang w:eastAsia="en-GB"/>
              </w:rPr>
            </w:pPr>
          </w:p>
        </w:tc>
        <w:tc>
          <w:tcPr>
            <w:tcW w:w="256" w:type="dxa"/>
            <w:noWrap/>
            <w:vAlign w:val="bottom"/>
          </w:tcPr>
          <w:p w14:paraId="075D13E2" w14:textId="77777777" w:rsidR="00DF1576" w:rsidRPr="00BF257F" w:rsidRDefault="00DF1576">
            <w:pPr>
              <w:spacing w:line="240" w:lineRule="auto"/>
              <w:jc w:val="center"/>
              <w:rPr>
                <w:rFonts w:eastAsia="Times New Roman" w:cs="Arial"/>
                <w:szCs w:val="16"/>
                <w:lang w:eastAsia="en-GB"/>
              </w:rPr>
            </w:pPr>
          </w:p>
        </w:tc>
        <w:tc>
          <w:tcPr>
            <w:tcW w:w="905" w:type="dxa"/>
            <w:noWrap/>
            <w:vAlign w:val="bottom"/>
          </w:tcPr>
          <w:p w14:paraId="18D0814F"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(6.8)</w:t>
            </w:r>
          </w:p>
        </w:tc>
        <w:tc>
          <w:tcPr>
            <w:tcW w:w="992" w:type="dxa"/>
            <w:noWrap/>
            <w:vAlign w:val="bottom"/>
          </w:tcPr>
          <w:p w14:paraId="11FD7860" w14:textId="1E558011"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(5.</w:t>
            </w:r>
            <w:r w:rsidR="00E50BAE">
              <w:rPr>
                <w:rFonts w:eastAsia="Times New Roman" w:cs="Arial"/>
                <w:szCs w:val="16"/>
                <w:lang w:eastAsia="en-GB"/>
              </w:rPr>
              <w:t>6</w:t>
            </w:r>
            <w:r>
              <w:rPr>
                <w:rFonts w:eastAsia="Times New Roman" w:cs="Arial"/>
                <w:szCs w:val="16"/>
                <w:lang w:eastAsia="en-GB"/>
              </w:rPr>
              <w:t>)</w:t>
            </w:r>
          </w:p>
        </w:tc>
        <w:tc>
          <w:tcPr>
            <w:tcW w:w="999" w:type="dxa"/>
            <w:noWrap/>
            <w:vAlign w:val="bottom"/>
          </w:tcPr>
          <w:p w14:paraId="43FFAD57" w14:textId="511EC293" w:rsidR="00DF1576" w:rsidRPr="00B909ED" w:rsidRDefault="00DF1576">
            <w:pPr>
              <w:spacing w:line="240" w:lineRule="auto"/>
              <w:jc w:val="center"/>
              <w:rPr>
                <w:rFonts w:eastAsia="Times New Roman" w:cs="Arial"/>
                <w:i/>
                <w:iCs/>
                <w:szCs w:val="16"/>
                <w:lang w:eastAsia="en-GB"/>
              </w:rPr>
            </w:pPr>
          </w:p>
        </w:tc>
        <w:tc>
          <w:tcPr>
            <w:tcW w:w="256" w:type="dxa"/>
            <w:noWrap/>
            <w:vAlign w:val="bottom"/>
          </w:tcPr>
          <w:p w14:paraId="42A9B61D" w14:textId="77777777" w:rsidR="00DF1576" w:rsidRPr="00BF257F" w:rsidRDefault="00DF1576">
            <w:pPr>
              <w:spacing w:line="240" w:lineRule="auto"/>
              <w:jc w:val="center"/>
              <w:rPr>
                <w:rFonts w:eastAsia="Times New Roman" w:cs="Arial"/>
                <w:szCs w:val="16"/>
                <w:lang w:eastAsia="en-GB"/>
              </w:rPr>
            </w:pPr>
          </w:p>
        </w:tc>
        <w:tc>
          <w:tcPr>
            <w:tcW w:w="1013" w:type="dxa"/>
            <w:noWrap/>
            <w:vAlign w:val="bottom"/>
          </w:tcPr>
          <w:p w14:paraId="03BC4E0E" w14:textId="61C5218E" w:rsidR="00DF1576" w:rsidRPr="00BF257F" w:rsidRDefault="00DF1576">
            <w:pPr>
              <w:spacing w:line="240" w:lineRule="auto"/>
              <w:rPr>
                <w:rFonts w:eastAsia="Times New Roman" w:cs="Arial"/>
                <w:szCs w:val="16"/>
                <w:lang w:eastAsia="en-GB"/>
              </w:rPr>
            </w:pPr>
          </w:p>
        </w:tc>
        <w:tc>
          <w:tcPr>
            <w:tcW w:w="993" w:type="dxa"/>
            <w:noWrap/>
            <w:vAlign w:val="bottom"/>
          </w:tcPr>
          <w:p w14:paraId="6A0B288E" w14:textId="241B564C" w:rsidR="00DF1576" w:rsidRPr="00BF257F" w:rsidRDefault="00DF1576">
            <w:pPr>
              <w:spacing w:line="240" w:lineRule="auto"/>
              <w:jc w:val="center"/>
              <w:rPr>
                <w:rFonts w:eastAsia="Times New Roman" w:cs="Arial"/>
                <w:szCs w:val="16"/>
                <w:lang w:eastAsia="en-GB"/>
              </w:rPr>
            </w:pPr>
          </w:p>
        </w:tc>
      </w:tr>
      <w:tr w:rsidR="00DF1576" w:rsidRPr="001A0FEC" w14:paraId="7FCCD175" w14:textId="77777777">
        <w:trPr>
          <w:trHeight w:val="336"/>
          <w:jc w:val="center"/>
        </w:trPr>
        <w:tc>
          <w:tcPr>
            <w:tcW w:w="1555" w:type="dxa"/>
            <w:tcBorders>
              <w:top w:val="single" w:sz="4" w:space="0" w:color="auto"/>
              <w:bottom w:val="single" w:sz="4" w:space="0" w:color="auto"/>
            </w:tcBorders>
            <w:noWrap/>
            <w:vAlign w:val="bottom"/>
            <w:hideMark/>
          </w:tcPr>
          <w:p w14:paraId="60881730" w14:textId="77777777" w:rsidR="00DF1576" w:rsidRPr="00BF257F" w:rsidRDefault="00DF1576">
            <w:pPr>
              <w:spacing w:line="240" w:lineRule="auto"/>
              <w:rPr>
                <w:rFonts w:eastAsia="Times New Roman" w:cs="Arial"/>
                <w:b/>
                <w:szCs w:val="16"/>
                <w:lang w:eastAsia="en-GB"/>
              </w:rPr>
            </w:pPr>
            <w:r w:rsidRPr="00BF257F">
              <w:rPr>
                <w:rFonts w:eastAsia="Times New Roman" w:cs="Arial"/>
                <w:b/>
                <w:szCs w:val="16"/>
                <w:lang w:eastAsia="en-GB"/>
              </w:rPr>
              <w:lastRenderedPageBreak/>
              <w:t>Total</w:t>
            </w:r>
          </w:p>
        </w:tc>
        <w:tc>
          <w:tcPr>
            <w:tcW w:w="850" w:type="dxa"/>
            <w:tcBorders>
              <w:top w:val="single" w:sz="4" w:space="0" w:color="auto"/>
              <w:bottom w:val="single" w:sz="4" w:space="0" w:color="auto"/>
            </w:tcBorders>
            <w:noWrap/>
            <w:vAlign w:val="bottom"/>
          </w:tcPr>
          <w:p w14:paraId="5FEE78A2" w14:textId="77777777" w:rsidR="00DF1576" w:rsidRPr="00BF257F" w:rsidRDefault="00DF1576">
            <w:pPr>
              <w:spacing w:line="240" w:lineRule="auto"/>
              <w:jc w:val="center"/>
              <w:rPr>
                <w:rFonts w:eastAsia="Times New Roman" w:cs="Arial"/>
                <w:b/>
                <w:szCs w:val="16"/>
                <w:lang w:eastAsia="en-GB"/>
              </w:rPr>
            </w:pPr>
            <w:r>
              <w:rPr>
                <w:rFonts w:eastAsia="Times New Roman" w:cs="Arial"/>
                <w:b/>
                <w:szCs w:val="16"/>
                <w:lang w:eastAsia="en-GB"/>
              </w:rPr>
              <w:t>217.9</w:t>
            </w:r>
          </w:p>
        </w:tc>
        <w:tc>
          <w:tcPr>
            <w:tcW w:w="851" w:type="dxa"/>
            <w:tcBorders>
              <w:top w:val="single" w:sz="4" w:space="0" w:color="auto"/>
              <w:bottom w:val="single" w:sz="4" w:space="0" w:color="auto"/>
            </w:tcBorders>
            <w:noWrap/>
            <w:vAlign w:val="bottom"/>
          </w:tcPr>
          <w:p w14:paraId="5A96C3C7" w14:textId="47CA73BB" w:rsidR="00DF1576" w:rsidRPr="00BF257F" w:rsidRDefault="00DF1576">
            <w:pPr>
              <w:spacing w:line="240" w:lineRule="auto"/>
              <w:jc w:val="center"/>
              <w:rPr>
                <w:rFonts w:eastAsia="Times New Roman" w:cs="Arial"/>
                <w:szCs w:val="16"/>
                <w:lang w:eastAsia="en-GB"/>
              </w:rPr>
            </w:pPr>
            <w:r>
              <w:rPr>
                <w:rFonts w:eastAsia="Times New Roman" w:cs="Arial"/>
                <w:szCs w:val="16"/>
                <w:lang w:eastAsia="en-GB"/>
              </w:rPr>
              <w:t>225.</w:t>
            </w:r>
            <w:r w:rsidR="0034573F">
              <w:rPr>
                <w:rFonts w:eastAsia="Times New Roman" w:cs="Arial"/>
                <w:szCs w:val="16"/>
                <w:lang w:eastAsia="en-GB"/>
              </w:rPr>
              <w:t>4</w:t>
            </w:r>
          </w:p>
        </w:tc>
        <w:tc>
          <w:tcPr>
            <w:tcW w:w="823" w:type="dxa"/>
            <w:tcBorders>
              <w:top w:val="single" w:sz="4" w:space="0" w:color="auto"/>
              <w:bottom w:val="single" w:sz="4" w:space="0" w:color="auto"/>
            </w:tcBorders>
            <w:noWrap/>
            <w:vAlign w:val="bottom"/>
          </w:tcPr>
          <w:p w14:paraId="64E19CD5" w14:textId="77777777" w:rsidR="00DF1576" w:rsidRPr="00B909ED" w:rsidRDefault="00DF1576">
            <w:pPr>
              <w:spacing w:line="240" w:lineRule="auto"/>
              <w:jc w:val="center"/>
              <w:rPr>
                <w:rFonts w:eastAsia="Times New Roman" w:cs="Arial"/>
                <w:b/>
                <w:i/>
                <w:iCs/>
                <w:szCs w:val="16"/>
                <w:lang w:eastAsia="en-GB"/>
              </w:rPr>
            </w:pPr>
            <w:r w:rsidRPr="00B909ED">
              <w:rPr>
                <w:rFonts w:eastAsia="Times New Roman" w:cs="Arial"/>
                <w:b/>
                <w:i/>
                <w:iCs/>
                <w:szCs w:val="16"/>
                <w:lang w:eastAsia="en-GB"/>
              </w:rPr>
              <w:t>(3)</w:t>
            </w:r>
          </w:p>
        </w:tc>
        <w:tc>
          <w:tcPr>
            <w:tcW w:w="256" w:type="dxa"/>
            <w:noWrap/>
            <w:vAlign w:val="bottom"/>
          </w:tcPr>
          <w:p w14:paraId="3E4A74AA" w14:textId="77777777" w:rsidR="00DF1576" w:rsidRPr="00BF257F" w:rsidRDefault="00DF1576">
            <w:pPr>
              <w:spacing w:line="240" w:lineRule="auto"/>
              <w:jc w:val="center"/>
              <w:rPr>
                <w:rFonts w:eastAsia="Times New Roman" w:cs="Arial"/>
                <w:b/>
                <w:bCs/>
                <w:szCs w:val="16"/>
                <w:lang w:eastAsia="en-GB"/>
              </w:rPr>
            </w:pPr>
          </w:p>
        </w:tc>
        <w:tc>
          <w:tcPr>
            <w:tcW w:w="905" w:type="dxa"/>
            <w:tcBorders>
              <w:top w:val="single" w:sz="4" w:space="0" w:color="auto"/>
              <w:bottom w:val="single" w:sz="4" w:space="0" w:color="auto"/>
            </w:tcBorders>
            <w:noWrap/>
            <w:vAlign w:val="bottom"/>
          </w:tcPr>
          <w:p w14:paraId="496A7D11"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9.6</w:t>
            </w:r>
          </w:p>
        </w:tc>
        <w:tc>
          <w:tcPr>
            <w:tcW w:w="992" w:type="dxa"/>
            <w:tcBorders>
              <w:top w:val="single" w:sz="4" w:space="0" w:color="auto"/>
              <w:bottom w:val="single" w:sz="4" w:space="0" w:color="auto"/>
            </w:tcBorders>
            <w:noWrap/>
            <w:vAlign w:val="bottom"/>
          </w:tcPr>
          <w:p w14:paraId="154CD0D1" w14:textId="7977B593" w:rsidR="00DF1576" w:rsidRPr="00BF257F" w:rsidRDefault="00E50BAE">
            <w:pPr>
              <w:spacing w:line="240" w:lineRule="auto"/>
              <w:jc w:val="center"/>
              <w:rPr>
                <w:rFonts w:eastAsia="Times New Roman" w:cs="Arial"/>
                <w:b/>
                <w:szCs w:val="16"/>
                <w:lang w:eastAsia="en-GB"/>
              </w:rPr>
            </w:pPr>
            <w:r>
              <w:rPr>
                <w:rFonts w:eastAsia="Times New Roman" w:cs="Arial"/>
                <w:b/>
                <w:szCs w:val="16"/>
                <w:lang w:eastAsia="en-GB"/>
              </w:rPr>
              <w:t>16.0</w:t>
            </w:r>
          </w:p>
        </w:tc>
        <w:tc>
          <w:tcPr>
            <w:tcW w:w="999" w:type="dxa"/>
            <w:tcBorders>
              <w:top w:val="single" w:sz="4" w:space="0" w:color="auto"/>
              <w:bottom w:val="single" w:sz="4" w:space="0" w:color="auto"/>
            </w:tcBorders>
            <w:noWrap/>
            <w:vAlign w:val="bottom"/>
          </w:tcPr>
          <w:p w14:paraId="3EF39B06" w14:textId="77777777" w:rsidR="00DF1576" w:rsidRPr="00B909ED" w:rsidRDefault="00DF1576">
            <w:pPr>
              <w:spacing w:line="240" w:lineRule="auto"/>
              <w:jc w:val="center"/>
              <w:rPr>
                <w:rFonts w:eastAsia="Times New Roman" w:cs="Arial"/>
                <w:b/>
                <w:i/>
                <w:iCs/>
                <w:szCs w:val="16"/>
                <w:lang w:eastAsia="en-GB"/>
              </w:rPr>
            </w:pPr>
            <w:r w:rsidRPr="00B909ED">
              <w:rPr>
                <w:rFonts w:eastAsia="Times New Roman" w:cs="Arial"/>
                <w:b/>
                <w:i/>
                <w:iCs/>
                <w:szCs w:val="16"/>
                <w:lang w:eastAsia="en-GB"/>
              </w:rPr>
              <w:t>(40)</w:t>
            </w:r>
          </w:p>
        </w:tc>
        <w:tc>
          <w:tcPr>
            <w:tcW w:w="256" w:type="dxa"/>
            <w:noWrap/>
            <w:vAlign w:val="bottom"/>
          </w:tcPr>
          <w:p w14:paraId="228EF864" w14:textId="77777777" w:rsidR="00DF1576" w:rsidRPr="00BF257F" w:rsidRDefault="00DF1576">
            <w:pPr>
              <w:spacing w:line="240" w:lineRule="auto"/>
              <w:jc w:val="center"/>
              <w:rPr>
                <w:rFonts w:eastAsia="Times New Roman" w:cs="Arial"/>
                <w:b/>
                <w:bCs/>
                <w:szCs w:val="16"/>
                <w:lang w:eastAsia="en-GB"/>
              </w:rPr>
            </w:pPr>
          </w:p>
        </w:tc>
        <w:tc>
          <w:tcPr>
            <w:tcW w:w="1013" w:type="dxa"/>
            <w:tcBorders>
              <w:top w:val="single" w:sz="4" w:space="0" w:color="auto"/>
              <w:bottom w:val="single" w:sz="4" w:space="0" w:color="auto"/>
            </w:tcBorders>
            <w:noWrap/>
            <w:vAlign w:val="bottom"/>
          </w:tcPr>
          <w:p w14:paraId="61DBEB8B" w14:textId="77777777" w:rsidR="00DF1576" w:rsidRPr="00BF257F" w:rsidRDefault="00DF1576">
            <w:pPr>
              <w:spacing w:line="240" w:lineRule="auto"/>
              <w:jc w:val="center"/>
              <w:rPr>
                <w:rFonts w:eastAsia="Times New Roman" w:cs="Arial"/>
                <w:b/>
                <w:bCs/>
                <w:szCs w:val="16"/>
                <w:lang w:eastAsia="en-GB"/>
              </w:rPr>
            </w:pPr>
            <w:r>
              <w:rPr>
                <w:rFonts w:eastAsia="Times New Roman" w:cs="Arial"/>
                <w:b/>
                <w:bCs/>
                <w:szCs w:val="16"/>
                <w:lang w:eastAsia="en-GB"/>
              </w:rPr>
              <w:t>4.4</w:t>
            </w:r>
          </w:p>
        </w:tc>
        <w:tc>
          <w:tcPr>
            <w:tcW w:w="993" w:type="dxa"/>
            <w:tcBorders>
              <w:top w:val="single" w:sz="4" w:space="0" w:color="auto"/>
              <w:bottom w:val="single" w:sz="4" w:space="0" w:color="auto"/>
            </w:tcBorders>
            <w:noWrap/>
            <w:vAlign w:val="bottom"/>
          </w:tcPr>
          <w:p w14:paraId="4CE81DD2" w14:textId="77777777" w:rsidR="00DF1576" w:rsidRPr="00BF257F" w:rsidRDefault="00DF1576">
            <w:pPr>
              <w:spacing w:line="240" w:lineRule="auto"/>
              <w:jc w:val="center"/>
              <w:rPr>
                <w:rFonts w:eastAsia="Times New Roman" w:cs="Arial"/>
                <w:b/>
                <w:szCs w:val="16"/>
                <w:lang w:eastAsia="en-GB"/>
              </w:rPr>
            </w:pPr>
            <w:r>
              <w:rPr>
                <w:rFonts w:eastAsia="Times New Roman" w:cs="Arial"/>
                <w:b/>
                <w:szCs w:val="16"/>
                <w:lang w:eastAsia="en-GB"/>
              </w:rPr>
              <w:t>7.1</w:t>
            </w:r>
          </w:p>
        </w:tc>
      </w:tr>
      <w:bookmarkEnd w:id="5"/>
      <w:bookmarkEnd w:id="6"/>
    </w:tbl>
    <w:p w14:paraId="6F8C8357" w14:textId="77777777" w:rsidR="008858D5" w:rsidRDefault="008858D5"/>
    <w:p w14:paraId="31578EA1" w14:textId="77777777" w:rsidR="008D4724" w:rsidRPr="00327FAA" w:rsidRDefault="008D4724" w:rsidP="00327FAA">
      <w:pPr>
        <w:pStyle w:val="Heading3"/>
        <w:rPr>
          <w:b w:val="0"/>
          <w:szCs w:val="16"/>
        </w:rPr>
      </w:pPr>
      <w:r w:rsidRPr="00327FAA">
        <w:rPr>
          <w:sz w:val="16"/>
          <w:szCs w:val="16"/>
        </w:rPr>
        <w:t>DG Europe</w:t>
      </w:r>
    </w:p>
    <w:p w14:paraId="5899AED3" w14:textId="7EA5288E" w:rsidR="008D4724" w:rsidRPr="00253286" w:rsidRDefault="008D4724" w:rsidP="008D4724">
      <w:pPr>
        <w:spacing w:line="276" w:lineRule="auto"/>
        <w:rPr>
          <w:rFonts w:eastAsia="MS Mincho" w:cs="Arial"/>
          <w:i/>
          <w:iCs/>
          <w:szCs w:val="16"/>
        </w:rPr>
      </w:pPr>
      <w:r w:rsidRPr="00253286">
        <w:rPr>
          <w:rFonts w:eastAsia="MS Mincho" w:cs="Arial"/>
          <w:i/>
          <w:iCs/>
          <w:szCs w:val="16"/>
        </w:rPr>
        <w:t>DG Europe designs, manufactures and sources across the Celebrate and Create categories. It comprises a manufacturing business in the Netherlands and Poland, primarily serving giftwrap within the Celebrate category and a trading business based in the Netherlands</w:t>
      </w:r>
      <w:r w:rsidR="00E146A0">
        <w:rPr>
          <w:rFonts w:eastAsia="MS Mincho" w:cs="Arial"/>
          <w:i/>
          <w:iCs/>
          <w:szCs w:val="16"/>
        </w:rPr>
        <w:t>,</w:t>
      </w:r>
      <w:r w:rsidRPr="00253286">
        <w:rPr>
          <w:rFonts w:eastAsia="MS Mincho" w:cs="Arial"/>
          <w:i/>
          <w:iCs/>
          <w:szCs w:val="16"/>
        </w:rPr>
        <w:t xml:space="preserve"> focusing on homeware products within the Create category. The segment’s main customers are large value and mass-market retailers.</w:t>
      </w:r>
    </w:p>
    <w:p w14:paraId="14559F00" w14:textId="77777777" w:rsidR="008D4724" w:rsidRPr="00B8452B" w:rsidRDefault="008D4724" w:rsidP="008D4724">
      <w:pPr>
        <w:spacing w:line="276" w:lineRule="auto"/>
        <w:rPr>
          <w:rFonts w:eastAsia="MS Mincho" w:cs="Arial"/>
          <w:szCs w:val="16"/>
        </w:rPr>
      </w:pPr>
    </w:p>
    <w:p w14:paraId="65F6B0C9" w14:textId="76533C4C" w:rsidR="00282619" w:rsidRDefault="00282619" w:rsidP="00282619">
      <w:pPr>
        <w:spacing w:line="276" w:lineRule="auto"/>
        <w:rPr>
          <w:rFonts w:eastAsia="MS Mincho" w:cs="Arial"/>
          <w:szCs w:val="16"/>
        </w:rPr>
      </w:pPr>
      <w:r w:rsidRPr="00282619">
        <w:rPr>
          <w:rFonts w:eastAsia="MS Mincho" w:cs="Arial"/>
          <w:szCs w:val="16"/>
        </w:rPr>
        <w:t>Revenue for the year was £102.9 million (FY</w:t>
      </w:r>
      <w:r>
        <w:rPr>
          <w:rFonts w:eastAsia="MS Mincho" w:cs="Arial"/>
          <w:szCs w:val="16"/>
        </w:rPr>
        <w:t>20</w:t>
      </w:r>
      <w:r w:rsidRPr="00282619">
        <w:rPr>
          <w:rFonts w:eastAsia="MS Mincho" w:cs="Arial"/>
          <w:szCs w:val="16"/>
        </w:rPr>
        <w:t>25: £10</w:t>
      </w:r>
      <w:r w:rsidR="000E262A">
        <w:rPr>
          <w:rFonts w:eastAsia="MS Mincho" w:cs="Arial"/>
          <w:szCs w:val="16"/>
        </w:rPr>
        <w:t>1</w:t>
      </w:r>
      <w:r w:rsidRPr="00282619">
        <w:rPr>
          <w:rFonts w:eastAsia="MS Mincho" w:cs="Arial"/>
          <w:szCs w:val="16"/>
        </w:rPr>
        <w:t>.</w:t>
      </w:r>
      <w:r w:rsidR="000E262A">
        <w:rPr>
          <w:rFonts w:eastAsia="MS Mincho" w:cs="Arial"/>
          <w:szCs w:val="16"/>
        </w:rPr>
        <w:t>1</w:t>
      </w:r>
      <w:r w:rsidRPr="00282619">
        <w:rPr>
          <w:rFonts w:eastAsia="MS Mincho" w:cs="Arial"/>
          <w:szCs w:val="16"/>
        </w:rPr>
        <w:t xml:space="preserve"> million), representing a modest </w:t>
      </w:r>
      <w:r w:rsidR="001C0A69">
        <w:rPr>
          <w:rFonts w:eastAsia="MS Mincho" w:cs="Arial"/>
          <w:szCs w:val="16"/>
        </w:rPr>
        <w:t>growth</w:t>
      </w:r>
      <w:r w:rsidRPr="00282619">
        <w:rPr>
          <w:rFonts w:eastAsia="MS Mincho" w:cs="Arial"/>
          <w:szCs w:val="16"/>
        </w:rPr>
        <w:t xml:space="preserve"> of 2% year</w:t>
      </w:r>
      <w:r w:rsidRPr="00282619">
        <w:rPr>
          <w:rFonts w:ascii="Cambria Math" w:eastAsia="MS Mincho" w:hAnsi="Cambria Math" w:cs="Cambria Math"/>
          <w:szCs w:val="16"/>
        </w:rPr>
        <w:t>‑</w:t>
      </w:r>
      <w:r w:rsidRPr="00282619">
        <w:rPr>
          <w:rFonts w:eastAsia="MS Mincho" w:cs="Arial"/>
          <w:szCs w:val="16"/>
        </w:rPr>
        <w:t>on</w:t>
      </w:r>
      <w:r w:rsidRPr="00282619">
        <w:rPr>
          <w:rFonts w:ascii="Cambria Math" w:eastAsia="MS Mincho" w:hAnsi="Cambria Math" w:cs="Cambria Math"/>
          <w:szCs w:val="16"/>
        </w:rPr>
        <w:t>‑</w:t>
      </w:r>
      <w:r w:rsidRPr="00282619">
        <w:rPr>
          <w:rFonts w:eastAsia="MS Mincho" w:cs="Arial"/>
          <w:szCs w:val="16"/>
        </w:rPr>
        <w:t>year. Performance reflected continued pricing pressure within the European market</w:t>
      </w:r>
      <w:r w:rsidR="004C014E">
        <w:rPr>
          <w:rFonts w:eastAsia="MS Mincho" w:cs="Arial"/>
          <w:szCs w:val="16"/>
        </w:rPr>
        <w:t>,</w:t>
      </w:r>
      <w:r w:rsidRPr="00282619">
        <w:rPr>
          <w:rFonts w:eastAsia="MS Mincho" w:cs="Arial"/>
          <w:szCs w:val="16"/>
        </w:rPr>
        <w:t xml:space="preserve"> offset by growth in adjacent product categories</w:t>
      </w:r>
      <w:r w:rsidR="0008250D">
        <w:rPr>
          <w:rFonts w:eastAsia="MS Mincho" w:cs="Arial"/>
          <w:szCs w:val="16"/>
        </w:rPr>
        <w:t xml:space="preserve">. This </w:t>
      </w:r>
      <w:r w:rsidRPr="00282619">
        <w:rPr>
          <w:rFonts w:eastAsia="MS Mincho" w:cs="Arial"/>
          <w:szCs w:val="16"/>
        </w:rPr>
        <w:t>demonstrat</w:t>
      </w:r>
      <w:r w:rsidR="00E21308">
        <w:rPr>
          <w:rFonts w:eastAsia="MS Mincho" w:cs="Arial"/>
          <w:szCs w:val="16"/>
        </w:rPr>
        <w:t>es</w:t>
      </w:r>
      <w:r w:rsidRPr="00282619">
        <w:rPr>
          <w:rFonts w:eastAsia="MS Mincho" w:cs="Arial"/>
          <w:szCs w:val="16"/>
        </w:rPr>
        <w:t xml:space="preserve"> </w:t>
      </w:r>
      <w:r w:rsidR="00CA4121">
        <w:rPr>
          <w:rFonts w:eastAsia="MS Mincho" w:cs="Arial"/>
          <w:szCs w:val="16"/>
        </w:rPr>
        <w:t>the benefits of product diversification, particularly into higher</w:t>
      </w:r>
      <w:r w:rsidR="00627841">
        <w:rPr>
          <w:rFonts w:eastAsia="MS Mincho" w:cs="Arial"/>
          <w:szCs w:val="16"/>
        </w:rPr>
        <w:t>-</w:t>
      </w:r>
      <w:r w:rsidR="00CA4121">
        <w:rPr>
          <w:rFonts w:eastAsia="MS Mincho" w:cs="Arial"/>
          <w:szCs w:val="16"/>
        </w:rPr>
        <w:t>margin product categories</w:t>
      </w:r>
      <w:r w:rsidR="00230D51">
        <w:rPr>
          <w:rFonts w:eastAsia="MS Mincho" w:cs="Arial"/>
          <w:szCs w:val="16"/>
        </w:rPr>
        <w:t>,</w:t>
      </w:r>
      <w:r w:rsidR="00CA4121">
        <w:rPr>
          <w:rFonts w:eastAsia="MS Mincho" w:cs="Arial"/>
          <w:szCs w:val="16"/>
        </w:rPr>
        <w:t xml:space="preserve"> within </w:t>
      </w:r>
      <w:r w:rsidR="00A80C1B" w:rsidRPr="00A80C1B">
        <w:rPr>
          <w:rFonts w:eastAsia="MS Mincho" w:cs="Arial"/>
          <w:szCs w:val="16"/>
        </w:rPr>
        <w:t>the Group’s established value and mass retail customer base</w:t>
      </w:r>
      <w:r w:rsidR="00D06A33">
        <w:rPr>
          <w:rFonts w:eastAsia="MS Mincho" w:cs="Arial"/>
          <w:szCs w:val="16"/>
        </w:rPr>
        <w:t xml:space="preserve">, </w:t>
      </w:r>
      <w:r w:rsidR="00D06A33" w:rsidRPr="00D06A33">
        <w:rPr>
          <w:rFonts w:eastAsia="MS Mincho" w:cs="Arial"/>
          <w:szCs w:val="16"/>
        </w:rPr>
        <w:t>which continues to demonstrate resilience and scale within the current retail environmen</w:t>
      </w:r>
      <w:r w:rsidR="00D06A33">
        <w:rPr>
          <w:rFonts w:eastAsia="MS Mincho" w:cs="Arial"/>
          <w:szCs w:val="16"/>
        </w:rPr>
        <w:t>t.</w:t>
      </w:r>
    </w:p>
    <w:p w14:paraId="09D6AE05" w14:textId="77777777" w:rsidR="00CE5CB9" w:rsidRPr="00282619" w:rsidRDefault="00CE5CB9" w:rsidP="00282619">
      <w:pPr>
        <w:spacing w:line="276" w:lineRule="auto"/>
        <w:rPr>
          <w:rFonts w:eastAsia="MS Mincho" w:cs="Arial"/>
          <w:szCs w:val="16"/>
        </w:rPr>
      </w:pPr>
    </w:p>
    <w:p w14:paraId="256D6896" w14:textId="1776CE19" w:rsidR="00F039EA" w:rsidRPr="00F039EA" w:rsidRDefault="00282619" w:rsidP="00F039EA">
      <w:pPr>
        <w:spacing w:line="276" w:lineRule="auto"/>
        <w:rPr>
          <w:rFonts w:eastAsia="MS Mincho" w:cs="Arial"/>
          <w:szCs w:val="16"/>
        </w:rPr>
      </w:pPr>
      <w:r w:rsidRPr="00282619">
        <w:rPr>
          <w:rFonts w:eastAsia="MS Mincho" w:cs="Arial"/>
          <w:szCs w:val="16"/>
        </w:rPr>
        <w:t>Adjusted operating profit was £11.</w:t>
      </w:r>
      <w:r w:rsidR="00A92146">
        <w:rPr>
          <w:rFonts w:eastAsia="MS Mincho" w:cs="Arial"/>
          <w:szCs w:val="16"/>
        </w:rPr>
        <w:t>5</w:t>
      </w:r>
      <w:r w:rsidRPr="00282619">
        <w:rPr>
          <w:rFonts w:eastAsia="MS Mincho" w:cs="Arial"/>
          <w:szCs w:val="16"/>
        </w:rPr>
        <w:t xml:space="preserve"> million (FY</w:t>
      </w:r>
      <w:r w:rsidR="00A92146">
        <w:rPr>
          <w:rFonts w:eastAsia="MS Mincho" w:cs="Arial"/>
          <w:szCs w:val="16"/>
        </w:rPr>
        <w:t>20</w:t>
      </w:r>
      <w:r w:rsidRPr="00282619">
        <w:rPr>
          <w:rFonts w:eastAsia="MS Mincho" w:cs="Arial"/>
          <w:szCs w:val="16"/>
        </w:rPr>
        <w:t>25: £1</w:t>
      </w:r>
      <w:r w:rsidR="007726BE">
        <w:rPr>
          <w:rFonts w:eastAsia="MS Mincho" w:cs="Arial"/>
          <w:szCs w:val="16"/>
        </w:rPr>
        <w:t>4</w:t>
      </w:r>
      <w:r w:rsidRPr="00282619">
        <w:rPr>
          <w:rFonts w:eastAsia="MS Mincho" w:cs="Arial"/>
          <w:szCs w:val="16"/>
        </w:rPr>
        <w:t>.</w:t>
      </w:r>
      <w:r w:rsidR="007726BE">
        <w:rPr>
          <w:rFonts w:eastAsia="MS Mincho" w:cs="Arial"/>
          <w:szCs w:val="16"/>
        </w:rPr>
        <w:t>4</w:t>
      </w:r>
      <w:r w:rsidRPr="00282619">
        <w:rPr>
          <w:rFonts w:eastAsia="MS Mincho" w:cs="Arial"/>
          <w:szCs w:val="16"/>
        </w:rPr>
        <w:t xml:space="preserve"> million), with margins of 11</w:t>
      </w:r>
      <w:r w:rsidR="00D2684D">
        <w:rPr>
          <w:rFonts w:eastAsia="MS Mincho" w:cs="Arial"/>
          <w:szCs w:val="16"/>
        </w:rPr>
        <w:t>.2</w:t>
      </w:r>
      <w:r w:rsidRPr="00282619">
        <w:rPr>
          <w:rFonts w:eastAsia="MS Mincho" w:cs="Arial"/>
          <w:szCs w:val="16"/>
        </w:rPr>
        <w:t>% (FY</w:t>
      </w:r>
      <w:r w:rsidR="00D2684D">
        <w:rPr>
          <w:rFonts w:eastAsia="MS Mincho" w:cs="Arial"/>
          <w:szCs w:val="16"/>
        </w:rPr>
        <w:t>20</w:t>
      </w:r>
      <w:r w:rsidRPr="00282619">
        <w:rPr>
          <w:rFonts w:eastAsia="MS Mincho" w:cs="Arial"/>
          <w:szCs w:val="16"/>
        </w:rPr>
        <w:t>25: 14.</w:t>
      </w:r>
      <w:r w:rsidR="00D2684D">
        <w:rPr>
          <w:rFonts w:eastAsia="MS Mincho" w:cs="Arial"/>
          <w:szCs w:val="16"/>
        </w:rPr>
        <w:t>3</w:t>
      </w:r>
      <w:r w:rsidRPr="00282619">
        <w:rPr>
          <w:rFonts w:eastAsia="MS Mincho" w:cs="Arial"/>
          <w:szCs w:val="16"/>
        </w:rPr>
        <w:t xml:space="preserve">%). </w:t>
      </w:r>
      <w:r w:rsidR="00382225" w:rsidRPr="00382225">
        <w:rPr>
          <w:rFonts w:eastAsia="MS Mincho" w:cs="Arial"/>
          <w:szCs w:val="16"/>
        </w:rPr>
        <w:t xml:space="preserve">The reduction in profitability reflects a combination of pricing investment to maintain competitiveness and market share, </w:t>
      </w:r>
      <w:r w:rsidR="00330F35">
        <w:rPr>
          <w:rFonts w:eastAsia="MS Mincho" w:cs="Arial"/>
          <w:szCs w:val="16"/>
        </w:rPr>
        <w:t xml:space="preserve">alongside </w:t>
      </w:r>
      <w:r w:rsidR="00382225" w:rsidRPr="00215329">
        <w:rPr>
          <w:rFonts w:eastAsia="MS Mincho" w:cs="Arial"/>
          <w:szCs w:val="16"/>
        </w:rPr>
        <w:t xml:space="preserve">lower </w:t>
      </w:r>
      <w:r w:rsidR="00E51171">
        <w:rPr>
          <w:rFonts w:eastAsia="MS Mincho" w:cs="Arial"/>
          <w:szCs w:val="16"/>
        </w:rPr>
        <w:t>gift</w:t>
      </w:r>
      <w:r w:rsidR="00382225" w:rsidRPr="00215329">
        <w:rPr>
          <w:rFonts w:eastAsia="MS Mincho" w:cs="Arial"/>
          <w:szCs w:val="16"/>
        </w:rPr>
        <w:t xml:space="preserve">wrap </w:t>
      </w:r>
      <w:r w:rsidR="00E51171">
        <w:rPr>
          <w:rFonts w:eastAsia="MS Mincho" w:cs="Arial"/>
          <w:szCs w:val="16"/>
        </w:rPr>
        <w:t xml:space="preserve">manufacture </w:t>
      </w:r>
      <w:r w:rsidR="00382225" w:rsidRPr="00215329">
        <w:rPr>
          <w:rFonts w:eastAsia="MS Mincho" w:cs="Arial"/>
          <w:szCs w:val="16"/>
        </w:rPr>
        <w:t xml:space="preserve">volumes impacting </w:t>
      </w:r>
      <w:r w:rsidR="002C746D">
        <w:rPr>
          <w:rFonts w:eastAsia="MS Mincho" w:cs="Arial"/>
          <w:szCs w:val="16"/>
        </w:rPr>
        <w:t xml:space="preserve">production efficiencies </w:t>
      </w:r>
      <w:r w:rsidR="007F2FB3">
        <w:rPr>
          <w:rFonts w:eastAsia="MS Mincho" w:cs="Arial"/>
          <w:szCs w:val="16"/>
        </w:rPr>
        <w:t xml:space="preserve">and </w:t>
      </w:r>
      <w:r w:rsidR="00382225" w:rsidRPr="00215329">
        <w:rPr>
          <w:rFonts w:eastAsia="MS Mincho" w:cs="Arial"/>
          <w:szCs w:val="16"/>
        </w:rPr>
        <w:t>operational leverage</w:t>
      </w:r>
      <w:r w:rsidR="00382225" w:rsidRPr="00382225">
        <w:rPr>
          <w:rFonts w:eastAsia="MS Mincho" w:cs="Arial"/>
          <w:szCs w:val="16"/>
        </w:rPr>
        <w:t xml:space="preserve">. In addition, profitability in the period includes a </w:t>
      </w:r>
      <w:r w:rsidR="00382225" w:rsidRPr="00215329">
        <w:rPr>
          <w:rFonts w:eastAsia="MS Mincho" w:cs="Arial"/>
          <w:szCs w:val="16"/>
        </w:rPr>
        <w:t>non</w:t>
      </w:r>
      <w:r w:rsidR="00382225" w:rsidRPr="00215329">
        <w:rPr>
          <w:rFonts w:eastAsia="MS Mincho" w:cs="Arial"/>
          <w:szCs w:val="16"/>
        </w:rPr>
        <w:noBreakHyphen/>
        <w:t>cash impairment charge of £1.</w:t>
      </w:r>
      <w:r w:rsidR="00946824">
        <w:rPr>
          <w:rFonts w:eastAsia="MS Mincho" w:cs="Arial"/>
          <w:szCs w:val="16"/>
        </w:rPr>
        <w:t>5</w:t>
      </w:r>
      <w:r w:rsidR="00382225" w:rsidRPr="00215329">
        <w:rPr>
          <w:rFonts w:eastAsia="MS Mincho" w:cs="Arial"/>
          <w:szCs w:val="16"/>
        </w:rPr>
        <w:t xml:space="preserve"> million rel</w:t>
      </w:r>
      <w:r w:rsidR="00382225" w:rsidRPr="00382225">
        <w:rPr>
          <w:rFonts w:eastAsia="MS Mincho" w:cs="Arial"/>
          <w:szCs w:val="16"/>
        </w:rPr>
        <w:t xml:space="preserve">ating to certain manufacturing assets following a reassessment of demand for </w:t>
      </w:r>
      <w:r w:rsidR="00215329" w:rsidRPr="00382225">
        <w:rPr>
          <w:rFonts w:eastAsia="MS Mincho" w:cs="Arial"/>
          <w:szCs w:val="16"/>
        </w:rPr>
        <w:t>European</w:t>
      </w:r>
      <w:r w:rsidR="00215329" w:rsidRPr="00382225">
        <w:rPr>
          <w:rFonts w:eastAsia="MS Mincho" w:cs="Arial"/>
          <w:szCs w:val="16"/>
        </w:rPr>
        <w:noBreakHyphen/>
        <w:t>produced</w:t>
      </w:r>
      <w:r w:rsidR="00215329">
        <w:rPr>
          <w:rFonts w:eastAsia="MS Mincho" w:cs="Arial"/>
          <w:szCs w:val="16"/>
        </w:rPr>
        <w:t>, but</w:t>
      </w:r>
      <w:r w:rsidR="00215329" w:rsidRPr="00382225">
        <w:rPr>
          <w:rFonts w:eastAsia="MS Mincho" w:cs="Arial"/>
          <w:szCs w:val="16"/>
        </w:rPr>
        <w:t xml:space="preserve"> </w:t>
      </w:r>
      <w:r w:rsidR="00382225" w:rsidRPr="00382225">
        <w:rPr>
          <w:rFonts w:eastAsia="MS Mincho" w:cs="Arial"/>
          <w:szCs w:val="16"/>
        </w:rPr>
        <w:t>higher</w:t>
      </w:r>
      <w:r w:rsidR="00382225" w:rsidRPr="00382225">
        <w:rPr>
          <w:rFonts w:eastAsia="MS Mincho" w:cs="Arial"/>
          <w:szCs w:val="16"/>
        </w:rPr>
        <w:noBreakHyphen/>
        <w:t xml:space="preserve">cost product. </w:t>
      </w:r>
      <w:r w:rsidR="00F039EA" w:rsidRPr="00F039EA">
        <w:rPr>
          <w:rFonts w:eastAsia="MS Mincho" w:cs="Arial"/>
          <w:szCs w:val="16"/>
        </w:rPr>
        <w:t>These impacts were partially mitigated by freight cost</w:t>
      </w:r>
      <w:r w:rsidR="00F84033">
        <w:rPr>
          <w:rFonts w:eastAsia="MS Mincho" w:cs="Arial"/>
          <w:szCs w:val="16"/>
        </w:rPr>
        <w:t xml:space="preserve"> tailwinds</w:t>
      </w:r>
      <w:r w:rsidR="00F039EA" w:rsidRPr="00F039EA">
        <w:rPr>
          <w:rFonts w:eastAsia="MS Mincho" w:cs="Arial"/>
          <w:szCs w:val="16"/>
        </w:rPr>
        <w:t xml:space="preserve"> following the normalisation from prior year elevated levels</w:t>
      </w:r>
      <w:r w:rsidR="00F84033">
        <w:rPr>
          <w:rFonts w:eastAsia="MS Mincho" w:cs="Arial"/>
          <w:szCs w:val="16"/>
        </w:rPr>
        <w:t>.</w:t>
      </w:r>
    </w:p>
    <w:p w14:paraId="7C0A27BF" w14:textId="7151FC2F" w:rsidR="00382225" w:rsidRDefault="00382225" w:rsidP="00382225">
      <w:pPr>
        <w:spacing w:line="276" w:lineRule="auto"/>
        <w:rPr>
          <w:rFonts w:eastAsia="MS Mincho" w:cs="Arial"/>
          <w:szCs w:val="16"/>
        </w:rPr>
      </w:pPr>
    </w:p>
    <w:p w14:paraId="04BEB63D" w14:textId="744C36A4" w:rsidR="00345373" w:rsidRPr="00345373" w:rsidRDefault="00345373" w:rsidP="00345373">
      <w:pPr>
        <w:spacing w:line="276" w:lineRule="auto"/>
        <w:rPr>
          <w:rFonts w:eastAsia="MS Mincho" w:cs="Arial"/>
          <w:szCs w:val="16"/>
        </w:rPr>
      </w:pPr>
      <w:r w:rsidRPr="00345373">
        <w:rPr>
          <w:rFonts w:eastAsia="MS Mincho" w:cs="Arial"/>
          <w:szCs w:val="16"/>
        </w:rPr>
        <w:t>During the year, the business made good strategic and operational progress, particularly in the continued diversification of the product offering. This included expansion into higher</w:t>
      </w:r>
      <w:r w:rsidRPr="00345373">
        <w:rPr>
          <w:rFonts w:ascii="Cambria Math" w:eastAsia="MS Mincho" w:hAnsi="Cambria Math" w:cs="Cambria Math"/>
          <w:szCs w:val="16"/>
        </w:rPr>
        <w:t>‑</w:t>
      </w:r>
      <w:r w:rsidRPr="00345373">
        <w:rPr>
          <w:rFonts w:eastAsia="MS Mincho" w:cs="Arial"/>
          <w:szCs w:val="16"/>
        </w:rPr>
        <w:t xml:space="preserve">value </w:t>
      </w:r>
      <w:r w:rsidR="00BD5784">
        <w:rPr>
          <w:rFonts w:eastAsia="MS Mincho" w:cs="Arial"/>
          <w:szCs w:val="16"/>
        </w:rPr>
        <w:t>price points</w:t>
      </w:r>
      <w:r w:rsidRPr="00345373">
        <w:rPr>
          <w:rFonts w:eastAsia="MS Mincho" w:cs="Arial"/>
          <w:szCs w:val="16"/>
        </w:rPr>
        <w:t xml:space="preserve"> such as free</w:t>
      </w:r>
      <w:r w:rsidRPr="00345373">
        <w:rPr>
          <w:rFonts w:ascii="Cambria Math" w:eastAsia="MS Mincho" w:hAnsi="Cambria Math" w:cs="Cambria Math"/>
          <w:szCs w:val="16"/>
        </w:rPr>
        <w:t>‑</w:t>
      </w:r>
      <w:r w:rsidRPr="00345373">
        <w:rPr>
          <w:rFonts w:eastAsia="MS Mincho" w:cs="Arial"/>
          <w:szCs w:val="16"/>
        </w:rPr>
        <w:t xml:space="preserve">standing display units (FSDUs), enabling access to more premium price points and enhanced customer propositions, including through the increased use of licensed product. Further product diversification opportunities </w:t>
      </w:r>
      <w:r w:rsidR="00FB1DBF">
        <w:rPr>
          <w:rFonts w:eastAsia="MS Mincho" w:cs="Arial"/>
          <w:szCs w:val="16"/>
        </w:rPr>
        <w:t>continue to be developed for future years</w:t>
      </w:r>
      <w:r w:rsidR="000F26AE">
        <w:rPr>
          <w:rFonts w:eastAsia="MS Mincho" w:cs="Arial"/>
          <w:szCs w:val="16"/>
        </w:rPr>
        <w:t xml:space="preserve">, featuring predominantly within </w:t>
      </w:r>
      <w:r w:rsidR="00CA00EA" w:rsidRPr="00CA00EA">
        <w:rPr>
          <w:rFonts w:eastAsia="MS Mincho" w:cs="Arial"/>
          <w:szCs w:val="16"/>
        </w:rPr>
        <w:t xml:space="preserve">the </w:t>
      </w:r>
      <w:r w:rsidR="000F26AE">
        <w:rPr>
          <w:rFonts w:eastAsia="MS Mincho" w:cs="Arial"/>
          <w:szCs w:val="16"/>
        </w:rPr>
        <w:t>H</w:t>
      </w:r>
      <w:r w:rsidR="00CA00EA" w:rsidRPr="00CA00EA">
        <w:rPr>
          <w:rFonts w:eastAsia="MS Mincho" w:cs="Arial"/>
          <w:szCs w:val="16"/>
        </w:rPr>
        <w:t>omeware category</w:t>
      </w:r>
      <w:r w:rsidR="000F26AE">
        <w:rPr>
          <w:rFonts w:eastAsia="MS Mincho" w:cs="Arial"/>
          <w:szCs w:val="16"/>
        </w:rPr>
        <w:t>,</w:t>
      </w:r>
      <w:r w:rsidR="00CA00EA" w:rsidRPr="00CA00EA">
        <w:rPr>
          <w:rFonts w:eastAsia="MS Mincho" w:cs="Arial"/>
          <w:szCs w:val="16"/>
        </w:rPr>
        <w:t xml:space="preserve"> where early progress is encouraging and customer engagement remains strong.</w:t>
      </w:r>
      <w:r w:rsidR="000F26AE">
        <w:rPr>
          <w:rFonts w:eastAsia="MS Mincho" w:cs="Arial"/>
          <w:szCs w:val="16"/>
        </w:rPr>
        <w:t xml:space="preserve"> </w:t>
      </w:r>
      <w:r w:rsidRPr="00345373">
        <w:rPr>
          <w:rFonts w:eastAsia="MS Mincho" w:cs="Arial"/>
          <w:szCs w:val="16"/>
        </w:rPr>
        <w:t>These initiatives have been underpinned by targeted investment in commercial capability, including key hires during the year</w:t>
      </w:r>
      <w:r w:rsidR="000F26AE">
        <w:rPr>
          <w:rFonts w:eastAsia="MS Mincho" w:cs="Arial"/>
          <w:szCs w:val="16"/>
        </w:rPr>
        <w:t>,</w:t>
      </w:r>
      <w:r w:rsidRPr="00345373">
        <w:rPr>
          <w:rFonts w:eastAsia="MS Mincho" w:cs="Arial"/>
          <w:szCs w:val="16"/>
        </w:rPr>
        <w:t xml:space="preserve"> to enhance customer engagement and execution.</w:t>
      </w:r>
    </w:p>
    <w:p w14:paraId="60205877" w14:textId="77777777" w:rsidR="00BE6D1E" w:rsidRPr="00345373" w:rsidRDefault="00BE6D1E" w:rsidP="00345373">
      <w:pPr>
        <w:spacing w:line="276" w:lineRule="auto"/>
        <w:rPr>
          <w:rFonts w:eastAsia="MS Mincho" w:cs="Arial"/>
          <w:szCs w:val="16"/>
        </w:rPr>
      </w:pPr>
    </w:p>
    <w:p w14:paraId="6F9386E9" w14:textId="2AD917A2" w:rsidR="00345373" w:rsidRDefault="00345373" w:rsidP="00345373">
      <w:pPr>
        <w:spacing w:line="276" w:lineRule="auto"/>
        <w:rPr>
          <w:rFonts w:eastAsia="MS Mincho" w:cs="Arial"/>
          <w:szCs w:val="16"/>
        </w:rPr>
      </w:pPr>
      <w:r w:rsidRPr="00345373">
        <w:rPr>
          <w:rFonts w:eastAsia="MS Mincho" w:cs="Arial"/>
          <w:szCs w:val="16"/>
        </w:rPr>
        <w:t xml:space="preserve">Looking ahead, the segment remains focused on accelerating product diversification, expanding its customer base and </w:t>
      </w:r>
      <w:r w:rsidR="00980AFE">
        <w:rPr>
          <w:rFonts w:eastAsia="MS Mincho" w:cs="Arial"/>
          <w:szCs w:val="16"/>
        </w:rPr>
        <w:t>restoring</w:t>
      </w:r>
      <w:r w:rsidR="00D945C8">
        <w:rPr>
          <w:rFonts w:eastAsia="MS Mincho" w:cs="Arial"/>
          <w:szCs w:val="16"/>
        </w:rPr>
        <w:t xml:space="preserve"> high standards of </w:t>
      </w:r>
      <w:r w:rsidRPr="00345373">
        <w:rPr>
          <w:rFonts w:eastAsia="MS Mincho" w:cs="Arial"/>
          <w:szCs w:val="16"/>
        </w:rPr>
        <w:t>manufacturing efficiency</w:t>
      </w:r>
      <w:r w:rsidR="00D945C8">
        <w:rPr>
          <w:rFonts w:eastAsia="MS Mincho" w:cs="Arial"/>
          <w:szCs w:val="16"/>
        </w:rPr>
        <w:t>.</w:t>
      </w:r>
      <w:r w:rsidRPr="00345373">
        <w:rPr>
          <w:rFonts w:eastAsia="MS Mincho" w:cs="Arial"/>
          <w:szCs w:val="16"/>
        </w:rPr>
        <w:t xml:space="preserve"> Together, these priorities position DG Europe to deliver improved performance and support the Group’s broader strategic objectives.</w:t>
      </w:r>
    </w:p>
    <w:p w14:paraId="4731262F" w14:textId="77777777" w:rsidR="008D4724" w:rsidRPr="00B8452B" w:rsidRDefault="008D4724" w:rsidP="008858D5">
      <w:pPr>
        <w:spacing w:line="276" w:lineRule="auto"/>
        <w:rPr>
          <w:rFonts w:eastAsia="MS Mincho" w:cs="Arial"/>
          <w:b/>
          <w:szCs w:val="16"/>
        </w:rPr>
      </w:pPr>
    </w:p>
    <w:p w14:paraId="1708438B" w14:textId="77777777" w:rsidR="00641A56" w:rsidRPr="00327FAA" w:rsidRDefault="00641A56" w:rsidP="00327FAA">
      <w:pPr>
        <w:pStyle w:val="Heading3"/>
        <w:rPr>
          <w:b w:val="0"/>
          <w:szCs w:val="16"/>
        </w:rPr>
      </w:pPr>
      <w:r w:rsidRPr="00327FAA">
        <w:rPr>
          <w:sz w:val="16"/>
          <w:szCs w:val="16"/>
        </w:rPr>
        <w:t>DG UK</w:t>
      </w:r>
    </w:p>
    <w:p w14:paraId="7F84D887" w14:textId="261401B4" w:rsidR="00641A56" w:rsidRPr="00992B74" w:rsidRDefault="00641A56" w:rsidP="00641A56">
      <w:pPr>
        <w:spacing w:line="276" w:lineRule="auto"/>
        <w:rPr>
          <w:rFonts w:eastAsia="MS Mincho" w:cs="Arial"/>
          <w:i/>
          <w:iCs/>
          <w:szCs w:val="16"/>
        </w:rPr>
      </w:pPr>
      <w:r w:rsidRPr="00992B74">
        <w:rPr>
          <w:rFonts w:eastAsia="MS Mincho" w:cs="Arial"/>
          <w:i/>
          <w:iCs/>
          <w:szCs w:val="16"/>
        </w:rPr>
        <w:t>DG UK designs and manufactures around two-thirds of its products across the Celebrate and Create categories, with the majority of sales in Celebrate. UK operations in Wales and Newport Pagnell are supported by a Group sourcing office in China.</w:t>
      </w:r>
    </w:p>
    <w:p w14:paraId="4AA780BC" w14:textId="77777777" w:rsidR="00641A56" w:rsidRPr="00B8452B" w:rsidRDefault="00641A56" w:rsidP="00641A56">
      <w:pPr>
        <w:spacing w:line="276" w:lineRule="auto"/>
        <w:rPr>
          <w:rFonts w:eastAsia="MS Mincho" w:cs="Arial"/>
          <w:b/>
          <w:szCs w:val="16"/>
        </w:rPr>
      </w:pPr>
    </w:p>
    <w:p w14:paraId="1D7F3A4B" w14:textId="3B98D276" w:rsidR="00661637" w:rsidRPr="00661637" w:rsidRDefault="00D43DB1" w:rsidP="00661637">
      <w:pPr>
        <w:spacing w:line="276" w:lineRule="auto"/>
        <w:rPr>
          <w:rFonts w:eastAsia="MS Mincho" w:cs="Arial"/>
          <w:szCs w:val="16"/>
        </w:rPr>
      </w:pPr>
      <w:r w:rsidRPr="00EF5371">
        <w:rPr>
          <w:rFonts w:eastAsia="MS Mincho" w:cs="Arial"/>
          <w:szCs w:val="16"/>
        </w:rPr>
        <w:t>Revenue for the year was £</w:t>
      </w:r>
      <w:r w:rsidR="00005D09" w:rsidRPr="00EF5371">
        <w:rPr>
          <w:rFonts w:eastAsia="MS Mincho" w:cs="Arial"/>
          <w:szCs w:val="16"/>
        </w:rPr>
        <w:t>82.0</w:t>
      </w:r>
      <w:r w:rsidRPr="00EF5371">
        <w:rPr>
          <w:rFonts w:eastAsia="MS Mincho" w:cs="Arial"/>
          <w:szCs w:val="16"/>
        </w:rPr>
        <w:t xml:space="preserve"> million (FY2025: £</w:t>
      </w:r>
      <w:r w:rsidR="000172A2" w:rsidRPr="00EF5371">
        <w:rPr>
          <w:rFonts w:eastAsia="MS Mincho" w:cs="Arial"/>
          <w:szCs w:val="16"/>
        </w:rPr>
        <w:t>93.3</w:t>
      </w:r>
      <w:r w:rsidRPr="00EF5371">
        <w:rPr>
          <w:rFonts w:eastAsia="MS Mincho" w:cs="Arial"/>
          <w:szCs w:val="16"/>
        </w:rPr>
        <w:t xml:space="preserve"> million), representing a </w:t>
      </w:r>
      <w:r w:rsidR="00262C79" w:rsidRPr="00EF5371">
        <w:rPr>
          <w:rFonts w:eastAsia="MS Mincho" w:cs="Arial"/>
          <w:szCs w:val="16"/>
        </w:rPr>
        <w:t xml:space="preserve">12% </w:t>
      </w:r>
      <w:r w:rsidRPr="00EF5371">
        <w:rPr>
          <w:rFonts w:eastAsia="MS Mincho" w:cs="Arial"/>
          <w:szCs w:val="16"/>
        </w:rPr>
        <w:t>decline year</w:t>
      </w:r>
      <w:r w:rsidRPr="00EF5371">
        <w:rPr>
          <w:rFonts w:ascii="Cambria Math" w:eastAsia="MS Mincho" w:hAnsi="Cambria Math" w:cs="Cambria Math"/>
          <w:szCs w:val="16"/>
        </w:rPr>
        <w:t>‑</w:t>
      </w:r>
      <w:r w:rsidRPr="00EF5371">
        <w:rPr>
          <w:rFonts w:eastAsia="MS Mincho" w:cs="Arial"/>
          <w:szCs w:val="16"/>
        </w:rPr>
        <w:t>on</w:t>
      </w:r>
      <w:r w:rsidRPr="00EF5371">
        <w:rPr>
          <w:rFonts w:ascii="Cambria Math" w:eastAsia="MS Mincho" w:hAnsi="Cambria Math" w:cs="Cambria Math"/>
          <w:szCs w:val="16"/>
        </w:rPr>
        <w:t>‑</w:t>
      </w:r>
      <w:r w:rsidRPr="00EF5371">
        <w:rPr>
          <w:rFonts w:eastAsia="MS Mincho" w:cs="Arial"/>
          <w:szCs w:val="16"/>
        </w:rPr>
        <w:t xml:space="preserve">year. </w:t>
      </w:r>
      <w:r w:rsidR="002B531F" w:rsidRPr="00EF5371">
        <w:rPr>
          <w:rFonts w:eastAsia="MS Mincho" w:cs="Arial"/>
          <w:szCs w:val="16"/>
        </w:rPr>
        <w:t>Performance reflects the impact of US tariffs</w:t>
      </w:r>
      <w:r w:rsidR="00D45639" w:rsidRPr="00EF5371">
        <w:rPr>
          <w:rFonts w:eastAsia="MS Mincho" w:cs="Arial"/>
          <w:szCs w:val="16"/>
        </w:rPr>
        <w:t xml:space="preserve"> </w:t>
      </w:r>
      <w:r w:rsidR="004B3FD1">
        <w:rPr>
          <w:rFonts w:eastAsia="MS Mincho" w:cs="Arial"/>
          <w:szCs w:val="16"/>
        </w:rPr>
        <w:t>on</w:t>
      </w:r>
      <w:r w:rsidR="00D45639" w:rsidRPr="00EF5371">
        <w:rPr>
          <w:rFonts w:eastAsia="MS Mincho" w:cs="Arial"/>
          <w:szCs w:val="16"/>
        </w:rPr>
        <w:t xml:space="preserve"> </w:t>
      </w:r>
      <w:r w:rsidR="004B3FD1">
        <w:rPr>
          <w:rFonts w:eastAsia="MS Mincho" w:cs="Arial"/>
          <w:szCs w:val="16"/>
        </w:rPr>
        <w:t>DG</w:t>
      </w:r>
      <w:r w:rsidR="00D45639" w:rsidRPr="00EF5371">
        <w:rPr>
          <w:rFonts w:eastAsia="MS Mincho" w:cs="Arial"/>
          <w:szCs w:val="16"/>
        </w:rPr>
        <w:t xml:space="preserve"> UK’s largest customer</w:t>
      </w:r>
      <w:r w:rsidR="002B531F" w:rsidRPr="00EF5371">
        <w:rPr>
          <w:rFonts w:eastAsia="MS Mincho" w:cs="Arial"/>
          <w:szCs w:val="16"/>
        </w:rPr>
        <w:t>, which</w:t>
      </w:r>
      <w:r w:rsidR="00661637" w:rsidRPr="00661637">
        <w:rPr>
          <w:rFonts w:eastAsia="MS Mincho" w:cs="Arial"/>
          <w:szCs w:val="16"/>
        </w:rPr>
        <w:t xml:space="preserve"> led to reduced volumes as the customer adjusted ordering </w:t>
      </w:r>
      <w:r w:rsidR="00017759">
        <w:rPr>
          <w:rFonts w:eastAsia="MS Mincho" w:cs="Arial"/>
          <w:szCs w:val="16"/>
        </w:rPr>
        <w:t xml:space="preserve">volumes </w:t>
      </w:r>
      <w:r w:rsidR="00661637" w:rsidRPr="00661637">
        <w:rPr>
          <w:rFonts w:eastAsia="MS Mincho" w:cs="Arial"/>
          <w:szCs w:val="16"/>
        </w:rPr>
        <w:t xml:space="preserve">in anticipation of weaker consumer demand. In addition, pricing support was required to partially mitigate the impact of tariffs, further affecting revenues. </w:t>
      </w:r>
      <w:r w:rsidR="0008083F" w:rsidRPr="0008083F">
        <w:rPr>
          <w:rFonts w:eastAsia="MS Mincho" w:cs="Arial"/>
          <w:szCs w:val="16"/>
        </w:rPr>
        <w:t>Against this backdrop, the business worked closely with the customer</w:t>
      </w:r>
      <w:r w:rsidR="0008083F">
        <w:rPr>
          <w:rFonts w:eastAsia="MS Mincho" w:cs="Arial"/>
          <w:szCs w:val="16"/>
        </w:rPr>
        <w:t xml:space="preserve">, leveraging the strong </w:t>
      </w:r>
      <w:r w:rsidR="0008083F" w:rsidRPr="0008083F">
        <w:rPr>
          <w:rFonts w:eastAsia="MS Mincho" w:cs="Arial"/>
          <w:szCs w:val="16"/>
        </w:rPr>
        <w:t xml:space="preserve">commercial relationship, taking on a wider range of </w:t>
      </w:r>
      <w:r w:rsidR="0060274A">
        <w:rPr>
          <w:rFonts w:eastAsia="MS Mincho" w:cs="Arial"/>
          <w:szCs w:val="16"/>
        </w:rPr>
        <w:t xml:space="preserve">new </w:t>
      </w:r>
      <w:r w:rsidR="0008083F" w:rsidRPr="0008083F">
        <w:rPr>
          <w:rFonts w:eastAsia="MS Mincho" w:cs="Arial"/>
          <w:szCs w:val="16"/>
        </w:rPr>
        <w:t>product</w:t>
      </w:r>
      <w:r w:rsidR="0060274A">
        <w:rPr>
          <w:rFonts w:eastAsia="MS Mincho" w:cs="Arial"/>
          <w:szCs w:val="16"/>
        </w:rPr>
        <w:t>s</w:t>
      </w:r>
      <w:r w:rsidR="0008083F" w:rsidRPr="0008083F">
        <w:rPr>
          <w:rFonts w:eastAsia="MS Mincho" w:cs="Arial"/>
          <w:szCs w:val="16"/>
        </w:rPr>
        <w:t xml:space="preserve"> in order to partially offset the decline in core volumes. </w:t>
      </w:r>
      <w:r w:rsidR="009A3645">
        <w:rPr>
          <w:rFonts w:eastAsia="MS Mincho" w:cs="Arial"/>
          <w:szCs w:val="16"/>
        </w:rPr>
        <w:t xml:space="preserve">Beyond this, </w:t>
      </w:r>
      <w:r w:rsidR="0008083F" w:rsidRPr="0008083F">
        <w:rPr>
          <w:rFonts w:eastAsia="MS Mincho" w:cs="Arial"/>
          <w:szCs w:val="16"/>
        </w:rPr>
        <w:t xml:space="preserve">overall performance was also impacted by a softer </w:t>
      </w:r>
      <w:r w:rsidR="0045375A">
        <w:rPr>
          <w:rFonts w:eastAsia="MS Mincho" w:cs="Arial"/>
          <w:szCs w:val="16"/>
        </w:rPr>
        <w:t xml:space="preserve">UK </w:t>
      </w:r>
      <w:r w:rsidR="0008083F" w:rsidRPr="0008083F">
        <w:rPr>
          <w:rFonts w:eastAsia="MS Mincho" w:cs="Arial"/>
          <w:szCs w:val="16"/>
        </w:rPr>
        <w:t>consumer environment, particularly within the Independents channel, consistent with the challenging UK retail market.</w:t>
      </w:r>
      <w:r w:rsidR="00A83E9F">
        <w:rPr>
          <w:rFonts w:eastAsia="MS Mincho" w:cs="Arial"/>
          <w:szCs w:val="16"/>
        </w:rPr>
        <w:t xml:space="preserve"> </w:t>
      </w:r>
      <w:r w:rsidR="006B5EED">
        <w:rPr>
          <w:rFonts w:eastAsia="MS Mincho" w:cs="Arial"/>
          <w:szCs w:val="16"/>
        </w:rPr>
        <w:t>Despite these challenges,</w:t>
      </w:r>
      <w:r w:rsidR="009A3645">
        <w:rPr>
          <w:rFonts w:eastAsia="MS Mincho" w:cs="Arial"/>
          <w:szCs w:val="16"/>
        </w:rPr>
        <w:t xml:space="preserve"> </w:t>
      </w:r>
      <w:r w:rsidR="00395FBA">
        <w:rPr>
          <w:rFonts w:eastAsia="MS Mincho" w:cs="Arial"/>
          <w:szCs w:val="16"/>
        </w:rPr>
        <w:t xml:space="preserve">the business saw </w:t>
      </w:r>
      <w:r w:rsidR="00395FBA" w:rsidRPr="00395FBA">
        <w:rPr>
          <w:rFonts w:eastAsia="MS Mincho" w:cs="Arial"/>
          <w:szCs w:val="16"/>
        </w:rPr>
        <w:t>growth in adjacent, non-core categories, including décor and Create products</w:t>
      </w:r>
      <w:r w:rsidR="00A83E9F" w:rsidRPr="00A83E9F">
        <w:rPr>
          <w:rFonts w:eastAsia="MS Mincho" w:cs="Arial"/>
          <w:szCs w:val="16"/>
        </w:rPr>
        <w:t xml:space="preserve"> within existing relationships with key value and mass customers, reflecting progress in product diversification and </w:t>
      </w:r>
      <w:r w:rsidR="00395FBA" w:rsidRPr="00395FBA">
        <w:rPr>
          <w:rFonts w:eastAsia="MS Mincho" w:cs="Arial"/>
          <w:szCs w:val="16"/>
        </w:rPr>
        <w:t>premiumisation</w:t>
      </w:r>
      <w:r w:rsidR="00395FBA">
        <w:rPr>
          <w:rFonts w:eastAsia="MS Mincho" w:cs="Arial"/>
          <w:szCs w:val="16"/>
        </w:rPr>
        <w:t>, in line with</w:t>
      </w:r>
      <w:r w:rsidR="00395FBA" w:rsidRPr="00395FBA">
        <w:t xml:space="preserve"> </w:t>
      </w:r>
      <w:r w:rsidR="00395FBA" w:rsidRPr="00395FBA">
        <w:rPr>
          <w:rFonts w:eastAsia="MS Mincho" w:cs="Arial"/>
          <w:szCs w:val="16"/>
        </w:rPr>
        <w:t>the Group’s strategic focus</w:t>
      </w:r>
      <w:r w:rsidR="00395FBA">
        <w:rPr>
          <w:rFonts w:eastAsia="MS Mincho" w:cs="Arial"/>
          <w:szCs w:val="16"/>
        </w:rPr>
        <w:t>.</w:t>
      </w:r>
    </w:p>
    <w:p w14:paraId="695E1F80" w14:textId="77777777" w:rsidR="002B531F" w:rsidRPr="00EF5371" w:rsidRDefault="002B531F" w:rsidP="00D43DB1">
      <w:pPr>
        <w:spacing w:line="276" w:lineRule="auto"/>
        <w:rPr>
          <w:rFonts w:eastAsia="MS Mincho" w:cs="Arial"/>
          <w:szCs w:val="16"/>
        </w:rPr>
      </w:pPr>
    </w:p>
    <w:p w14:paraId="09476636" w14:textId="2F4F7230" w:rsidR="00D43DB1" w:rsidRDefault="00D43DB1" w:rsidP="00D43DB1">
      <w:pPr>
        <w:spacing w:line="276" w:lineRule="auto"/>
        <w:rPr>
          <w:rFonts w:eastAsia="MS Mincho" w:cs="Arial"/>
          <w:szCs w:val="16"/>
        </w:rPr>
      </w:pPr>
      <w:r w:rsidRPr="00EF5371">
        <w:rPr>
          <w:rFonts w:eastAsia="MS Mincho" w:cs="Arial"/>
          <w:szCs w:val="16"/>
        </w:rPr>
        <w:t>Adjusted operating profit declined to £</w:t>
      </w:r>
      <w:r w:rsidR="00771CFA" w:rsidRPr="00EF5371">
        <w:rPr>
          <w:rFonts w:eastAsia="MS Mincho" w:cs="Arial"/>
          <w:szCs w:val="16"/>
        </w:rPr>
        <w:t>3.1</w:t>
      </w:r>
      <w:r w:rsidRPr="00EF5371">
        <w:rPr>
          <w:rFonts w:eastAsia="MS Mincho" w:cs="Arial"/>
          <w:szCs w:val="16"/>
        </w:rPr>
        <w:t xml:space="preserve"> million (FY2025: £</w:t>
      </w:r>
      <w:r w:rsidR="00771CFA" w:rsidRPr="00EF5371">
        <w:rPr>
          <w:rFonts w:eastAsia="MS Mincho" w:cs="Arial"/>
          <w:szCs w:val="16"/>
        </w:rPr>
        <w:t>5.6</w:t>
      </w:r>
      <w:r w:rsidRPr="00EF5371">
        <w:rPr>
          <w:rFonts w:eastAsia="MS Mincho" w:cs="Arial"/>
          <w:szCs w:val="16"/>
        </w:rPr>
        <w:t xml:space="preserve"> million), with margins of </w:t>
      </w:r>
      <w:r w:rsidR="00771CFA" w:rsidRPr="00EF5371">
        <w:rPr>
          <w:rFonts w:eastAsia="MS Mincho" w:cs="Arial"/>
          <w:szCs w:val="16"/>
        </w:rPr>
        <w:t>3.8</w:t>
      </w:r>
      <w:r w:rsidRPr="00EF5371">
        <w:rPr>
          <w:rFonts w:eastAsia="MS Mincho" w:cs="Arial"/>
          <w:szCs w:val="16"/>
        </w:rPr>
        <w:t xml:space="preserve">% (FY2025: </w:t>
      </w:r>
      <w:r w:rsidR="00771CFA" w:rsidRPr="00EF5371">
        <w:rPr>
          <w:rFonts w:eastAsia="MS Mincho" w:cs="Arial"/>
          <w:szCs w:val="16"/>
        </w:rPr>
        <w:t>5.9</w:t>
      </w:r>
      <w:r w:rsidRPr="00EF5371">
        <w:rPr>
          <w:rFonts w:eastAsia="MS Mincho" w:cs="Arial"/>
          <w:szCs w:val="16"/>
        </w:rPr>
        <w:t>%). The reduction in profitability reflects the impact of lower revenues</w:t>
      </w:r>
      <w:r w:rsidR="00771CFA" w:rsidRPr="00EF5371">
        <w:rPr>
          <w:rFonts w:eastAsia="MS Mincho" w:cs="Arial"/>
          <w:szCs w:val="16"/>
        </w:rPr>
        <w:t xml:space="preserve"> and </w:t>
      </w:r>
      <w:r w:rsidR="00E540B7">
        <w:rPr>
          <w:rFonts w:eastAsia="MS Mincho" w:cs="Arial"/>
          <w:szCs w:val="16"/>
        </w:rPr>
        <w:t xml:space="preserve">unfavourable </w:t>
      </w:r>
      <w:r w:rsidR="00771CFA" w:rsidRPr="00EF5371">
        <w:rPr>
          <w:rFonts w:eastAsia="MS Mincho" w:cs="Arial"/>
          <w:szCs w:val="16"/>
        </w:rPr>
        <w:t>mix</w:t>
      </w:r>
      <w:r w:rsidR="002C2C9F">
        <w:rPr>
          <w:rFonts w:eastAsia="MS Mincho" w:cs="Arial"/>
          <w:szCs w:val="16"/>
        </w:rPr>
        <w:t xml:space="preserve">. </w:t>
      </w:r>
      <w:r w:rsidR="00065865" w:rsidRPr="00065865">
        <w:rPr>
          <w:rFonts w:eastAsia="MS Mincho" w:cs="Arial"/>
          <w:szCs w:val="16"/>
        </w:rPr>
        <w:t>This performance was partially mitigated by cost savings from the prior year closure of the Huizhou site and action to reduce overheads.</w:t>
      </w:r>
    </w:p>
    <w:p w14:paraId="65B885F7" w14:textId="77777777" w:rsidR="00771CFA" w:rsidRPr="00D43DB1" w:rsidRDefault="00771CFA" w:rsidP="00D43DB1">
      <w:pPr>
        <w:spacing w:line="276" w:lineRule="auto"/>
        <w:rPr>
          <w:rFonts w:eastAsia="MS Mincho" w:cs="Arial"/>
          <w:szCs w:val="16"/>
        </w:rPr>
      </w:pPr>
    </w:p>
    <w:p w14:paraId="20962579" w14:textId="2C007F9D" w:rsidR="00D43DB1" w:rsidRDefault="00D43DB1" w:rsidP="00D43DB1">
      <w:pPr>
        <w:spacing w:line="276" w:lineRule="auto"/>
        <w:rPr>
          <w:rFonts w:eastAsia="MS Mincho" w:cs="Arial"/>
          <w:szCs w:val="16"/>
        </w:rPr>
      </w:pPr>
      <w:r w:rsidRPr="00D43DB1">
        <w:rPr>
          <w:rFonts w:eastAsia="MS Mincho" w:cs="Arial"/>
          <w:szCs w:val="16"/>
        </w:rPr>
        <w:t>During the year, DG UK made progress against its strategic priorities</w:t>
      </w:r>
      <w:r w:rsidR="00C77F8E">
        <w:rPr>
          <w:rFonts w:eastAsia="MS Mincho" w:cs="Arial"/>
          <w:szCs w:val="16"/>
        </w:rPr>
        <w:t xml:space="preserve">, with a focus on product diversification and </w:t>
      </w:r>
      <w:r w:rsidR="00755417">
        <w:rPr>
          <w:rFonts w:eastAsia="MS Mincho" w:cs="Arial"/>
          <w:szCs w:val="16"/>
        </w:rPr>
        <w:t>p</w:t>
      </w:r>
      <w:r w:rsidR="00C77F8E">
        <w:rPr>
          <w:rFonts w:eastAsia="MS Mincho" w:cs="Arial"/>
          <w:szCs w:val="16"/>
        </w:rPr>
        <w:t xml:space="preserve">remiumisation, including expansion into </w:t>
      </w:r>
      <w:r w:rsidRPr="00D43DB1">
        <w:rPr>
          <w:rFonts w:eastAsia="MS Mincho" w:cs="Arial"/>
          <w:szCs w:val="16"/>
        </w:rPr>
        <w:t>higher</w:t>
      </w:r>
      <w:r w:rsidR="00C13812">
        <w:rPr>
          <w:rFonts w:eastAsia="MS Mincho" w:cs="Arial"/>
          <w:szCs w:val="16"/>
        </w:rPr>
        <w:t xml:space="preserve"> price-point </w:t>
      </w:r>
      <w:r w:rsidRPr="00D43DB1">
        <w:rPr>
          <w:rFonts w:eastAsia="MS Mincho" w:cs="Arial"/>
          <w:szCs w:val="16"/>
        </w:rPr>
        <w:t xml:space="preserve">categories. Investment in commercial capability was a key focus, supported by </w:t>
      </w:r>
      <w:r w:rsidR="0096789D">
        <w:rPr>
          <w:rFonts w:eastAsia="MS Mincho" w:cs="Arial"/>
          <w:szCs w:val="16"/>
        </w:rPr>
        <w:t xml:space="preserve">the </w:t>
      </w:r>
      <w:r w:rsidR="00337A37">
        <w:rPr>
          <w:rFonts w:eastAsia="MS Mincho" w:cs="Arial"/>
          <w:szCs w:val="16"/>
        </w:rPr>
        <w:t xml:space="preserve">increased </w:t>
      </w:r>
      <w:r w:rsidRPr="00D43DB1">
        <w:rPr>
          <w:rFonts w:eastAsia="MS Mincho" w:cs="Arial"/>
          <w:szCs w:val="16"/>
        </w:rPr>
        <w:t>use of market insight and data</w:t>
      </w:r>
      <w:r w:rsidRPr="00D43DB1">
        <w:rPr>
          <w:rFonts w:ascii="Cambria Math" w:eastAsia="MS Mincho" w:hAnsi="Cambria Math" w:cs="Cambria Math"/>
          <w:szCs w:val="16"/>
        </w:rPr>
        <w:t>‑</w:t>
      </w:r>
      <w:r w:rsidRPr="00D43DB1">
        <w:rPr>
          <w:rFonts w:eastAsia="MS Mincho" w:cs="Arial"/>
          <w:szCs w:val="16"/>
        </w:rPr>
        <w:t>driven decision</w:t>
      </w:r>
      <w:r w:rsidR="00DD3256">
        <w:rPr>
          <w:rFonts w:eastAsia="MS Mincho" w:cs="Arial"/>
          <w:szCs w:val="16"/>
        </w:rPr>
        <w:t>-</w:t>
      </w:r>
      <w:r w:rsidRPr="00D43DB1">
        <w:rPr>
          <w:rFonts w:eastAsia="MS Mincho" w:cs="Arial"/>
          <w:szCs w:val="16"/>
        </w:rPr>
        <w:t>making, alongside targeted investment in people through initiatives such as the Commercial Academy</w:t>
      </w:r>
      <w:r w:rsidR="00340B87">
        <w:rPr>
          <w:rFonts w:eastAsia="MS Mincho" w:cs="Arial"/>
          <w:szCs w:val="16"/>
        </w:rPr>
        <w:t>,</w:t>
      </w:r>
      <w:r w:rsidRPr="00D43DB1">
        <w:rPr>
          <w:rFonts w:eastAsia="MS Mincho" w:cs="Arial"/>
          <w:szCs w:val="16"/>
        </w:rPr>
        <w:t xml:space="preserve"> strengthening the organisation’s ability to execute against its strategy.</w:t>
      </w:r>
      <w:r w:rsidR="00B20E55">
        <w:rPr>
          <w:rFonts w:eastAsia="MS Mincho" w:cs="Arial"/>
          <w:szCs w:val="16"/>
        </w:rPr>
        <w:t xml:space="preserve"> </w:t>
      </w:r>
      <w:r w:rsidRPr="00D43DB1">
        <w:rPr>
          <w:rFonts w:eastAsia="MS Mincho" w:cs="Arial"/>
          <w:szCs w:val="16"/>
        </w:rPr>
        <w:t>In</w:t>
      </w:r>
      <w:r w:rsidR="00340B87">
        <w:rPr>
          <w:rFonts w:eastAsia="MS Mincho" w:cs="Arial"/>
          <w:szCs w:val="16"/>
        </w:rPr>
        <w:t xml:space="preserve"> </w:t>
      </w:r>
      <w:r w:rsidRPr="00D43DB1">
        <w:rPr>
          <w:rFonts w:eastAsia="MS Mincho" w:cs="Arial"/>
          <w:szCs w:val="16"/>
        </w:rPr>
        <w:t>addition, the business progressed a number of operational and technology initiatives, including the development of a B2B ordering platform, designed to improve customer engagement, streamline ordering processes and enhance service levels. While the full benefit of these initiatives will be realised over time, they represent important steps in modernising the operating model and supporting future growth.</w:t>
      </w:r>
    </w:p>
    <w:p w14:paraId="5CBD878A" w14:textId="77777777" w:rsidR="00B20E55" w:rsidRPr="00D43DB1" w:rsidRDefault="00B20E55" w:rsidP="00D43DB1">
      <w:pPr>
        <w:spacing w:line="276" w:lineRule="auto"/>
        <w:rPr>
          <w:rFonts w:eastAsia="MS Mincho" w:cs="Arial"/>
          <w:szCs w:val="16"/>
        </w:rPr>
      </w:pPr>
    </w:p>
    <w:p w14:paraId="3CE201D4" w14:textId="5154BE3C" w:rsidR="00E60915" w:rsidRDefault="00D43DB1" w:rsidP="00D43DB1">
      <w:pPr>
        <w:spacing w:line="276" w:lineRule="auto"/>
        <w:rPr>
          <w:rFonts w:eastAsia="MS Mincho" w:cs="Arial"/>
          <w:szCs w:val="16"/>
        </w:rPr>
      </w:pPr>
      <w:r w:rsidRPr="00D43DB1">
        <w:rPr>
          <w:rFonts w:eastAsia="MS Mincho" w:cs="Arial"/>
          <w:szCs w:val="16"/>
        </w:rPr>
        <w:t>Looking ahead, DG UK remains focused on delivering product diversification</w:t>
      </w:r>
      <w:r w:rsidR="0040743A">
        <w:rPr>
          <w:rFonts w:eastAsia="MS Mincho" w:cs="Arial"/>
          <w:szCs w:val="16"/>
        </w:rPr>
        <w:t>, premiumisation</w:t>
      </w:r>
      <w:r w:rsidRPr="00D43DB1">
        <w:rPr>
          <w:rFonts w:eastAsia="MS Mincho" w:cs="Arial"/>
          <w:szCs w:val="16"/>
        </w:rPr>
        <w:t xml:space="preserve"> and customer expansion, supported by strengthened commercial capability</w:t>
      </w:r>
      <w:r w:rsidR="007341F9">
        <w:rPr>
          <w:rFonts w:eastAsia="MS Mincho" w:cs="Arial"/>
          <w:szCs w:val="16"/>
        </w:rPr>
        <w:t>.</w:t>
      </w:r>
      <w:r w:rsidRPr="00D43DB1">
        <w:rPr>
          <w:rFonts w:eastAsia="MS Mincho" w:cs="Arial"/>
          <w:szCs w:val="16"/>
        </w:rPr>
        <w:t xml:space="preserve"> Alongside this, the business </w:t>
      </w:r>
      <w:r w:rsidR="009A48CF">
        <w:rPr>
          <w:rFonts w:eastAsia="MS Mincho" w:cs="Arial"/>
          <w:szCs w:val="16"/>
        </w:rPr>
        <w:t>is</w:t>
      </w:r>
      <w:r w:rsidRPr="00D43DB1">
        <w:rPr>
          <w:rFonts w:eastAsia="MS Mincho" w:cs="Arial"/>
          <w:szCs w:val="16"/>
        </w:rPr>
        <w:t xml:space="preserve"> committed to</w:t>
      </w:r>
      <w:r w:rsidR="00E60915">
        <w:rPr>
          <w:rFonts w:eastAsia="MS Mincho" w:cs="Arial"/>
          <w:szCs w:val="16"/>
        </w:rPr>
        <w:t xml:space="preserve"> </w:t>
      </w:r>
      <w:r w:rsidR="0009243F">
        <w:rPr>
          <w:rFonts w:eastAsia="MS Mincho" w:cs="Arial"/>
          <w:szCs w:val="16"/>
        </w:rPr>
        <w:t>building</w:t>
      </w:r>
      <w:r w:rsidR="007341F9">
        <w:rPr>
          <w:rFonts w:eastAsia="MS Mincho" w:cs="Arial"/>
          <w:szCs w:val="16"/>
        </w:rPr>
        <w:t xml:space="preserve"> </w:t>
      </w:r>
      <w:r w:rsidR="00E60915" w:rsidRPr="00E60915">
        <w:rPr>
          <w:rFonts w:eastAsia="MS Mincho" w:cs="Arial"/>
          <w:szCs w:val="16"/>
        </w:rPr>
        <w:t xml:space="preserve">a leaner, more commercially effective </w:t>
      </w:r>
      <w:r w:rsidR="0009243F">
        <w:rPr>
          <w:rFonts w:eastAsia="MS Mincho" w:cs="Arial"/>
          <w:szCs w:val="16"/>
        </w:rPr>
        <w:t>operating model,</w:t>
      </w:r>
      <w:r w:rsidR="00E60915" w:rsidRPr="00E60915">
        <w:rPr>
          <w:rFonts w:eastAsia="MS Mincho" w:cs="Arial"/>
          <w:szCs w:val="16"/>
        </w:rPr>
        <w:t xml:space="preserve"> simplifying core processes, sharpening </w:t>
      </w:r>
      <w:r w:rsidR="0009243F">
        <w:rPr>
          <w:rFonts w:eastAsia="MS Mincho" w:cs="Arial"/>
          <w:szCs w:val="16"/>
        </w:rPr>
        <w:t xml:space="preserve">the </w:t>
      </w:r>
      <w:r w:rsidR="00E60915" w:rsidRPr="00E60915">
        <w:rPr>
          <w:rFonts w:eastAsia="MS Mincho" w:cs="Arial"/>
          <w:szCs w:val="16"/>
        </w:rPr>
        <w:t xml:space="preserve">cost base, and </w:t>
      </w:r>
      <w:r w:rsidR="0009243F">
        <w:rPr>
          <w:rFonts w:eastAsia="MS Mincho" w:cs="Arial"/>
          <w:szCs w:val="16"/>
        </w:rPr>
        <w:t>enabling</w:t>
      </w:r>
      <w:r w:rsidR="00E60915" w:rsidRPr="00E60915">
        <w:rPr>
          <w:rFonts w:eastAsia="MS Mincho" w:cs="Arial"/>
          <w:szCs w:val="16"/>
        </w:rPr>
        <w:t xml:space="preserve"> reinvestment to accelerate </w:t>
      </w:r>
      <w:r w:rsidR="006607B0">
        <w:rPr>
          <w:rFonts w:eastAsia="MS Mincho" w:cs="Arial"/>
          <w:szCs w:val="16"/>
        </w:rPr>
        <w:t xml:space="preserve">sustainable, </w:t>
      </w:r>
      <w:r w:rsidR="00E60915" w:rsidRPr="00E60915">
        <w:rPr>
          <w:rFonts w:eastAsia="MS Mincho" w:cs="Arial"/>
          <w:szCs w:val="16"/>
        </w:rPr>
        <w:t>profitable growth.</w:t>
      </w:r>
      <w:r w:rsidR="001F56F8">
        <w:rPr>
          <w:rFonts w:eastAsia="MS Mincho" w:cs="Arial"/>
          <w:szCs w:val="16"/>
        </w:rPr>
        <w:t xml:space="preserve"> </w:t>
      </w:r>
    </w:p>
    <w:p w14:paraId="1771DDC6" w14:textId="17F50F40" w:rsidR="008858D5" w:rsidRPr="00B8452B" w:rsidRDefault="008858D5" w:rsidP="00205E5C">
      <w:pPr>
        <w:spacing w:line="276" w:lineRule="auto"/>
        <w:rPr>
          <w:rFonts w:eastAsia="MS Mincho" w:cs="Arial"/>
          <w:b/>
          <w:szCs w:val="16"/>
        </w:rPr>
      </w:pPr>
    </w:p>
    <w:p w14:paraId="63B82618" w14:textId="77777777" w:rsidR="00205E5C" w:rsidRPr="00327FAA" w:rsidRDefault="00205E5C" w:rsidP="00327FAA">
      <w:pPr>
        <w:pStyle w:val="Heading3"/>
        <w:rPr>
          <w:b w:val="0"/>
          <w:szCs w:val="16"/>
        </w:rPr>
      </w:pPr>
      <w:r w:rsidRPr="00327FAA">
        <w:rPr>
          <w:sz w:val="16"/>
          <w:szCs w:val="16"/>
        </w:rPr>
        <w:t xml:space="preserve">DG Australia </w:t>
      </w:r>
    </w:p>
    <w:p w14:paraId="5038B1C6" w14:textId="199B452B" w:rsidR="00205E5C" w:rsidRPr="00992B74" w:rsidRDefault="00205E5C" w:rsidP="00205E5C">
      <w:pPr>
        <w:spacing w:line="276" w:lineRule="auto"/>
        <w:rPr>
          <w:rFonts w:eastAsia="MS Mincho" w:cs="Arial"/>
          <w:i/>
          <w:iCs/>
          <w:szCs w:val="16"/>
        </w:rPr>
      </w:pPr>
      <w:r w:rsidRPr="00992B74">
        <w:rPr>
          <w:rFonts w:eastAsia="MS Mincho" w:cs="Arial"/>
          <w:i/>
          <w:iCs/>
          <w:szCs w:val="16"/>
        </w:rPr>
        <w:t>DG Australia operates a warehouse facility and sources all of its products, with no in-country manufacturing. The business is focused predominantly on the Celebrate category, offering a wide range of Everyday products including partyware, cards, and giftwrap. Key sales channels include independent retailers and national retail chains, supported by an extensive SKU portfolio.</w:t>
      </w:r>
    </w:p>
    <w:p w14:paraId="010C86DF" w14:textId="77777777" w:rsidR="00205E5C" w:rsidRPr="00B8452B" w:rsidRDefault="00205E5C" w:rsidP="00205E5C">
      <w:pPr>
        <w:spacing w:line="276" w:lineRule="auto"/>
        <w:rPr>
          <w:rFonts w:eastAsia="MS Mincho" w:cs="Arial"/>
          <w:szCs w:val="16"/>
        </w:rPr>
      </w:pPr>
    </w:p>
    <w:p w14:paraId="622E0E06" w14:textId="2A2C7A23" w:rsidR="00F64C8C" w:rsidRDefault="00A65B45" w:rsidP="00F64C8C">
      <w:pPr>
        <w:spacing w:line="276" w:lineRule="auto"/>
        <w:rPr>
          <w:rFonts w:eastAsia="MS Mincho" w:cs="Arial"/>
          <w:szCs w:val="16"/>
        </w:rPr>
      </w:pPr>
      <w:r>
        <w:rPr>
          <w:rFonts w:eastAsia="MS Mincho" w:cs="Arial"/>
          <w:szCs w:val="16"/>
        </w:rPr>
        <w:lastRenderedPageBreak/>
        <w:t xml:space="preserve">DG Australia makes up 15% of Group revenue and </w:t>
      </w:r>
      <w:r w:rsidR="00FB4365">
        <w:rPr>
          <w:rFonts w:eastAsia="MS Mincho" w:cs="Arial"/>
          <w:szCs w:val="16"/>
        </w:rPr>
        <w:t>delivered a solid</w:t>
      </w:r>
      <w:r>
        <w:rPr>
          <w:rFonts w:eastAsia="MS Mincho" w:cs="Arial"/>
          <w:szCs w:val="16"/>
        </w:rPr>
        <w:t xml:space="preserve"> </w:t>
      </w:r>
      <w:r w:rsidR="00FB4365">
        <w:rPr>
          <w:rFonts w:eastAsia="MS Mincho" w:cs="Arial"/>
          <w:szCs w:val="16"/>
        </w:rPr>
        <w:t xml:space="preserve">performance during the </w:t>
      </w:r>
      <w:r>
        <w:rPr>
          <w:rFonts w:eastAsia="MS Mincho" w:cs="Arial"/>
          <w:szCs w:val="16"/>
        </w:rPr>
        <w:t xml:space="preserve">year. </w:t>
      </w:r>
      <w:r w:rsidR="00F64C8C" w:rsidRPr="00F64C8C">
        <w:rPr>
          <w:rFonts w:eastAsia="MS Mincho" w:cs="Arial"/>
          <w:szCs w:val="16"/>
        </w:rPr>
        <w:t xml:space="preserve">Revenue </w:t>
      </w:r>
      <w:r>
        <w:rPr>
          <w:rFonts w:eastAsia="MS Mincho" w:cs="Arial"/>
          <w:szCs w:val="16"/>
        </w:rPr>
        <w:t xml:space="preserve">of </w:t>
      </w:r>
      <w:r w:rsidR="007B5C7A">
        <w:rPr>
          <w:rFonts w:eastAsia="MS Mincho" w:cs="Arial"/>
          <w:szCs w:val="16"/>
        </w:rPr>
        <w:t>£33.5</w:t>
      </w:r>
      <w:r w:rsidR="00F64C8C" w:rsidRPr="00F64C8C">
        <w:rPr>
          <w:rFonts w:eastAsia="MS Mincho" w:cs="Arial"/>
          <w:szCs w:val="16"/>
        </w:rPr>
        <w:t xml:space="preserve"> million (FY2025: </w:t>
      </w:r>
      <w:r w:rsidR="007B5C7A">
        <w:rPr>
          <w:rFonts w:eastAsia="MS Mincho" w:cs="Arial"/>
          <w:szCs w:val="16"/>
        </w:rPr>
        <w:t>£31.6</w:t>
      </w:r>
      <w:r w:rsidR="00F64C8C" w:rsidRPr="00F64C8C">
        <w:rPr>
          <w:rFonts w:eastAsia="MS Mincho" w:cs="Arial"/>
          <w:szCs w:val="16"/>
        </w:rPr>
        <w:t xml:space="preserve"> million), represent</w:t>
      </w:r>
      <w:r w:rsidR="007B5C7A">
        <w:rPr>
          <w:rFonts w:eastAsia="MS Mincho" w:cs="Arial"/>
          <w:szCs w:val="16"/>
        </w:rPr>
        <w:t>s</w:t>
      </w:r>
      <w:r w:rsidR="00F64C8C" w:rsidRPr="00F64C8C">
        <w:rPr>
          <w:rFonts w:eastAsia="MS Mincho" w:cs="Arial"/>
          <w:szCs w:val="16"/>
        </w:rPr>
        <w:t xml:space="preserve"> growth of </w:t>
      </w:r>
      <w:r w:rsidR="007B5C7A">
        <w:rPr>
          <w:rFonts w:eastAsia="MS Mincho" w:cs="Arial"/>
          <w:szCs w:val="16"/>
        </w:rPr>
        <w:t>6</w:t>
      </w:r>
      <w:r w:rsidR="00F64C8C" w:rsidRPr="00F64C8C">
        <w:rPr>
          <w:rFonts w:eastAsia="MS Mincho" w:cs="Arial"/>
          <w:szCs w:val="16"/>
        </w:rPr>
        <w:t>% year</w:t>
      </w:r>
      <w:r w:rsidR="00F64C8C" w:rsidRPr="00F64C8C">
        <w:rPr>
          <w:rFonts w:ascii="Cambria Math" w:eastAsia="MS Mincho" w:hAnsi="Cambria Math" w:cs="Cambria Math"/>
          <w:szCs w:val="16"/>
        </w:rPr>
        <w:t>‑</w:t>
      </w:r>
      <w:r w:rsidR="00F64C8C" w:rsidRPr="00F64C8C">
        <w:rPr>
          <w:rFonts w:eastAsia="MS Mincho" w:cs="Arial"/>
          <w:szCs w:val="16"/>
        </w:rPr>
        <w:t>on</w:t>
      </w:r>
      <w:r w:rsidR="00F64C8C" w:rsidRPr="00F64C8C">
        <w:rPr>
          <w:rFonts w:ascii="Cambria Math" w:eastAsia="MS Mincho" w:hAnsi="Cambria Math" w:cs="Cambria Math"/>
          <w:szCs w:val="16"/>
        </w:rPr>
        <w:t>‑</w:t>
      </w:r>
      <w:r w:rsidR="00F64C8C" w:rsidRPr="00F64C8C">
        <w:rPr>
          <w:rFonts w:eastAsia="MS Mincho" w:cs="Arial"/>
          <w:szCs w:val="16"/>
        </w:rPr>
        <w:t>year, reflecting a strong performance across all sales channels and product categories. Growth was particularly evident within party, gift packaging and craft, supported by continued customer demand and effective execution across both national and independent accounts.</w:t>
      </w:r>
    </w:p>
    <w:p w14:paraId="7BDC19F7" w14:textId="77777777" w:rsidR="00CD5C67" w:rsidRPr="00F64C8C" w:rsidRDefault="00CD5C67" w:rsidP="00F64C8C">
      <w:pPr>
        <w:spacing w:line="276" w:lineRule="auto"/>
        <w:rPr>
          <w:rFonts w:eastAsia="MS Mincho" w:cs="Arial"/>
          <w:szCs w:val="16"/>
        </w:rPr>
      </w:pPr>
    </w:p>
    <w:p w14:paraId="278C437E" w14:textId="410BA679" w:rsidR="00A47265" w:rsidRPr="00A47265" w:rsidRDefault="00F64C8C" w:rsidP="00A47265">
      <w:pPr>
        <w:spacing w:line="276" w:lineRule="auto"/>
        <w:rPr>
          <w:rFonts w:eastAsia="MS Mincho" w:cs="Arial"/>
          <w:szCs w:val="16"/>
        </w:rPr>
      </w:pPr>
      <w:r w:rsidRPr="00F64C8C">
        <w:rPr>
          <w:rFonts w:eastAsia="MS Mincho" w:cs="Arial"/>
          <w:szCs w:val="16"/>
        </w:rPr>
        <w:t xml:space="preserve">Adjusted operating profit increased to </w:t>
      </w:r>
      <w:r w:rsidR="00CD5C67">
        <w:rPr>
          <w:rFonts w:eastAsia="MS Mincho" w:cs="Arial"/>
          <w:szCs w:val="16"/>
        </w:rPr>
        <w:t>£1.8</w:t>
      </w:r>
      <w:r w:rsidRPr="00F64C8C">
        <w:rPr>
          <w:rFonts w:eastAsia="MS Mincho" w:cs="Arial"/>
          <w:szCs w:val="16"/>
        </w:rPr>
        <w:t xml:space="preserve"> million (FY2025: </w:t>
      </w:r>
      <w:r w:rsidR="00CD5C67">
        <w:rPr>
          <w:rFonts w:eastAsia="MS Mincho" w:cs="Arial"/>
          <w:szCs w:val="16"/>
        </w:rPr>
        <w:t>£1.6</w:t>
      </w:r>
      <w:r w:rsidRPr="00F64C8C">
        <w:rPr>
          <w:rFonts w:eastAsia="MS Mincho" w:cs="Arial"/>
          <w:szCs w:val="16"/>
        </w:rPr>
        <w:t xml:space="preserve"> million), with margins</w:t>
      </w:r>
      <w:r w:rsidR="0024380B">
        <w:rPr>
          <w:rFonts w:eastAsia="MS Mincho" w:cs="Arial"/>
          <w:szCs w:val="16"/>
        </w:rPr>
        <w:t xml:space="preserve"> consistent at 5.2%</w:t>
      </w:r>
      <w:r w:rsidR="002A3310">
        <w:rPr>
          <w:rFonts w:eastAsia="MS Mincho" w:cs="Arial"/>
          <w:szCs w:val="16"/>
        </w:rPr>
        <w:t xml:space="preserve">, reflecting </w:t>
      </w:r>
      <w:r w:rsidR="00A47265" w:rsidRPr="00A47265">
        <w:rPr>
          <w:rFonts w:eastAsia="MS Mincho" w:cs="Arial"/>
          <w:szCs w:val="16"/>
        </w:rPr>
        <w:t>the benefit of higher sales volumes, which more than offset the impact of increased costs associated with the new warehouse.</w:t>
      </w:r>
    </w:p>
    <w:p w14:paraId="0B1FE3E5" w14:textId="77777777" w:rsidR="0024380B" w:rsidRPr="00F64C8C" w:rsidRDefault="0024380B" w:rsidP="00F64C8C">
      <w:pPr>
        <w:spacing w:line="276" w:lineRule="auto"/>
        <w:rPr>
          <w:rFonts w:eastAsia="MS Mincho" w:cs="Arial"/>
          <w:szCs w:val="16"/>
        </w:rPr>
      </w:pPr>
    </w:p>
    <w:p w14:paraId="15D89010" w14:textId="07564ADD" w:rsidR="000A2E19" w:rsidRDefault="00F64C8C" w:rsidP="00F64C8C">
      <w:pPr>
        <w:spacing w:line="276" w:lineRule="auto"/>
        <w:rPr>
          <w:rFonts w:eastAsia="MS Mincho" w:cs="Arial"/>
          <w:szCs w:val="16"/>
        </w:rPr>
      </w:pPr>
      <w:r w:rsidRPr="00F64C8C">
        <w:rPr>
          <w:rFonts w:eastAsia="MS Mincho" w:cs="Arial"/>
          <w:szCs w:val="16"/>
        </w:rPr>
        <w:t xml:space="preserve">The new warehouse, </w:t>
      </w:r>
      <w:r w:rsidR="005F1683">
        <w:rPr>
          <w:rFonts w:eastAsia="MS Mincho" w:cs="Arial"/>
          <w:szCs w:val="16"/>
        </w:rPr>
        <w:t>relocated</w:t>
      </w:r>
      <w:r w:rsidRPr="00F64C8C">
        <w:rPr>
          <w:rFonts w:eastAsia="MS Mincho" w:cs="Arial"/>
          <w:szCs w:val="16"/>
        </w:rPr>
        <w:t xml:space="preserve"> following the expiration of the prior lease, represents a step</w:t>
      </w:r>
      <w:r w:rsidR="00536F35">
        <w:rPr>
          <w:rFonts w:ascii="Cambria Math" w:eastAsia="MS Mincho" w:hAnsi="Cambria Math" w:cs="Cambria Math"/>
          <w:szCs w:val="16"/>
        </w:rPr>
        <w:t xml:space="preserve"> </w:t>
      </w:r>
      <w:r w:rsidRPr="00F64C8C">
        <w:rPr>
          <w:rFonts w:eastAsia="MS Mincho" w:cs="Arial"/>
          <w:szCs w:val="16"/>
        </w:rPr>
        <w:t xml:space="preserve">change in operational capability for the business. </w:t>
      </w:r>
      <w:r w:rsidR="000A2E19" w:rsidRPr="000A2E19">
        <w:rPr>
          <w:rFonts w:eastAsia="MS Mincho" w:cs="Arial"/>
          <w:szCs w:val="16"/>
        </w:rPr>
        <w:t>While the move has resulted in higher fixed costs, reflecting current market rental conditions, this was largely absorbed through strong trading performance. The facility provides additional capacity and is already being utilised to support increased sales volumes and improved service levels.</w:t>
      </w:r>
    </w:p>
    <w:p w14:paraId="258A4DDC" w14:textId="77777777" w:rsidR="000A2E19" w:rsidRDefault="000A2E19" w:rsidP="00F64C8C">
      <w:pPr>
        <w:spacing w:line="276" w:lineRule="auto"/>
        <w:rPr>
          <w:rFonts w:eastAsia="MS Mincho" w:cs="Arial"/>
          <w:szCs w:val="16"/>
        </w:rPr>
      </w:pPr>
    </w:p>
    <w:p w14:paraId="724538B5" w14:textId="3FC23E60" w:rsidR="000B2973" w:rsidRDefault="001E6C4C" w:rsidP="000B2973">
      <w:pPr>
        <w:spacing w:line="276" w:lineRule="auto"/>
        <w:rPr>
          <w:rFonts w:eastAsia="MS Mincho" w:cs="Arial"/>
          <w:szCs w:val="16"/>
        </w:rPr>
      </w:pPr>
      <w:r w:rsidRPr="001E6C4C">
        <w:rPr>
          <w:rFonts w:eastAsia="MS Mincho" w:cs="Arial"/>
          <w:szCs w:val="16"/>
        </w:rPr>
        <w:t xml:space="preserve">During the year, the business secured a new distribution agreement with Hinkler Books, representing </w:t>
      </w:r>
      <w:r w:rsidR="000B2973" w:rsidRPr="000B2973">
        <w:rPr>
          <w:rFonts w:eastAsia="MS Mincho" w:cs="Arial"/>
          <w:szCs w:val="16"/>
        </w:rPr>
        <w:t>a strategically aligned expansion into a complementary product category</w:t>
      </w:r>
      <w:r w:rsidR="000266EA">
        <w:rPr>
          <w:rFonts w:eastAsia="MS Mincho" w:cs="Arial"/>
          <w:szCs w:val="16"/>
        </w:rPr>
        <w:t>.</w:t>
      </w:r>
      <w:r w:rsidR="001C5FBF">
        <w:rPr>
          <w:rFonts w:eastAsia="MS Mincho" w:cs="Arial"/>
          <w:szCs w:val="16"/>
        </w:rPr>
        <w:t xml:space="preserve"> </w:t>
      </w:r>
      <w:r w:rsidR="001C5FBF" w:rsidRPr="001C5FBF">
        <w:rPr>
          <w:rFonts w:eastAsia="MS Mincho" w:cs="Arial"/>
          <w:szCs w:val="16"/>
        </w:rPr>
        <w:t>The partnership enables the Group to broaden its product offering into existing customers</w:t>
      </w:r>
      <w:r w:rsidR="009C23D0">
        <w:rPr>
          <w:rFonts w:eastAsia="MS Mincho" w:cs="Arial"/>
          <w:szCs w:val="16"/>
        </w:rPr>
        <w:t>,</w:t>
      </w:r>
      <w:r w:rsidR="001C5FBF">
        <w:rPr>
          <w:rFonts w:eastAsia="MS Mincho" w:cs="Arial"/>
          <w:szCs w:val="16"/>
        </w:rPr>
        <w:t xml:space="preserve"> across both the Independents and Nationals channel</w:t>
      </w:r>
      <w:r w:rsidR="00341C29">
        <w:rPr>
          <w:rFonts w:eastAsia="MS Mincho" w:cs="Arial"/>
          <w:szCs w:val="16"/>
        </w:rPr>
        <w:t>s</w:t>
      </w:r>
      <w:r w:rsidR="001C5FBF" w:rsidRPr="001C5FBF">
        <w:rPr>
          <w:rFonts w:eastAsia="MS Mincho" w:cs="Arial"/>
          <w:szCs w:val="16"/>
        </w:rPr>
        <w:t>, while also providing access to new customer opportunities, supporting incremental revenue growth. The product range offers attractive margins and enhances the overall customer proposition, aligning with the Group’s focus on diversification.</w:t>
      </w:r>
      <w:r w:rsidR="00D00219">
        <w:rPr>
          <w:rFonts w:eastAsia="MS Mincho" w:cs="Arial"/>
          <w:szCs w:val="16"/>
        </w:rPr>
        <w:t xml:space="preserve"> </w:t>
      </w:r>
      <w:r w:rsidR="00D00219" w:rsidRPr="00D00219">
        <w:rPr>
          <w:rFonts w:eastAsia="MS Mincho" w:cs="Arial"/>
          <w:szCs w:val="16"/>
        </w:rPr>
        <w:t xml:space="preserve">While the contribution in FY2026 was limited, the agreement provides a clear opportunity to utilise the increased capacity of the new, larger warehouse, improving asset utilisation and supporting operational efficiency over time. As volumes scale, Hinkler is expected to be a meaningful contributor to </w:t>
      </w:r>
      <w:r w:rsidR="009C23D0">
        <w:rPr>
          <w:rFonts w:eastAsia="MS Mincho" w:cs="Arial"/>
          <w:szCs w:val="16"/>
        </w:rPr>
        <w:t>growth</w:t>
      </w:r>
      <w:r w:rsidR="00AC4228">
        <w:rPr>
          <w:rFonts w:eastAsia="MS Mincho" w:cs="Arial"/>
          <w:szCs w:val="16"/>
        </w:rPr>
        <w:t xml:space="preserve"> within the segment</w:t>
      </w:r>
      <w:r w:rsidR="009C23D0">
        <w:rPr>
          <w:rFonts w:eastAsia="MS Mincho" w:cs="Arial"/>
          <w:szCs w:val="16"/>
        </w:rPr>
        <w:t>.</w:t>
      </w:r>
    </w:p>
    <w:p w14:paraId="036C1C45" w14:textId="77777777" w:rsidR="001E6C4C" w:rsidRPr="001E6C4C" w:rsidRDefault="001E6C4C" w:rsidP="001E6C4C">
      <w:pPr>
        <w:spacing w:line="276" w:lineRule="auto"/>
        <w:rPr>
          <w:rFonts w:eastAsia="MS Mincho" w:cs="Arial"/>
          <w:szCs w:val="16"/>
        </w:rPr>
      </w:pPr>
    </w:p>
    <w:p w14:paraId="4B5E66B4" w14:textId="3D10A74D" w:rsidR="00F64C8C" w:rsidRDefault="00F64C8C" w:rsidP="00F64C8C">
      <w:pPr>
        <w:spacing w:line="276" w:lineRule="auto"/>
        <w:rPr>
          <w:rFonts w:eastAsia="MS Mincho" w:cs="Arial"/>
          <w:szCs w:val="16"/>
        </w:rPr>
      </w:pPr>
      <w:r w:rsidRPr="00F64C8C">
        <w:rPr>
          <w:rFonts w:eastAsia="MS Mincho" w:cs="Arial"/>
          <w:szCs w:val="16"/>
        </w:rPr>
        <w:t xml:space="preserve">Looking ahead, DG Australia is well positioned to continue its growth trajectory, supported by a strong customer base, expanding product portfolio and enhanced operational infrastructure. The combination of organic category growth, new </w:t>
      </w:r>
      <w:r w:rsidR="00E231C4">
        <w:rPr>
          <w:rFonts w:eastAsia="MS Mincho" w:cs="Arial"/>
          <w:szCs w:val="16"/>
        </w:rPr>
        <w:t>product category</w:t>
      </w:r>
      <w:r w:rsidRPr="00F64C8C">
        <w:rPr>
          <w:rFonts w:eastAsia="MS Mincho" w:cs="Arial"/>
          <w:szCs w:val="16"/>
        </w:rPr>
        <w:t xml:space="preserve"> opportunities such as Hinkler, and improved scale efficiency provides confidence in the segment’s ability to deliver revenue growth and margin progression over the medium term.</w:t>
      </w:r>
    </w:p>
    <w:p w14:paraId="0655C196" w14:textId="77777777" w:rsidR="008858D5" w:rsidRPr="00327FAA" w:rsidRDefault="008858D5" w:rsidP="00327FAA">
      <w:pPr>
        <w:pStyle w:val="Heading2"/>
        <w:rPr>
          <w:b w:val="0"/>
          <w:szCs w:val="16"/>
        </w:rPr>
      </w:pPr>
      <w:r w:rsidRPr="00327FAA">
        <w:rPr>
          <w:sz w:val="16"/>
          <w:szCs w:val="16"/>
        </w:rPr>
        <w:t>Our products, brands and channels</w:t>
      </w:r>
    </w:p>
    <w:p w14:paraId="01AAA322" w14:textId="1482B1F7" w:rsidR="00C72DD7" w:rsidRDefault="00C72DD7" w:rsidP="00C72DD7">
      <w:pPr>
        <w:spacing w:after="240" w:line="276" w:lineRule="auto"/>
        <w:rPr>
          <w:rFonts w:eastAsia="Cambria" w:cs="Arial"/>
          <w:szCs w:val="16"/>
        </w:rPr>
      </w:pPr>
      <w:r w:rsidRPr="00C72DD7">
        <w:rPr>
          <w:rFonts w:eastAsia="Cambria" w:cs="Arial"/>
          <w:szCs w:val="16"/>
        </w:rPr>
        <w:t>The Group continues to be well</w:t>
      </w:r>
      <w:r w:rsidR="000B0F7D">
        <w:rPr>
          <w:rFonts w:ascii="Cambria Math" w:eastAsia="Cambria" w:hAnsi="Cambria Math" w:cs="Cambria Math"/>
          <w:szCs w:val="16"/>
        </w:rPr>
        <w:t xml:space="preserve"> </w:t>
      </w:r>
      <w:r w:rsidRPr="00C72DD7">
        <w:rPr>
          <w:rFonts w:eastAsia="Cambria" w:cs="Arial"/>
          <w:szCs w:val="16"/>
        </w:rPr>
        <w:t>positioned as a partner of choice for retail customers, offering a diverse, yet complementary, product portfolio that supports a wide range of seasonal and everyday propositions. The breadth and depth of the Group’s offering, combined with strong sourcing capabilities and established customer relationships, enable the business to respond effectively to changing customer requirements and consumer demand.</w:t>
      </w:r>
      <w:r w:rsidR="00094F09" w:rsidRPr="00094F09">
        <w:rPr>
          <w:rFonts w:eastAsia="Cambria" w:cs="Arial"/>
          <w:szCs w:val="16"/>
        </w:rPr>
        <w:t xml:space="preserve"> </w:t>
      </w:r>
      <w:r w:rsidR="00094F09">
        <w:rPr>
          <w:rFonts w:eastAsia="Cambria" w:cs="Arial"/>
          <w:szCs w:val="16"/>
        </w:rPr>
        <w:t>T</w:t>
      </w:r>
      <w:r w:rsidR="00094F09" w:rsidRPr="00C72DD7">
        <w:rPr>
          <w:rFonts w:eastAsia="Cambria" w:cs="Arial"/>
          <w:szCs w:val="16"/>
        </w:rPr>
        <w:t>he Group supports customers across multiple channels and geographies, helping them to deliver compelling ranges while managing complexity and cost.</w:t>
      </w:r>
      <w:r w:rsidR="00F63130">
        <w:rPr>
          <w:rFonts w:eastAsia="Cambria" w:cs="Arial"/>
          <w:szCs w:val="16"/>
        </w:rPr>
        <w:t xml:space="preserve"> </w:t>
      </w:r>
      <w:r w:rsidR="001D5F10">
        <w:rPr>
          <w:rFonts w:eastAsia="Cambria" w:cs="Arial"/>
          <w:szCs w:val="16"/>
        </w:rPr>
        <w:t>The Group’s portfolio enable</w:t>
      </w:r>
      <w:r w:rsidR="00941590">
        <w:rPr>
          <w:rFonts w:eastAsia="Cambria" w:cs="Arial"/>
          <w:szCs w:val="16"/>
        </w:rPr>
        <w:t>s</w:t>
      </w:r>
      <w:r w:rsidR="001D5F10">
        <w:rPr>
          <w:rFonts w:eastAsia="Cambria" w:cs="Arial"/>
          <w:szCs w:val="16"/>
        </w:rPr>
        <w:t xml:space="preserve"> </w:t>
      </w:r>
      <w:r w:rsidR="00094F09" w:rsidRPr="00C72DD7">
        <w:rPr>
          <w:rFonts w:eastAsia="Cambria" w:cs="Arial"/>
          <w:szCs w:val="16"/>
        </w:rPr>
        <w:t>customers to consolidate spend with a trusted supplier while benefit</w:t>
      </w:r>
      <w:r w:rsidR="00BC7EBF">
        <w:rPr>
          <w:rFonts w:eastAsia="Cambria" w:cs="Arial"/>
          <w:szCs w:val="16"/>
        </w:rPr>
        <w:t>t</w:t>
      </w:r>
      <w:r w:rsidR="00094F09" w:rsidRPr="00C72DD7">
        <w:rPr>
          <w:rFonts w:eastAsia="Cambria" w:cs="Arial"/>
          <w:szCs w:val="16"/>
        </w:rPr>
        <w:t>ing from innovation, range extension and consistent service levels.</w:t>
      </w:r>
      <w:r w:rsidR="00094F09">
        <w:rPr>
          <w:rFonts w:eastAsia="Cambria" w:cs="Arial"/>
          <w:szCs w:val="16"/>
        </w:rPr>
        <w:t xml:space="preserve"> </w:t>
      </w:r>
      <w:r w:rsidRPr="00C72DD7">
        <w:rPr>
          <w:rFonts w:eastAsia="Cambria" w:cs="Arial"/>
          <w:szCs w:val="16"/>
        </w:rPr>
        <w:t xml:space="preserve">The Group’s product portfolio is organised around two core commercial themes, Celebrate and Create, </w:t>
      </w:r>
      <w:r w:rsidR="00464E5F">
        <w:rPr>
          <w:rFonts w:eastAsia="Cambria" w:cs="Arial"/>
          <w:szCs w:val="16"/>
        </w:rPr>
        <w:t>with r</w:t>
      </w:r>
      <w:r w:rsidRPr="00C72DD7">
        <w:rPr>
          <w:rFonts w:eastAsia="Cambria" w:cs="Arial"/>
          <w:szCs w:val="16"/>
        </w:rPr>
        <w:t>evenue performance by product category set out below.</w:t>
      </w:r>
    </w:p>
    <w:tbl>
      <w:tblPr>
        <w:tblW w:w="7655" w:type="dxa"/>
        <w:tblLayout w:type="fixed"/>
        <w:tblLook w:val="04A0" w:firstRow="1" w:lastRow="0" w:firstColumn="1" w:lastColumn="0" w:noHBand="0" w:noVBand="1"/>
      </w:tblPr>
      <w:tblGrid>
        <w:gridCol w:w="2716"/>
        <w:gridCol w:w="119"/>
        <w:gridCol w:w="567"/>
        <w:gridCol w:w="34"/>
        <w:gridCol w:w="767"/>
        <w:gridCol w:w="119"/>
        <w:gridCol w:w="34"/>
        <w:gridCol w:w="272"/>
        <w:gridCol w:w="119"/>
        <w:gridCol w:w="34"/>
        <w:gridCol w:w="675"/>
        <w:gridCol w:w="34"/>
        <w:gridCol w:w="825"/>
        <w:gridCol w:w="119"/>
        <w:gridCol w:w="34"/>
        <w:gridCol w:w="84"/>
        <w:gridCol w:w="119"/>
        <w:gridCol w:w="34"/>
        <w:gridCol w:w="950"/>
      </w:tblGrid>
      <w:tr w:rsidR="00572CF1" w:rsidRPr="001A0FEC" w14:paraId="1B06964C" w14:textId="77777777">
        <w:trPr>
          <w:trHeight w:hRule="exact" w:val="20"/>
        </w:trPr>
        <w:tc>
          <w:tcPr>
            <w:tcW w:w="2835" w:type="dxa"/>
            <w:gridSpan w:val="2"/>
            <w:tcBorders>
              <w:top w:val="nil"/>
              <w:left w:val="nil"/>
              <w:bottom w:val="nil"/>
              <w:right w:val="nil"/>
            </w:tcBorders>
            <w:vAlign w:val="center"/>
            <w:hideMark/>
          </w:tcPr>
          <w:p w14:paraId="766D89CA" w14:textId="77777777" w:rsidR="008858D5" w:rsidRPr="00B8452B" w:rsidRDefault="008858D5" w:rsidP="008858D5">
            <w:pPr>
              <w:rPr>
                <w:rFonts w:eastAsia="MS Mincho" w:cs="Arial"/>
                <w:sz w:val="2"/>
              </w:rPr>
            </w:pPr>
            <w:bookmarkStart w:id="7" w:name="_854e3ebd_3554_4bc3_9bcd_19a3193f6f9c"/>
            <w:bookmarkStart w:id="8" w:name="_87816d59_cbef_4a47_a182_de182108e860"/>
            <w:bookmarkEnd w:id="7"/>
          </w:p>
        </w:tc>
        <w:tc>
          <w:tcPr>
            <w:tcW w:w="567" w:type="dxa"/>
            <w:tcBorders>
              <w:top w:val="nil"/>
              <w:left w:val="nil"/>
              <w:bottom w:val="nil"/>
              <w:right w:val="nil"/>
            </w:tcBorders>
            <w:vAlign w:val="center"/>
            <w:hideMark/>
          </w:tcPr>
          <w:p w14:paraId="634C09C2" w14:textId="77777777" w:rsidR="008858D5" w:rsidRPr="00B8452B" w:rsidRDefault="008858D5" w:rsidP="008858D5">
            <w:pPr>
              <w:rPr>
                <w:rFonts w:eastAsia="MS Mincho" w:cs="Arial"/>
                <w:sz w:val="2"/>
              </w:rPr>
            </w:pPr>
          </w:p>
        </w:tc>
        <w:tc>
          <w:tcPr>
            <w:tcW w:w="920" w:type="dxa"/>
            <w:gridSpan w:val="3"/>
            <w:tcBorders>
              <w:top w:val="nil"/>
              <w:left w:val="nil"/>
              <w:bottom w:val="nil"/>
              <w:right w:val="nil"/>
            </w:tcBorders>
            <w:vAlign w:val="center"/>
            <w:hideMark/>
          </w:tcPr>
          <w:p w14:paraId="771F4F95" w14:textId="77777777" w:rsidR="008858D5" w:rsidRPr="00B8452B" w:rsidRDefault="008858D5" w:rsidP="008858D5">
            <w:pPr>
              <w:rPr>
                <w:rFonts w:eastAsia="MS Mincho" w:cs="Arial"/>
                <w:sz w:val="2"/>
              </w:rPr>
            </w:pPr>
          </w:p>
        </w:tc>
        <w:tc>
          <w:tcPr>
            <w:tcW w:w="425" w:type="dxa"/>
            <w:gridSpan w:val="3"/>
            <w:tcBorders>
              <w:top w:val="nil"/>
              <w:left w:val="nil"/>
              <w:bottom w:val="nil"/>
              <w:right w:val="nil"/>
            </w:tcBorders>
            <w:noWrap/>
            <w:vAlign w:val="bottom"/>
            <w:hideMark/>
          </w:tcPr>
          <w:p w14:paraId="073D0DDB" w14:textId="77777777" w:rsidR="008858D5" w:rsidRPr="00B8452B" w:rsidRDefault="008858D5" w:rsidP="008858D5">
            <w:pPr>
              <w:rPr>
                <w:rFonts w:eastAsia="MS Mincho" w:cs="Arial"/>
                <w:sz w:val="2"/>
              </w:rPr>
            </w:pPr>
          </w:p>
        </w:tc>
        <w:tc>
          <w:tcPr>
            <w:tcW w:w="709" w:type="dxa"/>
            <w:gridSpan w:val="2"/>
            <w:tcBorders>
              <w:top w:val="nil"/>
              <w:left w:val="nil"/>
              <w:bottom w:val="nil"/>
              <w:right w:val="nil"/>
            </w:tcBorders>
            <w:vAlign w:val="center"/>
            <w:hideMark/>
          </w:tcPr>
          <w:p w14:paraId="4C492E73" w14:textId="77777777" w:rsidR="008858D5" w:rsidRPr="00B8452B" w:rsidRDefault="008858D5" w:rsidP="008858D5">
            <w:pPr>
              <w:rPr>
                <w:rFonts w:eastAsia="MS Mincho" w:cs="Arial"/>
                <w:sz w:val="2"/>
              </w:rPr>
            </w:pPr>
          </w:p>
        </w:tc>
        <w:tc>
          <w:tcPr>
            <w:tcW w:w="978" w:type="dxa"/>
            <w:gridSpan w:val="3"/>
            <w:tcBorders>
              <w:top w:val="nil"/>
              <w:left w:val="nil"/>
              <w:bottom w:val="nil"/>
              <w:right w:val="nil"/>
            </w:tcBorders>
            <w:vAlign w:val="center"/>
            <w:hideMark/>
          </w:tcPr>
          <w:p w14:paraId="2E87CBD8" w14:textId="77777777" w:rsidR="008858D5" w:rsidRPr="00B8452B" w:rsidRDefault="008858D5" w:rsidP="008858D5">
            <w:pPr>
              <w:rPr>
                <w:rFonts w:eastAsia="MS Mincho" w:cs="Arial"/>
                <w:sz w:val="2"/>
              </w:rPr>
            </w:pPr>
          </w:p>
        </w:tc>
        <w:tc>
          <w:tcPr>
            <w:tcW w:w="237" w:type="dxa"/>
            <w:gridSpan w:val="3"/>
            <w:tcBorders>
              <w:top w:val="nil"/>
              <w:left w:val="nil"/>
              <w:bottom w:val="nil"/>
              <w:right w:val="nil"/>
            </w:tcBorders>
          </w:tcPr>
          <w:p w14:paraId="2AA3DDAF" w14:textId="77777777" w:rsidR="008858D5" w:rsidRPr="00B8452B" w:rsidRDefault="008858D5" w:rsidP="008858D5">
            <w:pPr>
              <w:rPr>
                <w:rFonts w:eastAsia="MS Mincho" w:cs="Arial"/>
                <w:sz w:val="2"/>
              </w:rPr>
            </w:pPr>
          </w:p>
        </w:tc>
        <w:tc>
          <w:tcPr>
            <w:tcW w:w="984" w:type="dxa"/>
            <w:gridSpan w:val="2"/>
            <w:tcBorders>
              <w:top w:val="nil"/>
              <w:left w:val="nil"/>
              <w:bottom w:val="nil"/>
              <w:right w:val="nil"/>
            </w:tcBorders>
          </w:tcPr>
          <w:p w14:paraId="6B7C4F99" w14:textId="77777777" w:rsidR="008858D5" w:rsidRPr="00B8452B" w:rsidRDefault="008858D5" w:rsidP="008858D5">
            <w:pPr>
              <w:rPr>
                <w:rFonts w:eastAsia="MS Mincho" w:cs="Arial"/>
                <w:sz w:val="2"/>
              </w:rPr>
            </w:pPr>
          </w:p>
        </w:tc>
      </w:tr>
      <w:tr w:rsidR="00572CF1" w:rsidRPr="00350B0F" w14:paraId="211B93D1" w14:textId="77777777">
        <w:trPr>
          <w:trHeight w:val="300"/>
        </w:trPr>
        <w:tc>
          <w:tcPr>
            <w:tcW w:w="2716" w:type="dxa"/>
            <w:tcBorders>
              <w:top w:val="nil"/>
              <w:left w:val="nil"/>
              <w:bottom w:val="single" w:sz="4" w:space="0" w:color="55565B"/>
              <w:right w:val="nil"/>
            </w:tcBorders>
            <w:vAlign w:val="center"/>
            <w:hideMark/>
          </w:tcPr>
          <w:p w14:paraId="66C0A2DF" w14:textId="77777777" w:rsidR="008858D5" w:rsidRPr="00350B0F" w:rsidRDefault="008858D5" w:rsidP="008858D5">
            <w:pPr>
              <w:spacing w:line="240" w:lineRule="auto"/>
              <w:rPr>
                <w:rFonts w:eastAsia="Times New Roman" w:cs="Arial"/>
                <w:b/>
                <w:bCs/>
                <w:szCs w:val="16"/>
                <w:lang w:eastAsia="en-GB"/>
              </w:rPr>
            </w:pPr>
            <w:r w:rsidRPr="00350B0F">
              <w:rPr>
                <w:rFonts w:eastAsia="Times New Roman" w:cs="Arial"/>
                <w:b/>
                <w:bCs/>
                <w:szCs w:val="16"/>
                <w:lang w:eastAsia="en-GB"/>
              </w:rPr>
              <w:t>Revenue by product category</w:t>
            </w:r>
          </w:p>
        </w:tc>
        <w:tc>
          <w:tcPr>
            <w:tcW w:w="1487" w:type="dxa"/>
            <w:gridSpan w:val="4"/>
            <w:tcBorders>
              <w:top w:val="nil"/>
              <w:left w:val="nil"/>
              <w:bottom w:val="single" w:sz="4" w:space="0" w:color="55565B"/>
              <w:right w:val="nil"/>
            </w:tcBorders>
            <w:vAlign w:val="center"/>
            <w:hideMark/>
          </w:tcPr>
          <w:p w14:paraId="073526DF" w14:textId="4AC777FE" w:rsidR="008858D5" w:rsidRPr="005B0EAC" w:rsidRDefault="008858D5"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FY202</w:t>
            </w:r>
            <w:r w:rsidR="005E6BC7" w:rsidRPr="005B0EAC">
              <w:rPr>
                <w:rFonts w:eastAsia="Times New Roman" w:cs="Arial"/>
                <w:b/>
                <w:color w:val="000000" w:themeColor="text1"/>
                <w:szCs w:val="16"/>
                <w:lang w:eastAsia="en-GB"/>
              </w:rPr>
              <w:t>6</w:t>
            </w:r>
          </w:p>
        </w:tc>
        <w:tc>
          <w:tcPr>
            <w:tcW w:w="425" w:type="dxa"/>
            <w:gridSpan w:val="3"/>
            <w:tcBorders>
              <w:top w:val="nil"/>
              <w:left w:val="nil"/>
              <w:bottom w:val="nil"/>
              <w:right w:val="nil"/>
            </w:tcBorders>
            <w:noWrap/>
            <w:vAlign w:val="center"/>
            <w:hideMark/>
          </w:tcPr>
          <w:p w14:paraId="1D20F508" w14:textId="77777777" w:rsidR="008858D5" w:rsidRPr="005B0EAC" w:rsidRDefault="008858D5" w:rsidP="008858D5">
            <w:pPr>
              <w:spacing w:line="240" w:lineRule="auto"/>
              <w:jc w:val="center"/>
              <w:rPr>
                <w:rFonts w:eastAsia="Times New Roman" w:cs="Arial"/>
                <w:b/>
                <w:color w:val="000000" w:themeColor="text1"/>
                <w:szCs w:val="16"/>
                <w:lang w:eastAsia="en-GB"/>
              </w:rPr>
            </w:pPr>
          </w:p>
        </w:tc>
        <w:tc>
          <w:tcPr>
            <w:tcW w:w="1687" w:type="dxa"/>
            <w:gridSpan w:val="5"/>
            <w:tcBorders>
              <w:top w:val="nil"/>
              <w:left w:val="nil"/>
              <w:bottom w:val="single" w:sz="4" w:space="0" w:color="55565B"/>
              <w:right w:val="nil"/>
            </w:tcBorders>
            <w:vAlign w:val="center"/>
            <w:hideMark/>
          </w:tcPr>
          <w:p w14:paraId="1464FA58" w14:textId="4BB2B301" w:rsidR="008858D5" w:rsidRPr="005B0EAC" w:rsidRDefault="008858D5"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FY202</w:t>
            </w:r>
            <w:r w:rsidR="005E6BC7" w:rsidRPr="005B0EAC">
              <w:rPr>
                <w:rFonts w:eastAsia="Times New Roman" w:cs="Arial"/>
                <w:b/>
                <w:color w:val="000000" w:themeColor="text1"/>
                <w:szCs w:val="16"/>
                <w:lang w:eastAsia="en-GB"/>
              </w:rPr>
              <w:t>5</w:t>
            </w:r>
          </w:p>
        </w:tc>
        <w:tc>
          <w:tcPr>
            <w:tcW w:w="237" w:type="dxa"/>
            <w:gridSpan w:val="3"/>
            <w:tcBorders>
              <w:top w:val="nil"/>
              <w:left w:val="nil"/>
              <w:right w:val="nil"/>
            </w:tcBorders>
            <w:vAlign w:val="center"/>
          </w:tcPr>
          <w:p w14:paraId="00E4AB8F" w14:textId="77777777" w:rsidR="008858D5" w:rsidRPr="005B0EAC" w:rsidRDefault="008858D5" w:rsidP="008858D5">
            <w:pPr>
              <w:spacing w:line="240" w:lineRule="auto"/>
              <w:jc w:val="center"/>
              <w:rPr>
                <w:rFonts w:eastAsia="Times New Roman" w:cs="Arial"/>
                <w:b/>
                <w:color w:val="000000" w:themeColor="text1"/>
                <w:szCs w:val="16"/>
                <w:lang w:eastAsia="en-GB"/>
              </w:rPr>
            </w:pPr>
          </w:p>
        </w:tc>
        <w:tc>
          <w:tcPr>
            <w:tcW w:w="1103" w:type="dxa"/>
            <w:gridSpan w:val="3"/>
            <w:tcBorders>
              <w:top w:val="nil"/>
              <w:left w:val="nil"/>
              <w:bottom w:val="single" w:sz="4" w:space="0" w:color="55565B"/>
              <w:right w:val="nil"/>
            </w:tcBorders>
            <w:vAlign w:val="center"/>
          </w:tcPr>
          <w:p w14:paraId="5F963928" w14:textId="77777777" w:rsidR="008858D5" w:rsidRPr="005B0EAC" w:rsidRDefault="008858D5" w:rsidP="008858D5">
            <w:pPr>
              <w:spacing w:line="240" w:lineRule="auto"/>
              <w:jc w:val="center"/>
              <w:rPr>
                <w:rFonts w:eastAsia="Times New Roman" w:cs="Arial"/>
                <w:b/>
                <w:i/>
                <w:color w:val="000000" w:themeColor="text1"/>
                <w:szCs w:val="16"/>
                <w:lang w:eastAsia="en-GB"/>
              </w:rPr>
            </w:pPr>
            <w:r w:rsidRPr="005B0EAC">
              <w:rPr>
                <w:rFonts w:eastAsia="Times New Roman" w:cs="Arial"/>
                <w:b/>
                <w:i/>
                <w:color w:val="000000" w:themeColor="text1"/>
                <w:szCs w:val="16"/>
                <w:lang w:eastAsia="en-GB"/>
              </w:rPr>
              <w:t>Change %</w:t>
            </w:r>
          </w:p>
        </w:tc>
      </w:tr>
      <w:tr w:rsidR="00572CF1" w:rsidRPr="001A0FEC" w14:paraId="1E757AC2" w14:textId="77777777">
        <w:trPr>
          <w:trHeight w:val="300"/>
        </w:trPr>
        <w:tc>
          <w:tcPr>
            <w:tcW w:w="2716" w:type="dxa"/>
            <w:tcBorders>
              <w:top w:val="nil"/>
              <w:left w:val="nil"/>
              <w:bottom w:val="nil"/>
              <w:right w:val="nil"/>
            </w:tcBorders>
            <w:vAlign w:val="center"/>
            <w:hideMark/>
          </w:tcPr>
          <w:p w14:paraId="3A028787" w14:textId="77777777" w:rsidR="008858D5" w:rsidRPr="00350B0F" w:rsidRDefault="008858D5" w:rsidP="008858D5">
            <w:pPr>
              <w:spacing w:line="240" w:lineRule="auto"/>
              <w:jc w:val="both"/>
              <w:rPr>
                <w:rFonts w:eastAsia="Times New Roman" w:cs="Arial"/>
                <w:szCs w:val="16"/>
                <w:lang w:eastAsia="en-GB"/>
              </w:rPr>
            </w:pPr>
            <w:r w:rsidRPr="00350B0F">
              <w:rPr>
                <w:rFonts w:eastAsia="Times New Roman" w:cs="Arial"/>
                <w:szCs w:val="16"/>
                <w:lang w:eastAsia="en-GB"/>
              </w:rPr>
              <w:t>Gift packaging</w:t>
            </w:r>
          </w:p>
        </w:tc>
        <w:tc>
          <w:tcPr>
            <w:tcW w:w="720" w:type="dxa"/>
            <w:gridSpan w:val="3"/>
            <w:tcBorders>
              <w:top w:val="nil"/>
              <w:left w:val="nil"/>
              <w:bottom w:val="nil"/>
              <w:right w:val="nil"/>
            </w:tcBorders>
            <w:vAlign w:val="center"/>
            <w:hideMark/>
          </w:tcPr>
          <w:p w14:paraId="0E160E47" w14:textId="3422F51D" w:rsidR="008858D5" w:rsidRPr="005B0EAC" w:rsidRDefault="00420F4C"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61%</w:t>
            </w:r>
          </w:p>
        </w:tc>
        <w:tc>
          <w:tcPr>
            <w:tcW w:w="920" w:type="dxa"/>
            <w:gridSpan w:val="3"/>
            <w:tcBorders>
              <w:top w:val="nil"/>
              <w:left w:val="nil"/>
              <w:bottom w:val="nil"/>
              <w:right w:val="nil"/>
            </w:tcBorders>
            <w:vAlign w:val="center"/>
            <w:hideMark/>
          </w:tcPr>
          <w:p w14:paraId="7F2E7129" w14:textId="682CF17C"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£132.4m</w:t>
            </w:r>
          </w:p>
        </w:tc>
        <w:tc>
          <w:tcPr>
            <w:tcW w:w="425" w:type="dxa"/>
            <w:gridSpan w:val="3"/>
            <w:tcBorders>
              <w:top w:val="nil"/>
              <w:left w:val="nil"/>
              <w:bottom w:val="nil"/>
              <w:right w:val="nil"/>
            </w:tcBorders>
            <w:noWrap/>
            <w:vAlign w:val="bottom"/>
            <w:hideMark/>
          </w:tcPr>
          <w:p w14:paraId="33B83B04"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709" w:type="dxa"/>
            <w:gridSpan w:val="2"/>
            <w:tcBorders>
              <w:top w:val="nil"/>
              <w:left w:val="nil"/>
              <w:bottom w:val="nil"/>
              <w:right w:val="nil"/>
            </w:tcBorders>
            <w:vAlign w:val="center"/>
            <w:hideMark/>
          </w:tcPr>
          <w:p w14:paraId="3DBCCB84" w14:textId="1B5D5D56"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61</w:t>
            </w:r>
            <w:r w:rsidR="008858D5" w:rsidRPr="005B0EAC">
              <w:rPr>
                <w:rFonts w:eastAsia="Times New Roman" w:cs="Arial"/>
                <w:color w:val="000000" w:themeColor="text1"/>
                <w:szCs w:val="16"/>
                <w:lang w:eastAsia="en-GB"/>
              </w:rPr>
              <w:t>%</w:t>
            </w:r>
          </w:p>
        </w:tc>
        <w:tc>
          <w:tcPr>
            <w:tcW w:w="978" w:type="dxa"/>
            <w:gridSpan w:val="3"/>
            <w:tcBorders>
              <w:top w:val="nil"/>
              <w:left w:val="nil"/>
              <w:bottom w:val="nil"/>
              <w:right w:val="nil"/>
            </w:tcBorders>
            <w:vAlign w:val="center"/>
            <w:hideMark/>
          </w:tcPr>
          <w:p w14:paraId="0ED8503C" w14:textId="76633AAF"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£137.</w:t>
            </w:r>
            <w:r w:rsidR="00110397">
              <w:rPr>
                <w:rFonts w:eastAsia="Times New Roman" w:cs="Arial"/>
                <w:color w:val="000000" w:themeColor="text1"/>
                <w:szCs w:val="16"/>
                <w:lang w:eastAsia="en-GB"/>
              </w:rPr>
              <w:t>1</w:t>
            </w:r>
            <w:r w:rsidR="00110397" w:rsidRPr="005B0EAC">
              <w:rPr>
                <w:rFonts w:eastAsia="Times New Roman" w:cs="Arial"/>
                <w:color w:val="000000" w:themeColor="text1"/>
                <w:szCs w:val="16"/>
                <w:lang w:eastAsia="en-GB"/>
              </w:rPr>
              <w:t>m</w:t>
            </w:r>
          </w:p>
        </w:tc>
        <w:tc>
          <w:tcPr>
            <w:tcW w:w="237" w:type="dxa"/>
            <w:gridSpan w:val="3"/>
            <w:tcBorders>
              <w:top w:val="nil"/>
              <w:left w:val="nil"/>
              <w:bottom w:val="nil"/>
              <w:right w:val="nil"/>
            </w:tcBorders>
          </w:tcPr>
          <w:p w14:paraId="1B8ADA00"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950" w:type="dxa"/>
            <w:tcBorders>
              <w:top w:val="nil"/>
              <w:left w:val="nil"/>
              <w:bottom w:val="nil"/>
              <w:right w:val="nil"/>
            </w:tcBorders>
            <w:vAlign w:val="center"/>
          </w:tcPr>
          <w:p w14:paraId="38DA016D" w14:textId="4C9F696F" w:rsidR="008858D5" w:rsidRPr="005B0EAC" w:rsidRDefault="008858D5" w:rsidP="008858D5">
            <w:pPr>
              <w:spacing w:line="240" w:lineRule="auto"/>
              <w:jc w:val="center"/>
              <w:rPr>
                <w:rFonts w:eastAsia="Times New Roman" w:cs="Arial"/>
                <w:i/>
                <w:color w:val="000000" w:themeColor="text1"/>
                <w:szCs w:val="16"/>
                <w:lang w:eastAsia="en-GB"/>
              </w:rPr>
            </w:pPr>
            <w:r w:rsidRPr="005B0EAC">
              <w:rPr>
                <w:rFonts w:eastAsia="Times New Roman" w:cs="Arial"/>
                <w:i/>
                <w:color w:val="000000" w:themeColor="text1"/>
                <w:szCs w:val="16"/>
                <w:lang w:eastAsia="en-GB"/>
              </w:rPr>
              <w:t>(</w:t>
            </w:r>
            <w:r w:rsidR="00A47CAB" w:rsidRPr="005B0EAC">
              <w:rPr>
                <w:rFonts w:eastAsia="Times New Roman" w:cs="Arial"/>
                <w:i/>
                <w:color w:val="000000" w:themeColor="text1"/>
                <w:szCs w:val="16"/>
                <w:lang w:eastAsia="en-GB"/>
              </w:rPr>
              <w:t>3</w:t>
            </w:r>
            <w:r w:rsidRPr="005B0EAC">
              <w:rPr>
                <w:rFonts w:eastAsia="Times New Roman" w:cs="Arial"/>
                <w:i/>
                <w:color w:val="000000" w:themeColor="text1"/>
                <w:szCs w:val="16"/>
                <w:lang w:eastAsia="en-GB"/>
              </w:rPr>
              <w:t>)%</w:t>
            </w:r>
          </w:p>
        </w:tc>
      </w:tr>
      <w:tr w:rsidR="00572CF1" w:rsidRPr="001A0FEC" w14:paraId="1DAE8793" w14:textId="77777777">
        <w:trPr>
          <w:trHeight w:val="300"/>
        </w:trPr>
        <w:tc>
          <w:tcPr>
            <w:tcW w:w="2716" w:type="dxa"/>
            <w:tcBorders>
              <w:top w:val="nil"/>
              <w:left w:val="nil"/>
              <w:bottom w:val="nil"/>
              <w:right w:val="nil"/>
            </w:tcBorders>
            <w:vAlign w:val="center"/>
            <w:hideMark/>
          </w:tcPr>
          <w:p w14:paraId="1BF314E2" w14:textId="77777777" w:rsidR="008858D5" w:rsidRPr="00350B0F" w:rsidRDefault="008858D5" w:rsidP="008858D5">
            <w:pPr>
              <w:spacing w:line="240" w:lineRule="auto"/>
              <w:jc w:val="both"/>
              <w:rPr>
                <w:rFonts w:eastAsia="Times New Roman" w:cs="Arial"/>
                <w:szCs w:val="16"/>
                <w:lang w:eastAsia="en-GB"/>
              </w:rPr>
            </w:pPr>
            <w:r w:rsidRPr="00350B0F">
              <w:rPr>
                <w:rFonts w:eastAsia="Times New Roman" w:cs="Arial"/>
                <w:szCs w:val="16"/>
                <w:lang w:eastAsia="en-GB"/>
              </w:rPr>
              <w:t>Party</w:t>
            </w:r>
          </w:p>
        </w:tc>
        <w:tc>
          <w:tcPr>
            <w:tcW w:w="720" w:type="dxa"/>
            <w:gridSpan w:val="3"/>
            <w:tcBorders>
              <w:top w:val="nil"/>
              <w:left w:val="nil"/>
              <w:bottom w:val="nil"/>
              <w:right w:val="nil"/>
            </w:tcBorders>
            <w:vAlign w:val="center"/>
            <w:hideMark/>
          </w:tcPr>
          <w:p w14:paraId="5774E29D" w14:textId="0702BC96" w:rsidR="008858D5" w:rsidRPr="005B0EAC" w:rsidRDefault="00420F4C"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9</w:t>
            </w:r>
            <w:r w:rsidR="008858D5" w:rsidRPr="005B0EAC">
              <w:rPr>
                <w:rFonts w:eastAsia="Times New Roman" w:cs="Arial"/>
                <w:color w:val="000000" w:themeColor="text1"/>
                <w:szCs w:val="16"/>
                <w:lang w:eastAsia="en-GB"/>
              </w:rPr>
              <w:t>%</w:t>
            </w:r>
          </w:p>
        </w:tc>
        <w:tc>
          <w:tcPr>
            <w:tcW w:w="920" w:type="dxa"/>
            <w:gridSpan w:val="3"/>
            <w:tcBorders>
              <w:top w:val="nil"/>
              <w:left w:val="nil"/>
              <w:bottom w:val="nil"/>
              <w:right w:val="nil"/>
            </w:tcBorders>
            <w:vAlign w:val="center"/>
            <w:hideMark/>
          </w:tcPr>
          <w:p w14:paraId="3A2689EF" w14:textId="704643A3"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£20.</w:t>
            </w:r>
            <w:r w:rsidR="00E40EB3">
              <w:rPr>
                <w:rFonts w:eastAsia="Times New Roman" w:cs="Arial"/>
                <w:color w:val="000000" w:themeColor="text1"/>
                <w:szCs w:val="16"/>
                <w:lang w:eastAsia="en-GB"/>
              </w:rPr>
              <w:t>5</w:t>
            </w:r>
            <w:r w:rsidR="00E40EB3" w:rsidRPr="005B0EAC">
              <w:rPr>
                <w:rFonts w:eastAsia="Times New Roman" w:cs="Arial"/>
                <w:color w:val="000000" w:themeColor="text1"/>
                <w:szCs w:val="16"/>
                <w:lang w:eastAsia="en-GB"/>
              </w:rPr>
              <w:t>m</w:t>
            </w:r>
          </w:p>
        </w:tc>
        <w:tc>
          <w:tcPr>
            <w:tcW w:w="425" w:type="dxa"/>
            <w:gridSpan w:val="3"/>
            <w:tcBorders>
              <w:top w:val="nil"/>
              <w:left w:val="nil"/>
              <w:bottom w:val="nil"/>
              <w:right w:val="nil"/>
            </w:tcBorders>
            <w:noWrap/>
            <w:vAlign w:val="bottom"/>
            <w:hideMark/>
          </w:tcPr>
          <w:p w14:paraId="73867B0D"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709" w:type="dxa"/>
            <w:gridSpan w:val="2"/>
            <w:tcBorders>
              <w:top w:val="nil"/>
              <w:left w:val="nil"/>
              <w:bottom w:val="nil"/>
              <w:right w:val="nil"/>
            </w:tcBorders>
            <w:vAlign w:val="center"/>
            <w:hideMark/>
          </w:tcPr>
          <w:p w14:paraId="092B8AC7" w14:textId="0FC843D3"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8</w:t>
            </w:r>
            <w:r w:rsidR="008858D5" w:rsidRPr="005B0EAC">
              <w:rPr>
                <w:rFonts w:eastAsia="Times New Roman" w:cs="Arial"/>
                <w:color w:val="000000" w:themeColor="text1"/>
                <w:szCs w:val="16"/>
                <w:lang w:eastAsia="en-GB"/>
              </w:rPr>
              <w:t>%</w:t>
            </w:r>
          </w:p>
        </w:tc>
        <w:tc>
          <w:tcPr>
            <w:tcW w:w="978" w:type="dxa"/>
            <w:gridSpan w:val="3"/>
            <w:tcBorders>
              <w:top w:val="nil"/>
              <w:left w:val="nil"/>
              <w:bottom w:val="nil"/>
              <w:right w:val="nil"/>
            </w:tcBorders>
            <w:vAlign w:val="center"/>
            <w:hideMark/>
          </w:tcPr>
          <w:p w14:paraId="66779AE1" w14:textId="387022E7"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£18.6m</w:t>
            </w:r>
          </w:p>
        </w:tc>
        <w:tc>
          <w:tcPr>
            <w:tcW w:w="237" w:type="dxa"/>
            <w:gridSpan w:val="3"/>
            <w:tcBorders>
              <w:top w:val="nil"/>
              <w:left w:val="nil"/>
              <w:bottom w:val="nil"/>
              <w:right w:val="nil"/>
            </w:tcBorders>
          </w:tcPr>
          <w:p w14:paraId="157D987C"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950" w:type="dxa"/>
            <w:tcBorders>
              <w:top w:val="nil"/>
              <w:left w:val="nil"/>
              <w:bottom w:val="nil"/>
              <w:right w:val="nil"/>
            </w:tcBorders>
            <w:vAlign w:val="center"/>
          </w:tcPr>
          <w:p w14:paraId="0E4F925C" w14:textId="065A2D33" w:rsidR="008858D5" w:rsidRPr="005B0EAC" w:rsidRDefault="00A47CAB" w:rsidP="008858D5">
            <w:pPr>
              <w:spacing w:line="240" w:lineRule="auto"/>
              <w:jc w:val="center"/>
              <w:rPr>
                <w:rFonts w:eastAsia="Times New Roman" w:cs="Arial"/>
                <w:i/>
                <w:color w:val="000000" w:themeColor="text1"/>
                <w:szCs w:val="16"/>
                <w:lang w:eastAsia="en-GB"/>
              </w:rPr>
            </w:pPr>
            <w:r w:rsidRPr="005B0EAC">
              <w:rPr>
                <w:rFonts w:eastAsia="Times New Roman" w:cs="Arial"/>
                <w:i/>
                <w:color w:val="000000" w:themeColor="text1"/>
                <w:szCs w:val="16"/>
                <w:lang w:eastAsia="en-GB"/>
              </w:rPr>
              <w:t>10</w:t>
            </w:r>
            <w:r w:rsidR="008858D5" w:rsidRPr="005B0EAC">
              <w:rPr>
                <w:rFonts w:eastAsia="Times New Roman" w:cs="Arial"/>
                <w:i/>
                <w:color w:val="000000" w:themeColor="text1"/>
                <w:szCs w:val="16"/>
                <w:lang w:eastAsia="en-GB"/>
              </w:rPr>
              <w:t>%</w:t>
            </w:r>
          </w:p>
        </w:tc>
      </w:tr>
      <w:tr w:rsidR="00572CF1" w:rsidRPr="001A0FEC" w14:paraId="33ABAACB" w14:textId="77777777">
        <w:trPr>
          <w:trHeight w:val="300"/>
        </w:trPr>
        <w:tc>
          <w:tcPr>
            <w:tcW w:w="2716" w:type="dxa"/>
            <w:tcBorders>
              <w:top w:val="nil"/>
              <w:left w:val="nil"/>
              <w:bottom w:val="single" w:sz="4" w:space="0" w:color="000000"/>
              <w:right w:val="nil"/>
            </w:tcBorders>
            <w:vAlign w:val="center"/>
            <w:hideMark/>
          </w:tcPr>
          <w:p w14:paraId="4B93D610" w14:textId="77777777" w:rsidR="008858D5" w:rsidRPr="00350B0F" w:rsidRDefault="008858D5" w:rsidP="008858D5">
            <w:pPr>
              <w:spacing w:line="240" w:lineRule="auto"/>
              <w:jc w:val="both"/>
              <w:rPr>
                <w:rFonts w:eastAsia="Times New Roman" w:cs="Arial"/>
                <w:szCs w:val="16"/>
                <w:lang w:eastAsia="en-GB"/>
              </w:rPr>
            </w:pPr>
            <w:r w:rsidRPr="00350B0F">
              <w:rPr>
                <w:rFonts w:eastAsia="Times New Roman" w:cs="Arial"/>
                <w:szCs w:val="16"/>
                <w:lang w:eastAsia="en-GB"/>
              </w:rPr>
              <w:t xml:space="preserve">Goods not for resale </w:t>
            </w:r>
          </w:p>
        </w:tc>
        <w:tc>
          <w:tcPr>
            <w:tcW w:w="720" w:type="dxa"/>
            <w:gridSpan w:val="3"/>
            <w:tcBorders>
              <w:top w:val="nil"/>
              <w:left w:val="nil"/>
              <w:bottom w:val="single" w:sz="4" w:space="0" w:color="000000"/>
              <w:right w:val="nil"/>
            </w:tcBorders>
            <w:vAlign w:val="center"/>
            <w:hideMark/>
          </w:tcPr>
          <w:p w14:paraId="0187FE7B" w14:textId="78B8BADA" w:rsidR="008858D5" w:rsidRPr="005B0EAC" w:rsidRDefault="00420F4C"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3</w:t>
            </w:r>
            <w:r w:rsidR="008858D5" w:rsidRPr="005B0EAC">
              <w:rPr>
                <w:rFonts w:eastAsia="Times New Roman" w:cs="Arial"/>
                <w:color w:val="000000" w:themeColor="text1"/>
                <w:szCs w:val="16"/>
                <w:lang w:eastAsia="en-GB"/>
              </w:rPr>
              <w:t>%</w:t>
            </w:r>
          </w:p>
        </w:tc>
        <w:tc>
          <w:tcPr>
            <w:tcW w:w="920" w:type="dxa"/>
            <w:gridSpan w:val="3"/>
            <w:tcBorders>
              <w:top w:val="nil"/>
              <w:left w:val="nil"/>
              <w:bottom w:val="single" w:sz="4" w:space="0" w:color="000000"/>
              <w:right w:val="nil"/>
            </w:tcBorders>
            <w:vAlign w:val="center"/>
            <w:hideMark/>
          </w:tcPr>
          <w:p w14:paraId="593A5FEA" w14:textId="6DE2490C"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£7.0m</w:t>
            </w:r>
          </w:p>
        </w:tc>
        <w:tc>
          <w:tcPr>
            <w:tcW w:w="425" w:type="dxa"/>
            <w:gridSpan w:val="3"/>
            <w:tcBorders>
              <w:top w:val="nil"/>
              <w:left w:val="nil"/>
              <w:bottom w:val="nil"/>
              <w:right w:val="nil"/>
            </w:tcBorders>
            <w:noWrap/>
            <w:vAlign w:val="bottom"/>
            <w:hideMark/>
          </w:tcPr>
          <w:p w14:paraId="2F7E8CCB"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709" w:type="dxa"/>
            <w:gridSpan w:val="2"/>
            <w:tcBorders>
              <w:top w:val="nil"/>
              <w:left w:val="nil"/>
              <w:bottom w:val="single" w:sz="4" w:space="0" w:color="000000"/>
              <w:right w:val="nil"/>
            </w:tcBorders>
            <w:vAlign w:val="center"/>
            <w:hideMark/>
          </w:tcPr>
          <w:p w14:paraId="24EC258F" w14:textId="4AFF5228"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4</w:t>
            </w:r>
            <w:r w:rsidR="008858D5" w:rsidRPr="005B0EAC">
              <w:rPr>
                <w:rFonts w:eastAsia="Times New Roman" w:cs="Arial"/>
                <w:color w:val="000000" w:themeColor="text1"/>
                <w:szCs w:val="16"/>
                <w:lang w:eastAsia="en-GB"/>
              </w:rPr>
              <w:t>%</w:t>
            </w:r>
          </w:p>
        </w:tc>
        <w:tc>
          <w:tcPr>
            <w:tcW w:w="978" w:type="dxa"/>
            <w:gridSpan w:val="3"/>
            <w:tcBorders>
              <w:top w:val="nil"/>
              <w:left w:val="nil"/>
              <w:bottom w:val="single" w:sz="4" w:space="0" w:color="000000"/>
              <w:right w:val="nil"/>
            </w:tcBorders>
            <w:vAlign w:val="center"/>
            <w:hideMark/>
          </w:tcPr>
          <w:p w14:paraId="1269A250" w14:textId="3715EB04"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£9.2m</w:t>
            </w:r>
            <w:r w:rsidR="008858D5" w:rsidRPr="005B0EAC">
              <w:rPr>
                <w:rFonts w:eastAsia="Times New Roman" w:cs="Arial"/>
                <w:color w:val="000000" w:themeColor="text1"/>
                <w:szCs w:val="16"/>
                <w:lang w:eastAsia="en-GB"/>
              </w:rPr>
              <w:t xml:space="preserve"> </w:t>
            </w:r>
          </w:p>
        </w:tc>
        <w:tc>
          <w:tcPr>
            <w:tcW w:w="237" w:type="dxa"/>
            <w:gridSpan w:val="3"/>
            <w:tcBorders>
              <w:top w:val="nil"/>
              <w:left w:val="nil"/>
              <w:right w:val="nil"/>
            </w:tcBorders>
          </w:tcPr>
          <w:p w14:paraId="798495D9"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950" w:type="dxa"/>
            <w:tcBorders>
              <w:top w:val="nil"/>
              <w:left w:val="nil"/>
              <w:bottom w:val="single" w:sz="4" w:space="0" w:color="000000"/>
              <w:right w:val="nil"/>
            </w:tcBorders>
            <w:vAlign w:val="center"/>
          </w:tcPr>
          <w:p w14:paraId="6E75AE46" w14:textId="395792A5" w:rsidR="008858D5" w:rsidRPr="005B0EAC" w:rsidRDefault="008858D5" w:rsidP="008858D5">
            <w:pPr>
              <w:spacing w:line="240" w:lineRule="auto"/>
              <w:jc w:val="center"/>
              <w:rPr>
                <w:rFonts w:eastAsia="Times New Roman" w:cs="Arial"/>
                <w:i/>
                <w:color w:val="000000" w:themeColor="text1"/>
                <w:szCs w:val="16"/>
                <w:lang w:eastAsia="en-GB"/>
              </w:rPr>
            </w:pPr>
            <w:r w:rsidRPr="005B0EAC">
              <w:rPr>
                <w:rFonts w:eastAsia="Times New Roman" w:cs="Arial"/>
                <w:i/>
                <w:color w:val="000000" w:themeColor="text1"/>
                <w:szCs w:val="16"/>
                <w:lang w:eastAsia="en-GB"/>
              </w:rPr>
              <w:t>(</w:t>
            </w:r>
            <w:r w:rsidR="009840A6" w:rsidRPr="005B0EAC">
              <w:rPr>
                <w:rFonts w:eastAsia="Times New Roman" w:cs="Arial"/>
                <w:i/>
                <w:color w:val="000000" w:themeColor="text1"/>
                <w:szCs w:val="16"/>
                <w:lang w:eastAsia="en-GB"/>
              </w:rPr>
              <w:t>24</w:t>
            </w:r>
            <w:r w:rsidRPr="005B0EAC">
              <w:rPr>
                <w:rFonts w:eastAsia="Times New Roman" w:cs="Arial"/>
                <w:i/>
                <w:color w:val="000000" w:themeColor="text1"/>
                <w:szCs w:val="16"/>
                <w:lang w:eastAsia="en-GB"/>
              </w:rPr>
              <w:t>)%</w:t>
            </w:r>
          </w:p>
        </w:tc>
      </w:tr>
      <w:tr w:rsidR="00572CF1" w:rsidRPr="001A0FEC" w14:paraId="701FE079" w14:textId="77777777">
        <w:trPr>
          <w:trHeight w:val="300"/>
        </w:trPr>
        <w:tc>
          <w:tcPr>
            <w:tcW w:w="2716" w:type="dxa"/>
            <w:tcBorders>
              <w:top w:val="single" w:sz="4" w:space="0" w:color="000000"/>
              <w:left w:val="nil"/>
              <w:bottom w:val="nil"/>
              <w:right w:val="nil"/>
            </w:tcBorders>
            <w:vAlign w:val="center"/>
          </w:tcPr>
          <w:p w14:paraId="5BC3EEDB" w14:textId="77777777" w:rsidR="008858D5" w:rsidRPr="00350B0F" w:rsidRDefault="008858D5" w:rsidP="008858D5">
            <w:pPr>
              <w:spacing w:line="240" w:lineRule="auto"/>
              <w:jc w:val="both"/>
              <w:rPr>
                <w:rFonts w:eastAsia="Times New Roman" w:cs="Arial"/>
                <w:b/>
                <w:bCs/>
                <w:szCs w:val="16"/>
                <w:lang w:eastAsia="en-GB"/>
              </w:rPr>
            </w:pPr>
            <w:r w:rsidRPr="00350B0F">
              <w:rPr>
                <w:rFonts w:eastAsia="Times New Roman" w:cs="Arial"/>
                <w:b/>
                <w:bCs/>
                <w:szCs w:val="16"/>
                <w:lang w:eastAsia="en-GB"/>
              </w:rPr>
              <w:t xml:space="preserve">Celebrate </w:t>
            </w:r>
          </w:p>
        </w:tc>
        <w:tc>
          <w:tcPr>
            <w:tcW w:w="720" w:type="dxa"/>
            <w:gridSpan w:val="3"/>
            <w:tcBorders>
              <w:top w:val="single" w:sz="4" w:space="0" w:color="000000"/>
              <w:left w:val="nil"/>
              <w:bottom w:val="nil"/>
              <w:right w:val="nil"/>
            </w:tcBorders>
            <w:vAlign w:val="center"/>
          </w:tcPr>
          <w:p w14:paraId="06AF41D8" w14:textId="2D24EB42" w:rsidR="008858D5" w:rsidRPr="005B0EAC" w:rsidRDefault="00420F4C"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73</w:t>
            </w:r>
            <w:r w:rsidR="008858D5" w:rsidRPr="005B0EAC">
              <w:rPr>
                <w:rFonts w:eastAsia="Times New Roman" w:cs="Arial"/>
                <w:b/>
                <w:color w:val="000000" w:themeColor="text1"/>
                <w:szCs w:val="16"/>
                <w:lang w:eastAsia="en-GB"/>
              </w:rPr>
              <w:t>%</w:t>
            </w:r>
          </w:p>
        </w:tc>
        <w:tc>
          <w:tcPr>
            <w:tcW w:w="920" w:type="dxa"/>
            <w:gridSpan w:val="3"/>
            <w:tcBorders>
              <w:top w:val="single" w:sz="4" w:space="0" w:color="000000"/>
              <w:left w:val="nil"/>
              <w:bottom w:val="nil"/>
              <w:right w:val="nil"/>
            </w:tcBorders>
            <w:vAlign w:val="center"/>
          </w:tcPr>
          <w:p w14:paraId="0C7DBFBB" w14:textId="529DAE76" w:rsidR="008858D5" w:rsidRPr="005B0EAC" w:rsidRDefault="00350B0F"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£159.</w:t>
            </w:r>
            <w:r w:rsidR="00D20823">
              <w:rPr>
                <w:rFonts w:eastAsia="Times New Roman" w:cs="Arial"/>
                <w:b/>
                <w:color w:val="000000" w:themeColor="text1"/>
                <w:szCs w:val="16"/>
                <w:lang w:eastAsia="en-GB"/>
              </w:rPr>
              <w:t>9</w:t>
            </w:r>
            <w:r w:rsidR="00D20823" w:rsidRPr="005B0EAC">
              <w:rPr>
                <w:rFonts w:eastAsia="Times New Roman" w:cs="Arial"/>
                <w:b/>
                <w:color w:val="000000" w:themeColor="text1"/>
                <w:szCs w:val="16"/>
                <w:lang w:eastAsia="en-GB"/>
              </w:rPr>
              <w:t>m</w:t>
            </w:r>
          </w:p>
        </w:tc>
        <w:tc>
          <w:tcPr>
            <w:tcW w:w="425" w:type="dxa"/>
            <w:gridSpan w:val="3"/>
            <w:tcBorders>
              <w:top w:val="nil"/>
              <w:left w:val="nil"/>
              <w:bottom w:val="nil"/>
              <w:right w:val="nil"/>
            </w:tcBorders>
            <w:noWrap/>
            <w:vAlign w:val="bottom"/>
          </w:tcPr>
          <w:p w14:paraId="4F312E9E" w14:textId="77777777" w:rsidR="008858D5" w:rsidRPr="00B8452B" w:rsidRDefault="008858D5" w:rsidP="008858D5">
            <w:pPr>
              <w:spacing w:line="240" w:lineRule="auto"/>
              <w:jc w:val="center"/>
              <w:rPr>
                <w:rFonts w:eastAsia="Times New Roman" w:cs="Arial"/>
                <w:b/>
                <w:color w:val="000000" w:themeColor="text1"/>
                <w:szCs w:val="16"/>
                <w:lang w:eastAsia="en-GB"/>
              </w:rPr>
            </w:pPr>
          </w:p>
        </w:tc>
        <w:tc>
          <w:tcPr>
            <w:tcW w:w="709" w:type="dxa"/>
            <w:gridSpan w:val="2"/>
            <w:tcBorders>
              <w:top w:val="single" w:sz="4" w:space="0" w:color="000000"/>
              <w:left w:val="nil"/>
              <w:bottom w:val="nil"/>
              <w:right w:val="nil"/>
            </w:tcBorders>
            <w:vAlign w:val="center"/>
          </w:tcPr>
          <w:p w14:paraId="2CD63A64" w14:textId="4A1B0BD8" w:rsidR="008858D5" w:rsidRPr="005B0EAC" w:rsidRDefault="00BF7E9F"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73</w:t>
            </w:r>
            <w:r w:rsidR="008858D5" w:rsidRPr="005B0EAC">
              <w:rPr>
                <w:rFonts w:eastAsia="Times New Roman" w:cs="Arial"/>
                <w:b/>
                <w:color w:val="000000" w:themeColor="text1"/>
                <w:szCs w:val="16"/>
                <w:lang w:eastAsia="en-GB"/>
              </w:rPr>
              <w:t>%</w:t>
            </w:r>
          </w:p>
        </w:tc>
        <w:tc>
          <w:tcPr>
            <w:tcW w:w="978" w:type="dxa"/>
            <w:gridSpan w:val="3"/>
            <w:tcBorders>
              <w:top w:val="single" w:sz="4" w:space="0" w:color="000000"/>
              <w:left w:val="nil"/>
              <w:bottom w:val="nil"/>
              <w:right w:val="nil"/>
            </w:tcBorders>
            <w:vAlign w:val="center"/>
          </w:tcPr>
          <w:p w14:paraId="318AE3BF" w14:textId="026FEEA4" w:rsidR="008858D5" w:rsidRPr="005B0EAC" w:rsidRDefault="00A47CAB"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£164.9</w:t>
            </w:r>
            <w:r w:rsidR="008858D5" w:rsidRPr="005B0EAC">
              <w:rPr>
                <w:rFonts w:eastAsia="Times New Roman" w:cs="Arial"/>
                <w:b/>
                <w:color w:val="000000" w:themeColor="text1"/>
                <w:szCs w:val="16"/>
                <w:lang w:eastAsia="en-GB"/>
              </w:rPr>
              <w:t>m</w:t>
            </w:r>
          </w:p>
        </w:tc>
        <w:tc>
          <w:tcPr>
            <w:tcW w:w="237" w:type="dxa"/>
            <w:gridSpan w:val="3"/>
            <w:tcBorders>
              <w:left w:val="nil"/>
              <w:bottom w:val="nil"/>
              <w:right w:val="nil"/>
            </w:tcBorders>
          </w:tcPr>
          <w:p w14:paraId="384FF2ED" w14:textId="77777777" w:rsidR="008858D5" w:rsidRPr="00B8452B" w:rsidRDefault="008858D5" w:rsidP="008858D5">
            <w:pPr>
              <w:spacing w:line="240" w:lineRule="auto"/>
              <w:jc w:val="center"/>
              <w:rPr>
                <w:rFonts w:eastAsia="Times New Roman" w:cs="Arial"/>
                <w:b/>
                <w:color w:val="000000" w:themeColor="text1"/>
                <w:szCs w:val="16"/>
                <w:lang w:eastAsia="en-GB"/>
              </w:rPr>
            </w:pPr>
          </w:p>
        </w:tc>
        <w:tc>
          <w:tcPr>
            <w:tcW w:w="950" w:type="dxa"/>
            <w:tcBorders>
              <w:top w:val="single" w:sz="4" w:space="0" w:color="000000"/>
              <w:left w:val="nil"/>
              <w:bottom w:val="nil"/>
              <w:right w:val="nil"/>
            </w:tcBorders>
            <w:vAlign w:val="center"/>
          </w:tcPr>
          <w:p w14:paraId="6E272E15" w14:textId="27B8B000" w:rsidR="008858D5" w:rsidRPr="005B0EAC" w:rsidRDefault="008858D5" w:rsidP="008858D5">
            <w:pPr>
              <w:spacing w:line="240" w:lineRule="auto"/>
              <w:jc w:val="center"/>
              <w:rPr>
                <w:rFonts w:eastAsia="Times New Roman" w:cs="Arial"/>
                <w:b/>
                <w:i/>
                <w:color w:val="000000" w:themeColor="text1"/>
                <w:szCs w:val="16"/>
                <w:lang w:eastAsia="en-GB"/>
              </w:rPr>
            </w:pPr>
            <w:r w:rsidRPr="005B0EAC">
              <w:rPr>
                <w:rFonts w:eastAsia="Times New Roman" w:cs="Arial"/>
                <w:b/>
                <w:i/>
                <w:color w:val="000000" w:themeColor="text1"/>
                <w:szCs w:val="16"/>
                <w:lang w:eastAsia="en-GB"/>
              </w:rPr>
              <w:t>(</w:t>
            </w:r>
            <w:r w:rsidR="009840A6" w:rsidRPr="005B0EAC">
              <w:rPr>
                <w:rFonts w:eastAsia="Times New Roman" w:cs="Arial"/>
                <w:b/>
                <w:i/>
                <w:color w:val="000000" w:themeColor="text1"/>
                <w:szCs w:val="16"/>
                <w:lang w:eastAsia="en-GB"/>
              </w:rPr>
              <w:t>3</w:t>
            </w:r>
            <w:r w:rsidRPr="005B0EAC">
              <w:rPr>
                <w:rFonts w:eastAsia="Times New Roman" w:cs="Arial"/>
                <w:b/>
                <w:i/>
                <w:color w:val="000000" w:themeColor="text1"/>
                <w:szCs w:val="16"/>
                <w:lang w:eastAsia="en-GB"/>
              </w:rPr>
              <w:t>)%</w:t>
            </w:r>
          </w:p>
        </w:tc>
      </w:tr>
      <w:tr w:rsidR="00572CF1" w:rsidRPr="001A0FEC" w14:paraId="29C23BE1" w14:textId="77777777">
        <w:trPr>
          <w:trHeight w:val="300"/>
        </w:trPr>
        <w:tc>
          <w:tcPr>
            <w:tcW w:w="2716" w:type="dxa"/>
            <w:tcBorders>
              <w:top w:val="nil"/>
              <w:left w:val="nil"/>
              <w:bottom w:val="nil"/>
              <w:right w:val="nil"/>
            </w:tcBorders>
            <w:vAlign w:val="center"/>
          </w:tcPr>
          <w:p w14:paraId="11F3841C" w14:textId="77777777" w:rsidR="008858D5" w:rsidRPr="00350B0F" w:rsidRDefault="008858D5" w:rsidP="008858D5">
            <w:pPr>
              <w:spacing w:line="240" w:lineRule="auto"/>
              <w:jc w:val="both"/>
              <w:rPr>
                <w:rFonts w:eastAsia="Times New Roman" w:cs="Arial"/>
                <w:szCs w:val="16"/>
                <w:lang w:eastAsia="en-GB"/>
              </w:rPr>
            </w:pPr>
            <w:r w:rsidRPr="00350B0F">
              <w:rPr>
                <w:rFonts w:eastAsia="Times New Roman" w:cs="Arial"/>
                <w:szCs w:val="16"/>
                <w:lang w:eastAsia="en-GB"/>
              </w:rPr>
              <w:t>Craft</w:t>
            </w:r>
          </w:p>
        </w:tc>
        <w:tc>
          <w:tcPr>
            <w:tcW w:w="720" w:type="dxa"/>
            <w:gridSpan w:val="3"/>
            <w:tcBorders>
              <w:top w:val="nil"/>
              <w:left w:val="nil"/>
              <w:bottom w:val="nil"/>
              <w:right w:val="nil"/>
            </w:tcBorders>
            <w:vAlign w:val="center"/>
          </w:tcPr>
          <w:p w14:paraId="461FED47" w14:textId="6690BFAD"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3</w:t>
            </w:r>
            <w:r w:rsidR="008858D5" w:rsidRPr="005B0EAC">
              <w:rPr>
                <w:rFonts w:eastAsia="Times New Roman" w:cs="Arial"/>
                <w:color w:val="000000" w:themeColor="text1"/>
                <w:szCs w:val="16"/>
                <w:lang w:eastAsia="en-GB"/>
              </w:rPr>
              <w:t>%</w:t>
            </w:r>
          </w:p>
        </w:tc>
        <w:tc>
          <w:tcPr>
            <w:tcW w:w="920" w:type="dxa"/>
            <w:gridSpan w:val="3"/>
            <w:tcBorders>
              <w:top w:val="nil"/>
              <w:left w:val="nil"/>
              <w:bottom w:val="nil"/>
              <w:right w:val="nil"/>
            </w:tcBorders>
            <w:vAlign w:val="center"/>
          </w:tcPr>
          <w:p w14:paraId="51DEA518" w14:textId="7BC5DA09"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£6.3m</w:t>
            </w:r>
          </w:p>
        </w:tc>
        <w:tc>
          <w:tcPr>
            <w:tcW w:w="425" w:type="dxa"/>
            <w:gridSpan w:val="3"/>
            <w:tcBorders>
              <w:top w:val="nil"/>
              <w:left w:val="nil"/>
              <w:bottom w:val="nil"/>
              <w:right w:val="nil"/>
            </w:tcBorders>
            <w:noWrap/>
            <w:vAlign w:val="bottom"/>
          </w:tcPr>
          <w:p w14:paraId="65705D90"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709" w:type="dxa"/>
            <w:gridSpan w:val="2"/>
            <w:tcBorders>
              <w:top w:val="nil"/>
              <w:left w:val="nil"/>
              <w:bottom w:val="nil"/>
              <w:right w:val="nil"/>
            </w:tcBorders>
            <w:vAlign w:val="center"/>
          </w:tcPr>
          <w:p w14:paraId="22C240F8" w14:textId="0D3BF759"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2</w:t>
            </w:r>
            <w:r w:rsidR="008858D5" w:rsidRPr="005B0EAC">
              <w:rPr>
                <w:rFonts w:eastAsia="Times New Roman" w:cs="Arial"/>
                <w:color w:val="000000" w:themeColor="text1"/>
                <w:szCs w:val="16"/>
                <w:lang w:eastAsia="en-GB"/>
              </w:rPr>
              <w:t>%</w:t>
            </w:r>
          </w:p>
        </w:tc>
        <w:tc>
          <w:tcPr>
            <w:tcW w:w="978" w:type="dxa"/>
            <w:gridSpan w:val="3"/>
            <w:tcBorders>
              <w:top w:val="nil"/>
              <w:left w:val="nil"/>
              <w:bottom w:val="nil"/>
              <w:right w:val="nil"/>
            </w:tcBorders>
            <w:vAlign w:val="center"/>
          </w:tcPr>
          <w:p w14:paraId="114333E7" w14:textId="10133CD9" w:rsidR="008858D5" w:rsidRPr="005B0EAC" w:rsidRDefault="00A47CAB"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£5.1</w:t>
            </w:r>
            <w:r w:rsidR="008858D5" w:rsidRPr="005B0EAC">
              <w:rPr>
                <w:rFonts w:eastAsia="Times New Roman" w:cs="Arial"/>
                <w:color w:val="000000" w:themeColor="text1"/>
                <w:szCs w:val="16"/>
                <w:lang w:eastAsia="en-GB"/>
              </w:rPr>
              <w:t>m</w:t>
            </w:r>
          </w:p>
        </w:tc>
        <w:tc>
          <w:tcPr>
            <w:tcW w:w="237" w:type="dxa"/>
            <w:gridSpan w:val="3"/>
            <w:tcBorders>
              <w:top w:val="nil"/>
              <w:left w:val="nil"/>
              <w:bottom w:val="nil"/>
              <w:right w:val="nil"/>
            </w:tcBorders>
          </w:tcPr>
          <w:p w14:paraId="5A2AD52C"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950" w:type="dxa"/>
            <w:tcBorders>
              <w:top w:val="nil"/>
              <w:left w:val="nil"/>
              <w:bottom w:val="nil"/>
              <w:right w:val="nil"/>
            </w:tcBorders>
            <w:vAlign w:val="center"/>
          </w:tcPr>
          <w:p w14:paraId="3840D1ED" w14:textId="49B09F20" w:rsidR="008858D5" w:rsidRPr="005B0EAC" w:rsidRDefault="009840A6" w:rsidP="008858D5">
            <w:pPr>
              <w:spacing w:line="240" w:lineRule="auto"/>
              <w:jc w:val="center"/>
              <w:rPr>
                <w:rFonts w:eastAsia="Times New Roman" w:cs="Arial"/>
                <w:i/>
                <w:color w:val="000000" w:themeColor="text1"/>
                <w:szCs w:val="16"/>
                <w:lang w:eastAsia="en-GB"/>
              </w:rPr>
            </w:pPr>
            <w:r w:rsidRPr="005B0EAC">
              <w:rPr>
                <w:rFonts w:eastAsia="Times New Roman" w:cs="Arial"/>
                <w:i/>
                <w:color w:val="000000" w:themeColor="text1"/>
                <w:szCs w:val="16"/>
                <w:lang w:eastAsia="en-GB"/>
              </w:rPr>
              <w:t>24</w:t>
            </w:r>
            <w:r w:rsidR="008858D5" w:rsidRPr="005B0EAC">
              <w:rPr>
                <w:rFonts w:eastAsia="Times New Roman" w:cs="Arial"/>
                <w:i/>
                <w:color w:val="000000" w:themeColor="text1"/>
                <w:szCs w:val="16"/>
                <w:lang w:eastAsia="en-GB"/>
              </w:rPr>
              <w:t>%</w:t>
            </w:r>
          </w:p>
        </w:tc>
      </w:tr>
      <w:tr w:rsidR="00572CF1" w:rsidRPr="001A0FEC" w14:paraId="2337E04F" w14:textId="77777777">
        <w:trPr>
          <w:trHeight w:val="300"/>
        </w:trPr>
        <w:tc>
          <w:tcPr>
            <w:tcW w:w="2716" w:type="dxa"/>
            <w:tcBorders>
              <w:top w:val="nil"/>
              <w:left w:val="nil"/>
              <w:bottom w:val="nil"/>
              <w:right w:val="nil"/>
            </w:tcBorders>
            <w:vAlign w:val="center"/>
          </w:tcPr>
          <w:p w14:paraId="1B7FE4DB" w14:textId="77777777" w:rsidR="008858D5" w:rsidRPr="00350B0F" w:rsidRDefault="008858D5" w:rsidP="008858D5">
            <w:pPr>
              <w:spacing w:line="240" w:lineRule="auto"/>
              <w:jc w:val="both"/>
              <w:rPr>
                <w:rFonts w:eastAsia="Times New Roman" w:cs="Arial"/>
                <w:szCs w:val="16"/>
                <w:lang w:eastAsia="en-GB"/>
              </w:rPr>
            </w:pPr>
            <w:r w:rsidRPr="00350B0F">
              <w:rPr>
                <w:rFonts w:eastAsia="Times New Roman" w:cs="Arial"/>
                <w:szCs w:val="16"/>
                <w:lang w:eastAsia="en-GB"/>
              </w:rPr>
              <w:t>Stationery</w:t>
            </w:r>
          </w:p>
        </w:tc>
        <w:tc>
          <w:tcPr>
            <w:tcW w:w="720" w:type="dxa"/>
            <w:gridSpan w:val="3"/>
            <w:tcBorders>
              <w:top w:val="nil"/>
              <w:left w:val="nil"/>
              <w:bottom w:val="nil"/>
              <w:right w:val="nil"/>
            </w:tcBorders>
            <w:vAlign w:val="center"/>
          </w:tcPr>
          <w:p w14:paraId="147B6F4B" w14:textId="2160BE8F"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4</w:t>
            </w:r>
            <w:r w:rsidR="008858D5" w:rsidRPr="005B0EAC">
              <w:rPr>
                <w:rFonts w:eastAsia="Times New Roman" w:cs="Arial"/>
                <w:color w:val="000000" w:themeColor="text1"/>
                <w:szCs w:val="16"/>
                <w:lang w:eastAsia="en-GB"/>
              </w:rPr>
              <w:t>%</w:t>
            </w:r>
          </w:p>
        </w:tc>
        <w:tc>
          <w:tcPr>
            <w:tcW w:w="920" w:type="dxa"/>
            <w:gridSpan w:val="3"/>
            <w:tcBorders>
              <w:top w:val="nil"/>
              <w:left w:val="nil"/>
              <w:bottom w:val="nil"/>
              <w:right w:val="nil"/>
            </w:tcBorders>
            <w:vAlign w:val="center"/>
          </w:tcPr>
          <w:p w14:paraId="5E693988" w14:textId="23646B0E"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£7.9m</w:t>
            </w:r>
          </w:p>
        </w:tc>
        <w:tc>
          <w:tcPr>
            <w:tcW w:w="425" w:type="dxa"/>
            <w:gridSpan w:val="3"/>
            <w:tcBorders>
              <w:top w:val="nil"/>
              <w:left w:val="nil"/>
              <w:bottom w:val="nil"/>
              <w:right w:val="nil"/>
            </w:tcBorders>
            <w:noWrap/>
            <w:vAlign w:val="bottom"/>
          </w:tcPr>
          <w:p w14:paraId="05D0F379"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709" w:type="dxa"/>
            <w:gridSpan w:val="2"/>
            <w:tcBorders>
              <w:top w:val="nil"/>
              <w:left w:val="nil"/>
              <w:bottom w:val="nil"/>
              <w:right w:val="nil"/>
            </w:tcBorders>
            <w:vAlign w:val="center"/>
          </w:tcPr>
          <w:p w14:paraId="3C190D00" w14:textId="43642B00"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4</w:t>
            </w:r>
            <w:r w:rsidR="008858D5" w:rsidRPr="005B0EAC">
              <w:rPr>
                <w:rFonts w:eastAsia="Times New Roman" w:cs="Arial"/>
                <w:color w:val="000000" w:themeColor="text1"/>
                <w:szCs w:val="16"/>
                <w:lang w:eastAsia="en-GB"/>
              </w:rPr>
              <w:t>%</w:t>
            </w:r>
          </w:p>
        </w:tc>
        <w:tc>
          <w:tcPr>
            <w:tcW w:w="978" w:type="dxa"/>
            <w:gridSpan w:val="3"/>
            <w:tcBorders>
              <w:top w:val="nil"/>
              <w:left w:val="nil"/>
              <w:bottom w:val="nil"/>
              <w:right w:val="nil"/>
            </w:tcBorders>
            <w:vAlign w:val="center"/>
          </w:tcPr>
          <w:p w14:paraId="28147AA4" w14:textId="7395B81D" w:rsidR="008858D5" w:rsidRPr="005B0EAC" w:rsidRDefault="00A47CAB"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£8.3</w:t>
            </w:r>
            <w:r w:rsidR="008858D5" w:rsidRPr="005B0EAC">
              <w:rPr>
                <w:rFonts w:eastAsia="Times New Roman" w:cs="Arial"/>
                <w:color w:val="000000" w:themeColor="text1"/>
                <w:szCs w:val="16"/>
                <w:lang w:eastAsia="en-GB"/>
              </w:rPr>
              <w:t>m</w:t>
            </w:r>
          </w:p>
        </w:tc>
        <w:tc>
          <w:tcPr>
            <w:tcW w:w="237" w:type="dxa"/>
            <w:gridSpan w:val="3"/>
            <w:tcBorders>
              <w:top w:val="nil"/>
              <w:left w:val="nil"/>
              <w:bottom w:val="nil"/>
              <w:right w:val="nil"/>
            </w:tcBorders>
          </w:tcPr>
          <w:p w14:paraId="34B19D8D"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950" w:type="dxa"/>
            <w:tcBorders>
              <w:top w:val="nil"/>
              <w:left w:val="nil"/>
              <w:bottom w:val="nil"/>
              <w:right w:val="nil"/>
            </w:tcBorders>
            <w:vAlign w:val="center"/>
          </w:tcPr>
          <w:p w14:paraId="1CF5F800" w14:textId="7026D9A2" w:rsidR="008858D5" w:rsidRPr="005B0EAC" w:rsidRDefault="008858D5" w:rsidP="008858D5">
            <w:pPr>
              <w:spacing w:line="240" w:lineRule="auto"/>
              <w:jc w:val="center"/>
              <w:rPr>
                <w:rFonts w:eastAsia="Times New Roman" w:cs="Arial"/>
                <w:i/>
                <w:color w:val="000000" w:themeColor="text1"/>
                <w:szCs w:val="16"/>
                <w:lang w:eastAsia="en-GB"/>
              </w:rPr>
            </w:pPr>
            <w:r w:rsidRPr="005B0EAC">
              <w:rPr>
                <w:rFonts w:eastAsia="Times New Roman" w:cs="Arial"/>
                <w:i/>
                <w:color w:val="000000" w:themeColor="text1"/>
                <w:szCs w:val="16"/>
                <w:lang w:eastAsia="en-GB"/>
              </w:rPr>
              <w:t>(</w:t>
            </w:r>
            <w:r w:rsidR="009840A6" w:rsidRPr="005B0EAC">
              <w:rPr>
                <w:rFonts w:eastAsia="Times New Roman" w:cs="Arial"/>
                <w:i/>
                <w:color w:val="000000" w:themeColor="text1"/>
                <w:szCs w:val="16"/>
                <w:lang w:eastAsia="en-GB"/>
              </w:rPr>
              <w:t>4</w:t>
            </w:r>
            <w:r w:rsidRPr="005B0EAC">
              <w:rPr>
                <w:rFonts w:eastAsia="Times New Roman" w:cs="Arial"/>
                <w:i/>
                <w:color w:val="000000" w:themeColor="text1"/>
                <w:szCs w:val="16"/>
                <w:lang w:eastAsia="en-GB"/>
              </w:rPr>
              <w:t>)%</w:t>
            </w:r>
          </w:p>
        </w:tc>
      </w:tr>
      <w:tr w:rsidR="00572CF1" w:rsidRPr="001A0FEC" w14:paraId="759B2B68" w14:textId="77777777">
        <w:trPr>
          <w:trHeight w:val="300"/>
        </w:trPr>
        <w:tc>
          <w:tcPr>
            <w:tcW w:w="2716" w:type="dxa"/>
            <w:tcBorders>
              <w:top w:val="nil"/>
              <w:left w:val="nil"/>
              <w:bottom w:val="single" w:sz="4" w:space="0" w:color="000000"/>
              <w:right w:val="nil"/>
            </w:tcBorders>
            <w:vAlign w:val="center"/>
          </w:tcPr>
          <w:p w14:paraId="31A4F50A" w14:textId="77777777" w:rsidR="008858D5" w:rsidRPr="00350B0F" w:rsidRDefault="008858D5" w:rsidP="008858D5">
            <w:pPr>
              <w:spacing w:line="240" w:lineRule="auto"/>
              <w:jc w:val="both"/>
              <w:rPr>
                <w:rFonts w:eastAsia="Times New Roman" w:cs="Arial"/>
                <w:szCs w:val="16"/>
                <w:lang w:eastAsia="en-GB"/>
              </w:rPr>
            </w:pPr>
            <w:r w:rsidRPr="00350B0F">
              <w:rPr>
                <w:rFonts w:eastAsia="Times New Roman" w:cs="Arial"/>
                <w:szCs w:val="16"/>
                <w:lang w:eastAsia="en-GB"/>
              </w:rPr>
              <w:t>Homeware</w:t>
            </w:r>
          </w:p>
        </w:tc>
        <w:tc>
          <w:tcPr>
            <w:tcW w:w="720" w:type="dxa"/>
            <w:gridSpan w:val="3"/>
            <w:tcBorders>
              <w:top w:val="nil"/>
              <w:left w:val="nil"/>
              <w:bottom w:val="single" w:sz="4" w:space="0" w:color="000000"/>
              <w:right w:val="nil"/>
            </w:tcBorders>
            <w:vAlign w:val="center"/>
          </w:tcPr>
          <w:p w14:paraId="20595F45" w14:textId="760EA204"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20</w:t>
            </w:r>
            <w:r w:rsidR="008858D5" w:rsidRPr="005B0EAC">
              <w:rPr>
                <w:rFonts w:eastAsia="Times New Roman" w:cs="Arial"/>
                <w:color w:val="000000" w:themeColor="text1"/>
                <w:szCs w:val="16"/>
                <w:lang w:eastAsia="en-GB"/>
              </w:rPr>
              <w:t>%</w:t>
            </w:r>
          </w:p>
        </w:tc>
        <w:tc>
          <w:tcPr>
            <w:tcW w:w="920" w:type="dxa"/>
            <w:gridSpan w:val="3"/>
            <w:tcBorders>
              <w:top w:val="nil"/>
              <w:left w:val="nil"/>
              <w:bottom w:val="single" w:sz="4" w:space="0" w:color="000000"/>
              <w:right w:val="nil"/>
            </w:tcBorders>
            <w:vAlign w:val="center"/>
          </w:tcPr>
          <w:p w14:paraId="1FA89D5B" w14:textId="184D1C22" w:rsidR="008858D5" w:rsidRPr="005B0EAC" w:rsidRDefault="00350B0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£43.8m</w:t>
            </w:r>
          </w:p>
        </w:tc>
        <w:tc>
          <w:tcPr>
            <w:tcW w:w="425" w:type="dxa"/>
            <w:gridSpan w:val="3"/>
            <w:tcBorders>
              <w:top w:val="nil"/>
              <w:left w:val="nil"/>
              <w:bottom w:val="nil"/>
              <w:right w:val="nil"/>
            </w:tcBorders>
            <w:noWrap/>
            <w:vAlign w:val="bottom"/>
          </w:tcPr>
          <w:p w14:paraId="22A963E2"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709" w:type="dxa"/>
            <w:gridSpan w:val="2"/>
            <w:tcBorders>
              <w:top w:val="nil"/>
              <w:left w:val="nil"/>
              <w:bottom w:val="single" w:sz="4" w:space="0" w:color="000000"/>
              <w:right w:val="nil"/>
            </w:tcBorders>
            <w:vAlign w:val="center"/>
          </w:tcPr>
          <w:p w14:paraId="576994F0" w14:textId="692F6D66" w:rsidR="008858D5" w:rsidRPr="005B0EAC" w:rsidRDefault="00BF7E9F"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21</w:t>
            </w:r>
            <w:r w:rsidR="008858D5" w:rsidRPr="005B0EAC">
              <w:rPr>
                <w:rFonts w:eastAsia="Times New Roman" w:cs="Arial"/>
                <w:color w:val="000000" w:themeColor="text1"/>
                <w:szCs w:val="16"/>
                <w:lang w:eastAsia="en-GB"/>
              </w:rPr>
              <w:t>%</w:t>
            </w:r>
          </w:p>
        </w:tc>
        <w:tc>
          <w:tcPr>
            <w:tcW w:w="978" w:type="dxa"/>
            <w:gridSpan w:val="3"/>
            <w:tcBorders>
              <w:top w:val="nil"/>
              <w:left w:val="nil"/>
              <w:bottom w:val="single" w:sz="4" w:space="0" w:color="000000"/>
              <w:right w:val="nil"/>
            </w:tcBorders>
            <w:vAlign w:val="center"/>
          </w:tcPr>
          <w:p w14:paraId="0883B21A" w14:textId="54C62B9A" w:rsidR="008858D5" w:rsidRPr="005B0EAC" w:rsidRDefault="00A47CAB"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£47.1</w:t>
            </w:r>
            <w:r w:rsidR="008858D5" w:rsidRPr="005B0EAC">
              <w:rPr>
                <w:rFonts w:eastAsia="Times New Roman" w:cs="Arial"/>
                <w:color w:val="000000" w:themeColor="text1"/>
                <w:szCs w:val="16"/>
                <w:lang w:eastAsia="en-GB"/>
              </w:rPr>
              <w:t>m</w:t>
            </w:r>
          </w:p>
        </w:tc>
        <w:tc>
          <w:tcPr>
            <w:tcW w:w="237" w:type="dxa"/>
            <w:gridSpan w:val="3"/>
            <w:tcBorders>
              <w:top w:val="nil"/>
              <w:left w:val="nil"/>
              <w:right w:val="nil"/>
            </w:tcBorders>
          </w:tcPr>
          <w:p w14:paraId="3F544D09" w14:textId="77777777" w:rsidR="008858D5" w:rsidRPr="00B8452B" w:rsidRDefault="008858D5" w:rsidP="008858D5">
            <w:pPr>
              <w:spacing w:line="240" w:lineRule="auto"/>
              <w:jc w:val="center"/>
              <w:rPr>
                <w:rFonts w:eastAsia="Times New Roman" w:cs="Arial"/>
                <w:color w:val="000000" w:themeColor="text1"/>
                <w:szCs w:val="16"/>
                <w:lang w:eastAsia="en-GB"/>
              </w:rPr>
            </w:pPr>
          </w:p>
        </w:tc>
        <w:tc>
          <w:tcPr>
            <w:tcW w:w="950" w:type="dxa"/>
            <w:tcBorders>
              <w:top w:val="nil"/>
              <w:left w:val="nil"/>
              <w:bottom w:val="single" w:sz="4" w:space="0" w:color="000000"/>
              <w:right w:val="nil"/>
            </w:tcBorders>
            <w:vAlign w:val="center"/>
          </w:tcPr>
          <w:p w14:paraId="201C37F3" w14:textId="77777777" w:rsidR="008858D5" w:rsidRPr="005B0EAC" w:rsidRDefault="008858D5" w:rsidP="008858D5">
            <w:pPr>
              <w:spacing w:line="240" w:lineRule="auto"/>
              <w:jc w:val="center"/>
              <w:rPr>
                <w:rFonts w:eastAsia="Times New Roman" w:cs="Arial"/>
                <w:i/>
                <w:color w:val="000000" w:themeColor="text1"/>
                <w:szCs w:val="16"/>
                <w:lang w:eastAsia="en-GB"/>
              </w:rPr>
            </w:pPr>
            <w:r w:rsidRPr="005B0EAC">
              <w:rPr>
                <w:rFonts w:eastAsia="Times New Roman" w:cs="Arial"/>
                <w:i/>
                <w:color w:val="000000" w:themeColor="text1"/>
                <w:szCs w:val="16"/>
                <w:lang w:eastAsia="en-GB"/>
              </w:rPr>
              <w:t>(7)%</w:t>
            </w:r>
          </w:p>
        </w:tc>
      </w:tr>
      <w:tr w:rsidR="00572CF1" w:rsidRPr="001A0FEC" w14:paraId="015DB9CA" w14:textId="77777777">
        <w:trPr>
          <w:trHeight w:val="300"/>
        </w:trPr>
        <w:tc>
          <w:tcPr>
            <w:tcW w:w="2716" w:type="dxa"/>
            <w:tcBorders>
              <w:top w:val="single" w:sz="4" w:space="0" w:color="000000"/>
              <w:left w:val="nil"/>
              <w:bottom w:val="nil"/>
              <w:right w:val="nil"/>
            </w:tcBorders>
            <w:vAlign w:val="center"/>
            <w:hideMark/>
          </w:tcPr>
          <w:p w14:paraId="5CDD3595" w14:textId="77777777" w:rsidR="008858D5" w:rsidRPr="00350B0F" w:rsidRDefault="008858D5" w:rsidP="008858D5">
            <w:pPr>
              <w:spacing w:line="240" w:lineRule="auto"/>
              <w:jc w:val="both"/>
              <w:rPr>
                <w:rFonts w:eastAsia="Times New Roman" w:cs="Arial"/>
                <w:b/>
                <w:bCs/>
                <w:lang w:eastAsia="en-GB"/>
              </w:rPr>
            </w:pPr>
            <w:r w:rsidRPr="00350B0F">
              <w:rPr>
                <w:rFonts w:eastAsia="Times New Roman" w:cs="Arial"/>
                <w:b/>
                <w:bCs/>
                <w:lang w:eastAsia="en-GB"/>
              </w:rPr>
              <w:t>Create</w:t>
            </w:r>
          </w:p>
        </w:tc>
        <w:tc>
          <w:tcPr>
            <w:tcW w:w="720" w:type="dxa"/>
            <w:gridSpan w:val="3"/>
            <w:tcBorders>
              <w:top w:val="single" w:sz="4" w:space="0" w:color="000000"/>
              <w:left w:val="nil"/>
              <w:bottom w:val="nil"/>
              <w:right w:val="nil"/>
            </w:tcBorders>
            <w:vAlign w:val="center"/>
            <w:hideMark/>
          </w:tcPr>
          <w:p w14:paraId="2D5D7843" w14:textId="26028C8B" w:rsidR="008858D5" w:rsidRPr="005B0EAC" w:rsidRDefault="00350B0F"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27</w:t>
            </w:r>
            <w:r w:rsidR="008858D5" w:rsidRPr="005B0EAC">
              <w:rPr>
                <w:rFonts w:eastAsia="Times New Roman" w:cs="Arial"/>
                <w:b/>
                <w:color w:val="000000" w:themeColor="text1"/>
                <w:szCs w:val="16"/>
                <w:lang w:eastAsia="en-GB"/>
              </w:rPr>
              <w:t>%</w:t>
            </w:r>
          </w:p>
        </w:tc>
        <w:tc>
          <w:tcPr>
            <w:tcW w:w="920" w:type="dxa"/>
            <w:gridSpan w:val="3"/>
            <w:tcBorders>
              <w:top w:val="single" w:sz="4" w:space="0" w:color="000000"/>
              <w:left w:val="nil"/>
              <w:bottom w:val="nil"/>
              <w:right w:val="nil"/>
            </w:tcBorders>
            <w:vAlign w:val="center"/>
            <w:hideMark/>
          </w:tcPr>
          <w:p w14:paraId="75DB61BA" w14:textId="709CD254" w:rsidR="008858D5" w:rsidRPr="005B0EAC" w:rsidRDefault="00350B0F"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£58.0m</w:t>
            </w:r>
          </w:p>
        </w:tc>
        <w:tc>
          <w:tcPr>
            <w:tcW w:w="425" w:type="dxa"/>
            <w:gridSpan w:val="3"/>
            <w:tcBorders>
              <w:top w:val="nil"/>
              <w:left w:val="nil"/>
              <w:bottom w:val="nil"/>
              <w:right w:val="nil"/>
            </w:tcBorders>
            <w:noWrap/>
            <w:vAlign w:val="bottom"/>
            <w:hideMark/>
          </w:tcPr>
          <w:p w14:paraId="7C411008" w14:textId="77777777" w:rsidR="008858D5" w:rsidRPr="00B8452B" w:rsidRDefault="008858D5" w:rsidP="008858D5">
            <w:pPr>
              <w:spacing w:line="240" w:lineRule="auto"/>
              <w:jc w:val="center"/>
              <w:rPr>
                <w:rFonts w:eastAsia="Times New Roman" w:cs="Arial"/>
                <w:b/>
                <w:color w:val="000000" w:themeColor="text1"/>
                <w:szCs w:val="16"/>
                <w:lang w:eastAsia="en-GB"/>
              </w:rPr>
            </w:pPr>
          </w:p>
        </w:tc>
        <w:tc>
          <w:tcPr>
            <w:tcW w:w="709" w:type="dxa"/>
            <w:gridSpan w:val="2"/>
            <w:tcBorders>
              <w:top w:val="single" w:sz="4" w:space="0" w:color="000000"/>
              <w:left w:val="nil"/>
              <w:bottom w:val="nil"/>
              <w:right w:val="nil"/>
            </w:tcBorders>
            <w:vAlign w:val="center"/>
            <w:hideMark/>
          </w:tcPr>
          <w:p w14:paraId="6710FFA9" w14:textId="2CF4D6AB" w:rsidR="008858D5" w:rsidRPr="005B0EAC" w:rsidRDefault="00BF7E9F"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27</w:t>
            </w:r>
            <w:r w:rsidR="008858D5" w:rsidRPr="005B0EAC">
              <w:rPr>
                <w:rFonts w:eastAsia="Times New Roman" w:cs="Arial"/>
                <w:b/>
                <w:color w:val="000000" w:themeColor="text1"/>
                <w:szCs w:val="16"/>
                <w:lang w:eastAsia="en-GB"/>
              </w:rPr>
              <w:t>%</w:t>
            </w:r>
          </w:p>
        </w:tc>
        <w:tc>
          <w:tcPr>
            <w:tcW w:w="978" w:type="dxa"/>
            <w:gridSpan w:val="3"/>
            <w:tcBorders>
              <w:top w:val="single" w:sz="4" w:space="0" w:color="000000"/>
              <w:left w:val="nil"/>
              <w:bottom w:val="nil"/>
              <w:right w:val="nil"/>
            </w:tcBorders>
            <w:vAlign w:val="center"/>
            <w:hideMark/>
          </w:tcPr>
          <w:p w14:paraId="122CE0DF" w14:textId="442F6645" w:rsidR="008858D5" w:rsidRPr="005B0EAC" w:rsidRDefault="00A47CAB"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£60.5</w:t>
            </w:r>
            <w:r w:rsidR="008858D5" w:rsidRPr="005B0EAC">
              <w:rPr>
                <w:rFonts w:eastAsia="Times New Roman" w:cs="Arial"/>
                <w:b/>
                <w:color w:val="000000" w:themeColor="text1"/>
                <w:szCs w:val="16"/>
                <w:lang w:eastAsia="en-GB"/>
              </w:rPr>
              <w:t>m</w:t>
            </w:r>
          </w:p>
        </w:tc>
        <w:tc>
          <w:tcPr>
            <w:tcW w:w="237" w:type="dxa"/>
            <w:gridSpan w:val="3"/>
            <w:tcBorders>
              <w:left w:val="nil"/>
              <w:bottom w:val="nil"/>
              <w:right w:val="nil"/>
            </w:tcBorders>
          </w:tcPr>
          <w:p w14:paraId="5EBB82C2" w14:textId="77777777" w:rsidR="008858D5" w:rsidRPr="00B8452B" w:rsidRDefault="008858D5" w:rsidP="008858D5">
            <w:pPr>
              <w:spacing w:line="240" w:lineRule="auto"/>
              <w:jc w:val="center"/>
              <w:rPr>
                <w:rFonts w:eastAsia="Times New Roman" w:cs="Arial"/>
                <w:b/>
                <w:color w:val="000000" w:themeColor="text1"/>
                <w:szCs w:val="16"/>
                <w:lang w:eastAsia="en-GB"/>
              </w:rPr>
            </w:pPr>
          </w:p>
        </w:tc>
        <w:tc>
          <w:tcPr>
            <w:tcW w:w="950" w:type="dxa"/>
            <w:tcBorders>
              <w:top w:val="single" w:sz="4" w:space="0" w:color="000000"/>
              <w:left w:val="nil"/>
              <w:bottom w:val="single" w:sz="4" w:space="0" w:color="000000"/>
              <w:right w:val="nil"/>
            </w:tcBorders>
            <w:vAlign w:val="center"/>
          </w:tcPr>
          <w:p w14:paraId="5A942BB6" w14:textId="234C3D3F" w:rsidR="008858D5" w:rsidRPr="005B0EAC" w:rsidRDefault="008858D5" w:rsidP="008858D5">
            <w:pPr>
              <w:spacing w:line="240" w:lineRule="auto"/>
              <w:jc w:val="center"/>
              <w:rPr>
                <w:rFonts w:eastAsia="Times New Roman" w:cs="Arial"/>
                <w:b/>
                <w:i/>
                <w:color w:val="000000" w:themeColor="text1"/>
                <w:szCs w:val="16"/>
                <w:lang w:eastAsia="en-GB"/>
              </w:rPr>
            </w:pPr>
            <w:r w:rsidRPr="005B0EAC">
              <w:rPr>
                <w:rFonts w:eastAsia="Times New Roman" w:cs="Arial"/>
                <w:b/>
                <w:i/>
                <w:color w:val="000000" w:themeColor="text1"/>
                <w:szCs w:val="16"/>
                <w:lang w:eastAsia="en-GB"/>
              </w:rPr>
              <w:t>(</w:t>
            </w:r>
            <w:r w:rsidR="009840A6" w:rsidRPr="005B0EAC">
              <w:rPr>
                <w:rFonts w:eastAsia="Times New Roman" w:cs="Arial"/>
                <w:b/>
                <w:i/>
                <w:color w:val="000000" w:themeColor="text1"/>
                <w:szCs w:val="16"/>
                <w:lang w:eastAsia="en-GB"/>
              </w:rPr>
              <w:t>4</w:t>
            </w:r>
            <w:r w:rsidRPr="005B0EAC">
              <w:rPr>
                <w:rFonts w:eastAsia="Times New Roman" w:cs="Arial"/>
                <w:b/>
                <w:i/>
                <w:color w:val="000000" w:themeColor="text1"/>
                <w:szCs w:val="16"/>
                <w:lang w:eastAsia="en-GB"/>
              </w:rPr>
              <w:t>)%</w:t>
            </w:r>
          </w:p>
        </w:tc>
      </w:tr>
      <w:tr w:rsidR="008858D5" w:rsidRPr="001A0FEC" w14:paraId="3DF3E4C7" w14:textId="77777777">
        <w:trPr>
          <w:trHeight w:val="300"/>
        </w:trPr>
        <w:tc>
          <w:tcPr>
            <w:tcW w:w="2716" w:type="dxa"/>
            <w:tcBorders>
              <w:top w:val="single" w:sz="4" w:space="0" w:color="55565B"/>
              <w:left w:val="nil"/>
              <w:bottom w:val="single" w:sz="8" w:space="0" w:color="55565B"/>
              <w:right w:val="nil"/>
            </w:tcBorders>
            <w:vAlign w:val="center"/>
            <w:hideMark/>
          </w:tcPr>
          <w:p w14:paraId="03AD379A" w14:textId="77777777" w:rsidR="008858D5" w:rsidRPr="00350B0F" w:rsidRDefault="008858D5" w:rsidP="008858D5">
            <w:pPr>
              <w:spacing w:line="240" w:lineRule="auto"/>
              <w:jc w:val="both"/>
              <w:rPr>
                <w:rFonts w:eastAsia="Times New Roman" w:cs="Arial"/>
                <w:b/>
                <w:bCs/>
                <w:szCs w:val="16"/>
                <w:lang w:eastAsia="en-GB"/>
              </w:rPr>
            </w:pPr>
            <w:r w:rsidRPr="00350B0F">
              <w:rPr>
                <w:rFonts w:eastAsia="Times New Roman" w:cs="Arial"/>
                <w:b/>
                <w:bCs/>
                <w:szCs w:val="16"/>
                <w:lang w:eastAsia="en-GB"/>
              </w:rPr>
              <w:t>Total</w:t>
            </w:r>
          </w:p>
        </w:tc>
        <w:tc>
          <w:tcPr>
            <w:tcW w:w="720" w:type="dxa"/>
            <w:gridSpan w:val="3"/>
            <w:tcBorders>
              <w:top w:val="single" w:sz="4" w:space="0" w:color="55565B"/>
              <w:left w:val="nil"/>
              <w:bottom w:val="single" w:sz="8" w:space="0" w:color="55565B"/>
              <w:right w:val="nil"/>
            </w:tcBorders>
            <w:noWrap/>
            <w:vAlign w:val="bottom"/>
            <w:hideMark/>
          </w:tcPr>
          <w:p w14:paraId="273AD1C9" w14:textId="77777777" w:rsidR="008858D5" w:rsidRPr="005B0EAC" w:rsidRDefault="008858D5"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 </w:t>
            </w:r>
          </w:p>
        </w:tc>
        <w:tc>
          <w:tcPr>
            <w:tcW w:w="920" w:type="dxa"/>
            <w:gridSpan w:val="3"/>
            <w:tcBorders>
              <w:top w:val="single" w:sz="4" w:space="0" w:color="55565B"/>
              <w:left w:val="nil"/>
              <w:bottom w:val="single" w:sz="8" w:space="0" w:color="55565B"/>
              <w:right w:val="nil"/>
            </w:tcBorders>
            <w:vAlign w:val="center"/>
            <w:hideMark/>
          </w:tcPr>
          <w:p w14:paraId="168ECBE5" w14:textId="15B176CF" w:rsidR="008858D5" w:rsidRPr="005B0EAC" w:rsidRDefault="00350B0F"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£217.9m</w:t>
            </w:r>
            <w:r w:rsidR="008858D5" w:rsidRPr="005B0EAC">
              <w:rPr>
                <w:rFonts w:eastAsia="Times New Roman" w:cs="Arial"/>
                <w:b/>
                <w:color w:val="000000" w:themeColor="text1"/>
                <w:szCs w:val="16"/>
                <w:lang w:eastAsia="en-GB"/>
              </w:rPr>
              <w:t xml:space="preserve"> </w:t>
            </w:r>
          </w:p>
        </w:tc>
        <w:tc>
          <w:tcPr>
            <w:tcW w:w="425" w:type="dxa"/>
            <w:gridSpan w:val="3"/>
            <w:tcBorders>
              <w:top w:val="nil"/>
              <w:left w:val="nil"/>
              <w:bottom w:val="nil"/>
              <w:right w:val="nil"/>
            </w:tcBorders>
            <w:noWrap/>
            <w:vAlign w:val="bottom"/>
            <w:hideMark/>
          </w:tcPr>
          <w:p w14:paraId="7F30C965" w14:textId="77777777" w:rsidR="008858D5" w:rsidRPr="00B8452B" w:rsidRDefault="008858D5" w:rsidP="008858D5">
            <w:pPr>
              <w:spacing w:line="240" w:lineRule="auto"/>
              <w:jc w:val="center"/>
              <w:rPr>
                <w:rFonts w:eastAsia="Times New Roman" w:cs="Arial"/>
                <w:b/>
                <w:color w:val="000000" w:themeColor="text1"/>
                <w:szCs w:val="16"/>
                <w:lang w:eastAsia="en-GB"/>
              </w:rPr>
            </w:pPr>
          </w:p>
        </w:tc>
        <w:tc>
          <w:tcPr>
            <w:tcW w:w="709" w:type="dxa"/>
            <w:gridSpan w:val="2"/>
            <w:tcBorders>
              <w:top w:val="single" w:sz="4" w:space="0" w:color="55565B"/>
              <w:left w:val="nil"/>
              <w:bottom w:val="single" w:sz="8" w:space="0" w:color="55565B"/>
              <w:right w:val="nil"/>
            </w:tcBorders>
            <w:noWrap/>
            <w:vAlign w:val="bottom"/>
            <w:hideMark/>
          </w:tcPr>
          <w:p w14:paraId="0DAB2EE7" w14:textId="77777777" w:rsidR="008858D5" w:rsidRPr="005B0EAC" w:rsidRDefault="008858D5" w:rsidP="008858D5">
            <w:pPr>
              <w:spacing w:line="240" w:lineRule="auto"/>
              <w:jc w:val="center"/>
              <w:rPr>
                <w:rFonts w:eastAsia="Times New Roman" w:cs="Arial"/>
                <w:color w:val="000000" w:themeColor="text1"/>
                <w:szCs w:val="16"/>
                <w:lang w:eastAsia="en-GB"/>
              </w:rPr>
            </w:pPr>
            <w:r w:rsidRPr="005B0EAC">
              <w:rPr>
                <w:rFonts w:eastAsia="Times New Roman" w:cs="Arial"/>
                <w:color w:val="000000" w:themeColor="text1"/>
                <w:szCs w:val="16"/>
                <w:lang w:eastAsia="en-GB"/>
              </w:rPr>
              <w:t> </w:t>
            </w:r>
          </w:p>
        </w:tc>
        <w:tc>
          <w:tcPr>
            <w:tcW w:w="978" w:type="dxa"/>
            <w:gridSpan w:val="3"/>
            <w:tcBorders>
              <w:top w:val="single" w:sz="4" w:space="0" w:color="55565B"/>
              <w:left w:val="nil"/>
              <w:bottom w:val="single" w:sz="8" w:space="0" w:color="55565B"/>
              <w:right w:val="nil"/>
            </w:tcBorders>
            <w:vAlign w:val="center"/>
            <w:hideMark/>
          </w:tcPr>
          <w:p w14:paraId="7B3311E1" w14:textId="78F63E82" w:rsidR="008858D5" w:rsidRPr="005B0EAC" w:rsidRDefault="00A47CAB" w:rsidP="008858D5">
            <w:pPr>
              <w:spacing w:line="240" w:lineRule="auto"/>
              <w:jc w:val="center"/>
              <w:rPr>
                <w:rFonts w:eastAsia="Times New Roman" w:cs="Arial"/>
                <w:b/>
                <w:color w:val="000000" w:themeColor="text1"/>
                <w:szCs w:val="16"/>
                <w:lang w:eastAsia="en-GB"/>
              </w:rPr>
            </w:pPr>
            <w:r w:rsidRPr="005B0EAC">
              <w:rPr>
                <w:rFonts w:eastAsia="Times New Roman" w:cs="Arial"/>
                <w:b/>
                <w:color w:val="000000" w:themeColor="text1"/>
                <w:szCs w:val="16"/>
                <w:lang w:eastAsia="en-GB"/>
              </w:rPr>
              <w:t>£225.4</w:t>
            </w:r>
            <w:r w:rsidR="008858D5" w:rsidRPr="005B0EAC">
              <w:rPr>
                <w:rFonts w:eastAsia="Times New Roman" w:cs="Arial"/>
                <w:b/>
                <w:color w:val="000000" w:themeColor="text1"/>
                <w:szCs w:val="16"/>
                <w:lang w:eastAsia="en-GB"/>
              </w:rPr>
              <w:t xml:space="preserve">m </w:t>
            </w:r>
          </w:p>
        </w:tc>
        <w:tc>
          <w:tcPr>
            <w:tcW w:w="237" w:type="dxa"/>
            <w:gridSpan w:val="3"/>
            <w:tcBorders>
              <w:left w:val="nil"/>
              <w:right w:val="nil"/>
            </w:tcBorders>
          </w:tcPr>
          <w:p w14:paraId="7141ED41" w14:textId="77777777" w:rsidR="008858D5" w:rsidRPr="00B8452B" w:rsidRDefault="008858D5" w:rsidP="008858D5">
            <w:pPr>
              <w:spacing w:line="240" w:lineRule="auto"/>
              <w:jc w:val="center"/>
              <w:rPr>
                <w:rFonts w:eastAsia="Times New Roman" w:cs="Arial"/>
                <w:b/>
                <w:color w:val="000000" w:themeColor="text1"/>
                <w:szCs w:val="16"/>
                <w:lang w:eastAsia="en-GB"/>
              </w:rPr>
            </w:pPr>
          </w:p>
        </w:tc>
        <w:tc>
          <w:tcPr>
            <w:tcW w:w="950" w:type="dxa"/>
            <w:tcBorders>
              <w:top w:val="single" w:sz="4" w:space="0" w:color="000000"/>
              <w:left w:val="nil"/>
              <w:bottom w:val="single" w:sz="4" w:space="0" w:color="000000"/>
              <w:right w:val="nil"/>
            </w:tcBorders>
            <w:vAlign w:val="center"/>
          </w:tcPr>
          <w:p w14:paraId="0937D505" w14:textId="41EC31B8" w:rsidR="008858D5" w:rsidRPr="005B0EAC" w:rsidRDefault="008858D5" w:rsidP="008858D5">
            <w:pPr>
              <w:spacing w:line="240" w:lineRule="auto"/>
              <w:jc w:val="center"/>
              <w:rPr>
                <w:rFonts w:eastAsia="Times New Roman" w:cs="Arial"/>
                <w:b/>
                <w:i/>
                <w:color w:val="000000" w:themeColor="text1"/>
                <w:szCs w:val="16"/>
                <w:lang w:eastAsia="en-GB"/>
              </w:rPr>
            </w:pPr>
            <w:r w:rsidRPr="005B0EAC">
              <w:rPr>
                <w:rFonts w:eastAsia="Times New Roman" w:cs="Arial"/>
                <w:b/>
                <w:i/>
                <w:color w:val="000000" w:themeColor="text1"/>
                <w:szCs w:val="16"/>
                <w:lang w:eastAsia="en-GB"/>
              </w:rPr>
              <w:t>(</w:t>
            </w:r>
            <w:r w:rsidR="009840A6" w:rsidRPr="005B0EAC">
              <w:rPr>
                <w:rFonts w:eastAsia="Times New Roman" w:cs="Arial"/>
                <w:b/>
                <w:i/>
                <w:color w:val="000000" w:themeColor="text1"/>
                <w:szCs w:val="16"/>
                <w:lang w:eastAsia="en-GB"/>
              </w:rPr>
              <w:t>3</w:t>
            </w:r>
            <w:r w:rsidRPr="005B0EAC">
              <w:rPr>
                <w:rFonts w:eastAsia="Times New Roman" w:cs="Arial"/>
                <w:b/>
                <w:i/>
                <w:color w:val="000000" w:themeColor="text1"/>
                <w:szCs w:val="16"/>
                <w:lang w:eastAsia="en-GB"/>
              </w:rPr>
              <w:t>)%</w:t>
            </w:r>
          </w:p>
        </w:tc>
      </w:tr>
      <w:bookmarkEnd w:id="8"/>
    </w:tbl>
    <w:p w14:paraId="509C7677" w14:textId="77777777" w:rsidR="008858D5" w:rsidRPr="00B8452B" w:rsidRDefault="008858D5" w:rsidP="008858D5">
      <w:pPr>
        <w:spacing w:line="276" w:lineRule="auto"/>
        <w:rPr>
          <w:rFonts w:eastAsia="Cambria" w:cs="Arial"/>
          <w:sz w:val="2"/>
          <w:szCs w:val="16"/>
        </w:rPr>
      </w:pPr>
    </w:p>
    <w:p w14:paraId="40648197" w14:textId="77777777" w:rsidR="000A621B" w:rsidRPr="00B8452B" w:rsidRDefault="000A621B" w:rsidP="008858D5">
      <w:pPr>
        <w:spacing w:after="240" w:line="276" w:lineRule="auto"/>
        <w:rPr>
          <w:rFonts w:eastAsia="Cambria" w:cs="Arial"/>
          <w:sz w:val="12"/>
          <w:szCs w:val="12"/>
          <w:vertAlign w:val="superscript"/>
        </w:rPr>
      </w:pPr>
    </w:p>
    <w:p w14:paraId="0B9D39F2" w14:textId="37685B40" w:rsidR="000A621B" w:rsidRPr="000A621B" w:rsidRDefault="000A621B" w:rsidP="000A621B">
      <w:pPr>
        <w:spacing w:after="240" w:line="276" w:lineRule="auto"/>
        <w:rPr>
          <w:rFonts w:eastAsia="Cambria" w:cs="Arial"/>
        </w:rPr>
      </w:pPr>
      <w:r w:rsidRPr="000A621B">
        <w:rPr>
          <w:rFonts w:eastAsia="Cambria" w:cs="Arial"/>
        </w:rPr>
        <w:t>Group revenue declined by 3% to £217.9</w:t>
      </w:r>
      <w:r w:rsidR="00CF10A3">
        <w:rPr>
          <w:rFonts w:eastAsia="Cambria" w:cs="Arial"/>
        </w:rPr>
        <w:t xml:space="preserve"> </w:t>
      </w:r>
      <w:r w:rsidRPr="000A621B">
        <w:rPr>
          <w:rFonts w:eastAsia="Cambria" w:cs="Arial"/>
        </w:rPr>
        <w:t>m</w:t>
      </w:r>
      <w:r w:rsidR="00CF10A3">
        <w:rPr>
          <w:rFonts w:eastAsia="Cambria" w:cs="Arial"/>
        </w:rPr>
        <w:t>illion</w:t>
      </w:r>
      <w:r w:rsidRPr="000A621B">
        <w:rPr>
          <w:rFonts w:eastAsia="Cambria" w:cs="Arial"/>
        </w:rPr>
        <w:t xml:space="preserve">, with the </w:t>
      </w:r>
      <w:r w:rsidR="00E942CA">
        <w:rPr>
          <w:rFonts w:eastAsia="Cambria" w:cs="Arial"/>
        </w:rPr>
        <w:t xml:space="preserve">overall </w:t>
      </w:r>
      <w:r w:rsidRPr="000A621B">
        <w:rPr>
          <w:rFonts w:eastAsia="Cambria" w:cs="Arial"/>
        </w:rPr>
        <w:t>revenue mix unchanged year-on-year</w:t>
      </w:r>
      <w:r w:rsidR="00712F5A">
        <w:rPr>
          <w:rFonts w:eastAsia="Cambria" w:cs="Arial"/>
        </w:rPr>
        <w:t xml:space="preserve">, and </w:t>
      </w:r>
      <w:r w:rsidR="00712F5A" w:rsidRPr="00712F5A">
        <w:rPr>
          <w:rFonts w:eastAsia="Cambria" w:cs="Arial"/>
        </w:rPr>
        <w:t>category</w:t>
      </w:r>
      <w:r w:rsidR="00712F5A" w:rsidRPr="00712F5A">
        <w:rPr>
          <w:rFonts w:ascii="Cambria Math" w:eastAsia="Cambria" w:hAnsi="Cambria Math" w:cs="Cambria Math"/>
        </w:rPr>
        <w:t>‑</w:t>
      </w:r>
      <w:r w:rsidR="00712F5A" w:rsidRPr="00712F5A">
        <w:rPr>
          <w:rFonts w:eastAsia="Cambria" w:cs="Arial"/>
        </w:rPr>
        <w:t>level movements reflect</w:t>
      </w:r>
      <w:r w:rsidR="00851F24">
        <w:rPr>
          <w:rFonts w:eastAsia="Cambria" w:cs="Arial"/>
        </w:rPr>
        <w:t>ing</w:t>
      </w:r>
      <w:r w:rsidR="00712F5A" w:rsidRPr="00712F5A">
        <w:rPr>
          <w:rFonts w:eastAsia="Cambria" w:cs="Arial"/>
        </w:rPr>
        <w:t xml:space="preserve"> differing demand dynamics, pricing impacts and volume trends across the business.</w:t>
      </w:r>
      <w:r w:rsidRPr="000A621B">
        <w:rPr>
          <w:rFonts w:eastAsia="Cambria" w:cs="Arial"/>
        </w:rPr>
        <w:t xml:space="preserve"> Celebrate remained the largest theme, contributing 73% of revenue, while Create </w:t>
      </w:r>
      <w:r w:rsidRPr="00712F5A">
        <w:rPr>
          <w:rFonts w:eastAsia="Cambria" w:cs="Arial"/>
        </w:rPr>
        <w:t>represented 27%.</w:t>
      </w:r>
    </w:p>
    <w:p w14:paraId="29C4BEAD" w14:textId="58D5BC4D" w:rsidR="000A621B" w:rsidRPr="000A621B" w:rsidRDefault="000A621B" w:rsidP="000A621B">
      <w:pPr>
        <w:spacing w:after="240" w:line="276" w:lineRule="auto"/>
        <w:rPr>
          <w:rFonts w:eastAsia="Cambria" w:cs="Arial"/>
        </w:rPr>
      </w:pPr>
      <w:r w:rsidRPr="000A621B">
        <w:rPr>
          <w:rFonts w:eastAsia="Cambria" w:cs="Arial"/>
        </w:rPr>
        <w:t>Celebrate revenue declined by 3% to £159.</w:t>
      </w:r>
      <w:r w:rsidR="00A30AA5">
        <w:rPr>
          <w:rFonts w:eastAsia="Cambria" w:cs="Arial"/>
        </w:rPr>
        <w:t>9</w:t>
      </w:r>
      <w:r w:rsidR="00E8160E">
        <w:rPr>
          <w:rFonts w:eastAsia="Cambria" w:cs="Arial"/>
        </w:rPr>
        <w:t xml:space="preserve"> </w:t>
      </w:r>
      <w:r w:rsidR="00A30AA5" w:rsidRPr="000A621B">
        <w:rPr>
          <w:rFonts w:eastAsia="Cambria" w:cs="Arial"/>
        </w:rPr>
        <w:t>m</w:t>
      </w:r>
      <w:r w:rsidR="00E8160E">
        <w:rPr>
          <w:rFonts w:eastAsia="Cambria" w:cs="Arial"/>
        </w:rPr>
        <w:t>illion</w:t>
      </w:r>
      <w:r w:rsidR="002D619A">
        <w:rPr>
          <w:rFonts w:eastAsia="Cambria" w:cs="Arial"/>
        </w:rPr>
        <w:t>, with mixed p</w:t>
      </w:r>
      <w:r w:rsidRPr="000A621B">
        <w:rPr>
          <w:rFonts w:eastAsia="Cambria" w:cs="Arial"/>
        </w:rPr>
        <w:t xml:space="preserve">erformance </w:t>
      </w:r>
      <w:r w:rsidR="002D619A">
        <w:rPr>
          <w:rFonts w:eastAsia="Cambria" w:cs="Arial"/>
        </w:rPr>
        <w:t>across categories</w:t>
      </w:r>
      <w:r w:rsidRPr="000A621B">
        <w:rPr>
          <w:rFonts w:eastAsia="Cambria" w:cs="Arial"/>
        </w:rPr>
        <w:t>. Gift packaging, the Group’s largest category, declined by 3%, driven primarily by the impact of tariffs and</w:t>
      </w:r>
      <w:r w:rsidR="00583A15">
        <w:rPr>
          <w:rFonts w:eastAsia="Cambria" w:cs="Arial"/>
        </w:rPr>
        <w:t xml:space="preserve"> competitive</w:t>
      </w:r>
      <w:r w:rsidRPr="000A621B">
        <w:rPr>
          <w:rFonts w:eastAsia="Cambria" w:cs="Arial"/>
        </w:rPr>
        <w:t xml:space="preserve"> pricing </w:t>
      </w:r>
      <w:r w:rsidR="00583A15">
        <w:rPr>
          <w:rFonts w:eastAsia="Cambria" w:cs="Arial"/>
        </w:rPr>
        <w:t xml:space="preserve">pressures </w:t>
      </w:r>
      <w:r w:rsidR="00936AFF">
        <w:rPr>
          <w:rFonts w:eastAsia="Cambria" w:cs="Arial"/>
        </w:rPr>
        <w:t xml:space="preserve">on giftwrap </w:t>
      </w:r>
      <w:r w:rsidR="00583A15">
        <w:rPr>
          <w:rFonts w:eastAsia="Cambria" w:cs="Arial"/>
        </w:rPr>
        <w:t>across Europe</w:t>
      </w:r>
      <w:r w:rsidR="00217742">
        <w:rPr>
          <w:rFonts w:eastAsia="Cambria" w:cs="Arial"/>
        </w:rPr>
        <w:t xml:space="preserve">. This was </w:t>
      </w:r>
      <w:r w:rsidR="00936AFF">
        <w:rPr>
          <w:rFonts w:eastAsia="Cambria" w:cs="Arial"/>
        </w:rPr>
        <w:t xml:space="preserve">partially offset by growth in greetings cards and </w:t>
      </w:r>
      <w:r w:rsidRPr="000A621B">
        <w:rPr>
          <w:rFonts w:eastAsia="Cambria" w:cs="Arial"/>
        </w:rPr>
        <w:t>free</w:t>
      </w:r>
      <w:r w:rsidRPr="000A621B">
        <w:rPr>
          <w:rFonts w:ascii="Cambria Math" w:eastAsia="Cambria" w:hAnsi="Cambria Math" w:cs="Cambria Math"/>
        </w:rPr>
        <w:t>‑</w:t>
      </w:r>
      <w:r w:rsidRPr="000A621B">
        <w:rPr>
          <w:rFonts w:eastAsia="Cambria" w:cs="Arial"/>
        </w:rPr>
        <w:t>standing display units (FSDUs)</w:t>
      </w:r>
      <w:r w:rsidR="00936AFF">
        <w:rPr>
          <w:rFonts w:eastAsia="Cambria" w:cs="Arial"/>
        </w:rPr>
        <w:t xml:space="preserve">. </w:t>
      </w:r>
      <w:r w:rsidR="00217742">
        <w:rPr>
          <w:rFonts w:eastAsia="Cambria" w:cs="Arial"/>
        </w:rPr>
        <w:t xml:space="preserve">Growth in these </w:t>
      </w:r>
      <w:r w:rsidR="00936AFF">
        <w:rPr>
          <w:rFonts w:eastAsia="Cambria" w:cs="Arial"/>
        </w:rPr>
        <w:t>categories, alongside</w:t>
      </w:r>
      <w:r w:rsidRPr="000A621B">
        <w:rPr>
          <w:rFonts w:eastAsia="Cambria" w:cs="Arial"/>
        </w:rPr>
        <w:t xml:space="preserve"> </w:t>
      </w:r>
      <w:r w:rsidR="003B2561">
        <w:rPr>
          <w:rFonts w:eastAsia="Cambria" w:cs="Arial"/>
        </w:rPr>
        <w:t>Party</w:t>
      </w:r>
      <w:r w:rsidR="00590C27">
        <w:rPr>
          <w:rFonts w:eastAsia="Cambria" w:cs="Arial"/>
        </w:rPr>
        <w:t>,</w:t>
      </w:r>
      <w:r w:rsidR="00936AFF">
        <w:rPr>
          <w:rFonts w:eastAsia="Cambria" w:cs="Arial"/>
        </w:rPr>
        <w:t xml:space="preserve"> </w:t>
      </w:r>
      <w:r w:rsidRPr="000A621B">
        <w:rPr>
          <w:rFonts w:eastAsia="Cambria" w:cs="Arial"/>
        </w:rPr>
        <w:t>reflect</w:t>
      </w:r>
      <w:r w:rsidR="00590C27">
        <w:rPr>
          <w:rFonts w:eastAsia="Cambria" w:cs="Arial"/>
        </w:rPr>
        <w:t>s the</w:t>
      </w:r>
      <w:r w:rsidRPr="000A621B">
        <w:rPr>
          <w:rFonts w:eastAsia="Cambria" w:cs="Arial"/>
        </w:rPr>
        <w:t xml:space="preserve"> </w:t>
      </w:r>
      <w:r w:rsidR="00F236EE">
        <w:rPr>
          <w:rFonts w:eastAsia="Cambria" w:cs="Arial"/>
        </w:rPr>
        <w:t>Group</w:t>
      </w:r>
      <w:r w:rsidR="00590C27">
        <w:rPr>
          <w:rFonts w:eastAsia="Cambria" w:cs="Arial"/>
        </w:rPr>
        <w:t>’s focus on product diversification</w:t>
      </w:r>
      <w:r w:rsidR="004D2E0F">
        <w:rPr>
          <w:rFonts w:eastAsia="Cambria" w:cs="Arial"/>
        </w:rPr>
        <w:t xml:space="preserve"> to </w:t>
      </w:r>
      <w:r w:rsidR="008F2E03">
        <w:rPr>
          <w:rFonts w:eastAsia="Cambria" w:cs="Arial"/>
        </w:rPr>
        <w:t>drive</w:t>
      </w:r>
      <w:r w:rsidR="004D2E0F">
        <w:rPr>
          <w:rFonts w:eastAsia="Cambria" w:cs="Arial"/>
        </w:rPr>
        <w:t xml:space="preserve"> margin</w:t>
      </w:r>
      <w:r w:rsidR="008F2E03">
        <w:rPr>
          <w:rFonts w:eastAsia="Cambria" w:cs="Arial"/>
        </w:rPr>
        <w:t>s</w:t>
      </w:r>
      <w:r w:rsidR="004D2E0F">
        <w:rPr>
          <w:rFonts w:eastAsia="Cambria" w:cs="Arial"/>
        </w:rPr>
        <w:t xml:space="preserve"> and reduce concentration risk.</w:t>
      </w:r>
      <w:r w:rsidRPr="000A621B">
        <w:rPr>
          <w:rFonts w:eastAsia="Cambria" w:cs="Arial"/>
        </w:rPr>
        <w:t xml:space="preserve"> </w:t>
      </w:r>
    </w:p>
    <w:p w14:paraId="477D9DFE" w14:textId="7A9635FD" w:rsidR="002548FA" w:rsidRPr="00B8452B" w:rsidRDefault="000A621B" w:rsidP="000A621B">
      <w:pPr>
        <w:spacing w:after="240" w:line="276" w:lineRule="auto"/>
        <w:rPr>
          <w:rFonts w:eastAsia="Cambria" w:cs="Arial"/>
        </w:rPr>
      </w:pPr>
      <w:r w:rsidRPr="000A621B">
        <w:rPr>
          <w:rFonts w:eastAsia="Cambria" w:cs="Arial"/>
        </w:rPr>
        <w:t>Create revenue declined by 4% to £58.0</w:t>
      </w:r>
      <w:r w:rsidR="00E8160E">
        <w:rPr>
          <w:rFonts w:eastAsia="Cambria" w:cs="Arial"/>
        </w:rPr>
        <w:t xml:space="preserve"> </w:t>
      </w:r>
      <w:r w:rsidRPr="000A621B">
        <w:rPr>
          <w:rFonts w:eastAsia="Cambria" w:cs="Arial"/>
        </w:rPr>
        <w:t>m</w:t>
      </w:r>
      <w:r w:rsidR="00E8160E">
        <w:rPr>
          <w:rFonts w:eastAsia="Cambria" w:cs="Arial"/>
        </w:rPr>
        <w:t>illion</w:t>
      </w:r>
      <w:r w:rsidRPr="000A621B">
        <w:rPr>
          <w:rFonts w:eastAsia="Cambria" w:cs="Arial"/>
        </w:rPr>
        <w:t xml:space="preserve">. Homeware declined by 7%, </w:t>
      </w:r>
      <w:r w:rsidR="00D17C02">
        <w:rPr>
          <w:rFonts w:eastAsia="Cambria" w:cs="Arial"/>
        </w:rPr>
        <w:t xml:space="preserve">primarily due to lower volumes, </w:t>
      </w:r>
      <w:r w:rsidRPr="000A621B">
        <w:rPr>
          <w:rFonts w:eastAsia="Cambria" w:cs="Arial"/>
        </w:rPr>
        <w:t xml:space="preserve">reflecting softer </w:t>
      </w:r>
      <w:r w:rsidR="00D17C02">
        <w:rPr>
          <w:rFonts w:eastAsia="Cambria" w:cs="Arial"/>
        </w:rPr>
        <w:t xml:space="preserve">category </w:t>
      </w:r>
      <w:r w:rsidRPr="000A621B">
        <w:rPr>
          <w:rFonts w:eastAsia="Cambria" w:cs="Arial"/>
        </w:rPr>
        <w:t xml:space="preserve">demand. Craft delivered strong growth of 24%, increasing its share of the portfolio, supported by </w:t>
      </w:r>
      <w:r w:rsidR="0016627E">
        <w:rPr>
          <w:rFonts w:eastAsia="Cambria" w:cs="Arial"/>
        </w:rPr>
        <w:t xml:space="preserve">product </w:t>
      </w:r>
      <w:r w:rsidR="00F10ED1">
        <w:rPr>
          <w:rFonts w:eastAsia="Cambria" w:cs="Arial"/>
        </w:rPr>
        <w:t>diversification</w:t>
      </w:r>
      <w:r w:rsidR="0016627E">
        <w:rPr>
          <w:rFonts w:eastAsia="Cambria" w:cs="Arial"/>
        </w:rPr>
        <w:t xml:space="preserve"> </w:t>
      </w:r>
      <w:r w:rsidR="000D4B0E">
        <w:rPr>
          <w:rFonts w:eastAsia="Cambria" w:cs="Arial"/>
        </w:rPr>
        <w:t>initiatives</w:t>
      </w:r>
      <w:r w:rsidR="0016627E">
        <w:rPr>
          <w:rFonts w:eastAsia="Cambria" w:cs="Arial"/>
        </w:rPr>
        <w:t xml:space="preserve"> and </w:t>
      </w:r>
      <w:r w:rsidR="00F10ED1">
        <w:rPr>
          <w:rFonts w:eastAsia="Cambria" w:cs="Arial"/>
        </w:rPr>
        <w:t xml:space="preserve">resilient </w:t>
      </w:r>
      <w:r w:rsidRPr="000A621B">
        <w:rPr>
          <w:rFonts w:eastAsia="Cambria" w:cs="Arial"/>
        </w:rPr>
        <w:t>trading performance. Stationery remained broadly stable, declining 4% year-on-year.</w:t>
      </w:r>
    </w:p>
    <w:tbl>
      <w:tblPr>
        <w:tblW w:w="7797" w:type="dxa"/>
        <w:tblLook w:val="04A0" w:firstRow="1" w:lastRow="0" w:firstColumn="1" w:lastColumn="0" w:noHBand="0" w:noVBand="1"/>
      </w:tblPr>
      <w:tblGrid>
        <w:gridCol w:w="2713"/>
        <w:gridCol w:w="718"/>
        <w:gridCol w:w="921"/>
        <w:gridCol w:w="425"/>
        <w:gridCol w:w="709"/>
        <w:gridCol w:w="978"/>
        <w:gridCol w:w="237"/>
        <w:gridCol w:w="1096"/>
      </w:tblGrid>
      <w:tr w:rsidR="00E9123A" w:rsidRPr="009B01E7" w14:paraId="42C13172" w14:textId="77777777" w:rsidTr="00E9123A">
        <w:trPr>
          <w:trHeight w:hRule="exact" w:val="20"/>
        </w:trPr>
        <w:tc>
          <w:tcPr>
            <w:tcW w:w="2713" w:type="dxa"/>
            <w:tcBorders>
              <w:top w:val="nil"/>
              <w:left w:val="nil"/>
              <w:bottom w:val="nil"/>
              <w:right w:val="nil"/>
            </w:tcBorders>
            <w:vAlign w:val="center"/>
            <w:hideMark/>
          </w:tcPr>
          <w:p w14:paraId="4F263501" w14:textId="77777777" w:rsidR="00E9123A" w:rsidRDefault="00E9123A">
            <w:pPr>
              <w:rPr>
                <w:sz w:val="2"/>
              </w:rPr>
            </w:pPr>
            <w:bookmarkStart w:id="9" w:name="_f96d2d21_8476_4eca_a9ed_58c954e4878d"/>
            <w:bookmarkStart w:id="10" w:name="_3570a2f3_f613_431c_a9f8_f6eb26870bd7"/>
            <w:bookmarkEnd w:id="9"/>
          </w:p>
        </w:tc>
        <w:tc>
          <w:tcPr>
            <w:tcW w:w="718" w:type="dxa"/>
            <w:tcBorders>
              <w:top w:val="nil"/>
              <w:left w:val="nil"/>
              <w:bottom w:val="nil"/>
              <w:right w:val="nil"/>
            </w:tcBorders>
            <w:vAlign w:val="center"/>
            <w:hideMark/>
          </w:tcPr>
          <w:p w14:paraId="07CC4C25" w14:textId="77777777" w:rsidR="00E9123A" w:rsidRDefault="00E9123A">
            <w:pPr>
              <w:rPr>
                <w:sz w:val="2"/>
              </w:rPr>
            </w:pPr>
          </w:p>
        </w:tc>
        <w:tc>
          <w:tcPr>
            <w:tcW w:w="921" w:type="dxa"/>
            <w:tcBorders>
              <w:top w:val="nil"/>
              <w:left w:val="nil"/>
              <w:bottom w:val="nil"/>
              <w:right w:val="nil"/>
            </w:tcBorders>
            <w:vAlign w:val="center"/>
            <w:hideMark/>
          </w:tcPr>
          <w:p w14:paraId="4391E6AE" w14:textId="77777777" w:rsidR="00E9123A" w:rsidRDefault="00E9123A">
            <w:pPr>
              <w:rPr>
                <w:sz w:val="2"/>
              </w:rPr>
            </w:pPr>
          </w:p>
        </w:tc>
        <w:tc>
          <w:tcPr>
            <w:tcW w:w="425" w:type="dxa"/>
            <w:tcBorders>
              <w:top w:val="nil"/>
              <w:left w:val="nil"/>
              <w:bottom w:val="nil"/>
              <w:right w:val="nil"/>
            </w:tcBorders>
            <w:noWrap/>
            <w:vAlign w:val="bottom"/>
            <w:hideMark/>
          </w:tcPr>
          <w:p w14:paraId="4F4B86BD" w14:textId="77777777" w:rsidR="00E9123A" w:rsidRDefault="00E9123A">
            <w:pPr>
              <w:rPr>
                <w:sz w:val="2"/>
              </w:rPr>
            </w:pPr>
          </w:p>
        </w:tc>
        <w:tc>
          <w:tcPr>
            <w:tcW w:w="709" w:type="dxa"/>
            <w:tcBorders>
              <w:top w:val="nil"/>
              <w:left w:val="nil"/>
              <w:bottom w:val="nil"/>
              <w:right w:val="nil"/>
            </w:tcBorders>
            <w:vAlign w:val="center"/>
            <w:hideMark/>
          </w:tcPr>
          <w:p w14:paraId="1F7CDF39" w14:textId="77777777" w:rsidR="00E9123A" w:rsidRDefault="00E9123A">
            <w:pPr>
              <w:rPr>
                <w:sz w:val="2"/>
              </w:rPr>
            </w:pPr>
          </w:p>
        </w:tc>
        <w:tc>
          <w:tcPr>
            <w:tcW w:w="978" w:type="dxa"/>
            <w:tcBorders>
              <w:top w:val="nil"/>
              <w:left w:val="nil"/>
              <w:bottom w:val="nil"/>
              <w:right w:val="nil"/>
            </w:tcBorders>
            <w:vAlign w:val="center"/>
            <w:hideMark/>
          </w:tcPr>
          <w:p w14:paraId="148C4A07" w14:textId="77777777" w:rsidR="00E9123A" w:rsidRDefault="00E9123A">
            <w:pPr>
              <w:rPr>
                <w:sz w:val="2"/>
              </w:rPr>
            </w:pPr>
          </w:p>
        </w:tc>
        <w:tc>
          <w:tcPr>
            <w:tcW w:w="237" w:type="dxa"/>
            <w:tcBorders>
              <w:top w:val="nil"/>
              <w:left w:val="nil"/>
              <w:bottom w:val="nil"/>
              <w:right w:val="nil"/>
            </w:tcBorders>
          </w:tcPr>
          <w:p w14:paraId="6500AA7C" w14:textId="77777777" w:rsidR="00E9123A" w:rsidRDefault="00E9123A">
            <w:pPr>
              <w:rPr>
                <w:sz w:val="2"/>
              </w:rPr>
            </w:pPr>
          </w:p>
        </w:tc>
        <w:tc>
          <w:tcPr>
            <w:tcW w:w="1096" w:type="dxa"/>
            <w:tcBorders>
              <w:top w:val="nil"/>
              <w:left w:val="nil"/>
              <w:bottom w:val="nil"/>
              <w:right w:val="nil"/>
            </w:tcBorders>
            <w:vAlign w:val="center"/>
          </w:tcPr>
          <w:p w14:paraId="65993CDF" w14:textId="77777777" w:rsidR="00E9123A" w:rsidRDefault="00E9123A">
            <w:pPr>
              <w:rPr>
                <w:sz w:val="2"/>
              </w:rPr>
            </w:pPr>
          </w:p>
        </w:tc>
      </w:tr>
      <w:tr w:rsidR="00E9123A" w:rsidRPr="009B01E7" w14:paraId="4DE8FB0A" w14:textId="77777777" w:rsidTr="00E9123A">
        <w:trPr>
          <w:trHeight w:val="300"/>
        </w:trPr>
        <w:tc>
          <w:tcPr>
            <w:tcW w:w="2713" w:type="dxa"/>
            <w:tcBorders>
              <w:top w:val="nil"/>
              <w:left w:val="nil"/>
              <w:bottom w:val="single" w:sz="4" w:space="0" w:color="55565B"/>
              <w:right w:val="nil"/>
            </w:tcBorders>
            <w:vAlign w:val="bottom"/>
            <w:hideMark/>
          </w:tcPr>
          <w:p w14:paraId="0892B49D" w14:textId="77777777" w:rsidR="00E9123A" w:rsidRPr="009B01E7" w:rsidRDefault="00E9123A">
            <w:pPr>
              <w:spacing w:line="240" w:lineRule="auto"/>
              <w:rPr>
                <w:rFonts w:eastAsia="Times New Roman" w:cs="Arial"/>
                <w:b/>
                <w:bCs/>
                <w:szCs w:val="16"/>
                <w:lang w:eastAsia="en-GB"/>
              </w:rPr>
            </w:pPr>
            <w:r w:rsidRPr="009B01E7">
              <w:rPr>
                <w:rFonts w:eastAsia="Times New Roman" w:cs="Arial"/>
                <w:b/>
                <w:bCs/>
                <w:szCs w:val="16"/>
                <w:lang w:eastAsia="en-GB"/>
              </w:rPr>
              <w:t>Revenue by customer channel</w:t>
            </w:r>
          </w:p>
        </w:tc>
        <w:tc>
          <w:tcPr>
            <w:tcW w:w="1639" w:type="dxa"/>
            <w:gridSpan w:val="2"/>
            <w:tcBorders>
              <w:top w:val="nil"/>
              <w:left w:val="nil"/>
              <w:bottom w:val="single" w:sz="4" w:space="0" w:color="55565B"/>
              <w:right w:val="nil"/>
            </w:tcBorders>
            <w:vAlign w:val="center"/>
            <w:hideMark/>
          </w:tcPr>
          <w:p w14:paraId="7F27A879" w14:textId="77777777" w:rsidR="00E9123A" w:rsidRPr="009B01E7" w:rsidRDefault="00E9123A">
            <w:pPr>
              <w:spacing w:line="240" w:lineRule="auto"/>
              <w:jc w:val="center"/>
              <w:rPr>
                <w:rFonts w:eastAsia="Times New Roman" w:cs="Arial"/>
                <w:b/>
                <w:bCs/>
                <w:szCs w:val="16"/>
                <w:lang w:eastAsia="en-GB"/>
              </w:rPr>
            </w:pPr>
            <w:r w:rsidRPr="009B01E7">
              <w:rPr>
                <w:rFonts w:eastAsia="Times New Roman" w:cs="Arial"/>
                <w:b/>
                <w:bCs/>
                <w:szCs w:val="16"/>
                <w:lang w:eastAsia="en-GB"/>
              </w:rPr>
              <w:t>FY2026</w:t>
            </w:r>
          </w:p>
        </w:tc>
        <w:tc>
          <w:tcPr>
            <w:tcW w:w="425" w:type="dxa"/>
            <w:tcBorders>
              <w:top w:val="nil"/>
              <w:left w:val="nil"/>
              <w:bottom w:val="nil"/>
              <w:right w:val="nil"/>
            </w:tcBorders>
            <w:noWrap/>
            <w:vAlign w:val="bottom"/>
            <w:hideMark/>
          </w:tcPr>
          <w:p w14:paraId="2F772810" w14:textId="77777777" w:rsidR="00E9123A" w:rsidRPr="009B01E7" w:rsidRDefault="00E9123A">
            <w:pPr>
              <w:spacing w:line="240" w:lineRule="auto"/>
              <w:jc w:val="center"/>
              <w:rPr>
                <w:rFonts w:eastAsia="Times New Roman" w:cs="Arial"/>
                <w:b/>
                <w:bCs/>
                <w:szCs w:val="16"/>
                <w:lang w:eastAsia="en-GB"/>
              </w:rPr>
            </w:pPr>
          </w:p>
        </w:tc>
        <w:tc>
          <w:tcPr>
            <w:tcW w:w="1687" w:type="dxa"/>
            <w:gridSpan w:val="2"/>
            <w:tcBorders>
              <w:top w:val="nil"/>
              <w:left w:val="nil"/>
              <w:bottom w:val="single" w:sz="4" w:space="0" w:color="55565B"/>
              <w:right w:val="nil"/>
            </w:tcBorders>
            <w:vAlign w:val="center"/>
            <w:hideMark/>
          </w:tcPr>
          <w:p w14:paraId="0948BC44" w14:textId="77777777" w:rsidR="00E9123A" w:rsidRPr="009B01E7" w:rsidRDefault="00E9123A">
            <w:pPr>
              <w:spacing w:line="240" w:lineRule="auto"/>
              <w:jc w:val="center"/>
              <w:rPr>
                <w:rFonts w:eastAsia="Times New Roman" w:cs="Arial"/>
                <w:b/>
                <w:bCs/>
                <w:szCs w:val="16"/>
                <w:lang w:eastAsia="en-GB"/>
              </w:rPr>
            </w:pPr>
            <w:r w:rsidRPr="009B01E7">
              <w:rPr>
                <w:rFonts w:eastAsia="Times New Roman" w:cs="Arial"/>
                <w:b/>
                <w:bCs/>
                <w:szCs w:val="16"/>
                <w:lang w:eastAsia="en-GB"/>
              </w:rPr>
              <w:t>FY2025</w:t>
            </w:r>
          </w:p>
        </w:tc>
        <w:tc>
          <w:tcPr>
            <w:tcW w:w="237" w:type="dxa"/>
            <w:tcBorders>
              <w:top w:val="nil"/>
              <w:left w:val="nil"/>
              <w:right w:val="nil"/>
            </w:tcBorders>
          </w:tcPr>
          <w:p w14:paraId="466B36FF" w14:textId="77777777" w:rsidR="00E9123A" w:rsidRPr="009B01E7" w:rsidRDefault="00E9123A">
            <w:pPr>
              <w:spacing w:line="240" w:lineRule="auto"/>
              <w:jc w:val="center"/>
              <w:rPr>
                <w:rFonts w:eastAsia="Times New Roman" w:cs="Arial"/>
                <w:b/>
                <w:bCs/>
                <w:szCs w:val="16"/>
                <w:lang w:eastAsia="en-GB"/>
              </w:rPr>
            </w:pPr>
          </w:p>
        </w:tc>
        <w:tc>
          <w:tcPr>
            <w:tcW w:w="1096" w:type="dxa"/>
            <w:tcBorders>
              <w:top w:val="nil"/>
              <w:left w:val="nil"/>
              <w:bottom w:val="single" w:sz="4" w:space="0" w:color="55565B"/>
              <w:right w:val="nil"/>
            </w:tcBorders>
          </w:tcPr>
          <w:p w14:paraId="1A29BA9E" w14:textId="77777777" w:rsidR="00E9123A" w:rsidRPr="009B01E7" w:rsidRDefault="00E9123A">
            <w:pPr>
              <w:spacing w:line="240" w:lineRule="auto"/>
              <w:jc w:val="center"/>
              <w:rPr>
                <w:rFonts w:eastAsia="Times New Roman" w:cs="Arial"/>
                <w:b/>
                <w:i/>
                <w:szCs w:val="16"/>
                <w:lang w:eastAsia="en-GB"/>
              </w:rPr>
            </w:pPr>
            <w:r w:rsidRPr="009B01E7">
              <w:rPr>
                <w:rFonts w:eastAsia="Times New Roman" w:cs="Arial"/>
                <w:b/>
                <w:bCs/>
                <w:i/>
                <w:iCs/>
                <w:szCs w:val="16"/>
                <w:lang w:eastAsia="en-GB"/>
              </w:rPr>
              <w:t>Change %</w:t>
            </w:r>
          </w:p>
        </w:tc>
      </w:tr>
      <w:tr w:rsidR="00E9123A" w:rsidRPr="009B01E7" w14:paraId="48B32AEB" w14:textId="77777777" w:rsidTr="00E9123A">
        <w:trPr>
          <w:trHeight w:val="300"/>
        </w:trPr>
        <w:tc>
          <w:tcPr>
            <w:tcW w:w="2713" w:type="dxa"/>
            <w:tcBorders>
              <w:top w:val="nil"/>
              <w:left w:val="nil"/>
              <w:bottom w:val="nil"/>
              <w:right w:val="nil"/>
            </w:tcBorders>
            <w:vAlign w:val="center"/>
            <w:hideMark/>
          </w:tcPr>
          <w:p w14:paraId="7DF39EF2" w14:textId="77777777" w:rsidR="00E9123A" w:rsidRPr="009B01E7" w:rsidRDefault="00E9123A">
            <w:pPr>
              <w:spacing w:line="240" w:lineRule="auto"/>
              <w:jc w:val="both"/>
              <w:rPr>
                <w:rFonts w:eastAsia="Times New Roman" w:cs="Arial"/>
                <w:szCs w:val="16"/>
                <w:lang w:eastAsia="en-GB"/>
              </w:rPr>
            </w:pPr>
            <w:r w:rsidRPr="009B01E7">
              <w:rPr>
                <w:rFonts w:eastAsia="Times New Roman" w:cs="Arial"/>
                <w:szCs w:val="16"/>
                <w:lang w:eastAsia="en-GB"/>
              </w:rPr>
              <w:t>Value &amp; Mass</w:t>
            </w:r>
          </w:p>
        </w:tc>
        <w:tc>
          <w:tcPr>
            <w:tcW w:w="718" w:type="dxa"/>
            <w:tcBorders>
              <w:top w:val="nil"/>
              <w:left w:val="nil"/>
              <w:bottom w:val="nil"/>
              <w:right w:val="nil"/>
            </w:tcBorders>
            <w:vAlign w:val="center"/>
            <w:hideMark/>
          </w:tcPr>
          <w:p w14:paraId="0625B4D6" w14:textId="77777777" w:rsidR="00E9123A" w:rsidRPr="009B01E7" w:rsidRDefault="00E9123A">
            <w:pPr>
              <w:spacing w:line="240" w:lineRule="auto"/>
              <w:jc w:val="center"/>
              <w:rPr>
                <w:rFonts w:eastAsia="Times New Roman" w:cs="Arial"/>
                <w:b/>
                <w:bCs/>
                <w:szCs w:val="16"/>
                <w:lang w:eastAsia="en-GB"/>
              </w:rPr>
            </w:pPr>
            <w:r w:rsidRPr="009B01E7">
              <w:rPr>
                <w:rFonts w:eastAsia="Times New Roman" w:cs="Arial"/>
                <w:b/>
                <w:bCs/>
                <w:szCs w:val="16"/>
                <w:lang w:eastAsia="en-GB"/>
              </w:rPr>
              <w:t>76%</w:t>
            </w:r>
          </w:p>
        </w:tc>
        <w:tc>
          <w:tcPr>
            <w:tcW w:w="921" w:type="dxa"/>
            <w:tcBorders>
              <w:top w:val="nil"/>
              <w:left w:val="nil"/>
              <w:bottom w:val="nil"/>
              <w:right w:val="nil"/>
            </w:tcBorders>
            <w:vAlign w:val="center"/>
            <w:hideMark/>
          </w:tcPr>
          <w:p w14:paraId="6F972039"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xml:space="preserve">£165.4m </w:t>
            </w:r>
          </w:p>
        </w:tc>
        <w:tc>
          <w:tcPr>
            <w:tcW w:w="425" w:type="dxa"/>
            <w:tcBorders>
              <w:top w:val="nil"/>
              <w:left w:val="nil"/>
              <w:bottom w:val="nil"/>
              <w:right w:val="nil"/>
            </w:tcBorders>
            <w:noWrap/>
            <w:vAlign w:val="bottom"/>
            <w:hideMark/>
          </w:tcPr>
          <w:p w14:paraId="13BC2A8A" w14:textId="77777777" w:rsidR="00E9123A" w:rsidRPr="009B01E7" w:rsidRDefault="00E9123A">
            <w:pPr>
              <w:spacing w:line="240" w:lineRule="auto"/>
              <w:jc w:val="center"/>
              <w:rPr>
                <w:rFonts w:eastAsia="Times New Roman" w:cs="Arial"/>
                <w:szCs w:val="16"/>
                <w:lang w:eastAsia="en-GB"/>
              </w:rPr>
            </w:pPr>
          </w:p>
        </w:tc>
        <w:tc>
          <w:tcPr>
            <w:tcW w:w="709" w:type="dxa"/>
            <w:tcBorders>
              <w:top w:val="nil"/>
              <w:left w:val="nil"/>
              <w:bottom w:val="nil"/>
              <w:right w:val="nil"/>
            </w:tcBorders>
            <w:vAlign w:val="center"/>
            <w:hideMark/>
          </w:tcPr>
          <w:p w14:paraId="34B89F1D"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73%</w:t>
            </w:r>
          </w:p>
        </w:tc>
        <w:tc>
          <w:tcPr>
            <w:tcW w:w="978" w:type="dxa"/>
            <w:tcBorders>
              <w:top w:val="nil"/>
              <w:left w:val="nil"/>
              <w:bottom w:val="nil"/>
              <w:right w:val="nil"/>
            </w:tcBorders>
            <w:vAlign w:val="center"/>
            <w:hideMark/>
          </w:tcPr>
          <w:p w14:paraId="29BCF11B"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xml:space="preserve">£165.6m </w:t>
            </w:r>
          </w:p>
        </w:tc>
        <w:tc>
          <w:tcPr>
            <w:tcW w:w="237" w:type="dxa"/>
            <w:tcBorders>
              <w:top w:val="nil"/>
              <w:left w:val="nil"/>
              <w:bottom w:val="nil"/>
              <w:right w:val="nil"/>
            </w:tcBorders>
          </w:tcPr>
          <w:p w14:paraId="507A5CEB" w14:textId="77777777" w:rsidR="00E9123A" w:rsidRPr="009B01E7" w:rsidRDefault="00E9123A">
            <w:pPr>
              <w:spacing w:line="240" w:lineRule="auto"/>
              <w:jc w:val="center"/>
              <w:rPr>
                <w:rFonts w:eastAsia="Times New Roman" w:cs="Arial"/>
                <w:szCs w:val="16"/>
                <w:lang w:eastAsia="en-GB"/>
              </w:rPr>
            </w:pPr>
          </w:p>
        </w:tc>
        <w:tc>
          <w:tcPr>
            <w:tcW w:w="1096" w:type="dxa"/>
            <w:tcBorders>
              <w:top w:val="nil"/>
              <w:left w:val="nil"/>
              <w:bottom w:val="nil"/>
              <w:right w:val="nil"/>
            </w:tcBorders>
            <w:vAlign w:val="center"/>
          </w:tcPr>
          <w:p w14:paraId="014B817C" w14:textId="74F2149D" w:rsidR="00E9123A" w:rsidRPr="009B01E7" w:rsidRDefault="005F30B2">
            <w:pPr>
              <w:spacing w:line="240" w:lineRule="auto"/>
              <w:jc w:val="center"/>
              <w:rPr>
                <w:rFonts w:eastAsia="Times New Roman" w:cs="Arial"/>
                <w:i/>
                <w:szCs w:val="16"/>
                <w:lang w:eastAsia="en-GB"/>
              </w:rPr>
            </w:pPr>
            <w:r>
              <w:rPr>
                <w:rFonts w:eastAsia="MS Mincho" w:cs="Arial"/>
                <w:szCs w:val="16"/>
              </w:rPr>
              <w:t>-</w:t>
            </w:r>
            <w:r w:rsidR="00E9123A" w:rsidRPr="009B01E7">
              <w:rPr>
                <w:rFonts w:eastAsia="Times New Roman" w:cs="Arial"/>
                <w:i/>
                <w:iCs/>
                <w:szCs w:val="16"/>
                <w:lang w:eastAsia="en-GB"/>
              </w:rPr>
              <w:t>%</w:t>
            </w:r>
          </w:p>
        </w:tc>
      </w:tr>
      <w:tr w:rsidR="00E9123A" w:rsidRPr="009B01E7" w14:paraId="15511293" w14:textId="77777777" w:rsidTr="00E9123A">
        <w:trPr>
          <w:trHeight w:val="300"/>
        </w:trPr>
        <w:tc>
          <w:tcPr>
            <w:tcW w:w="2713" w:type="dxa"/>
            <w:tcBorders>
              <w:top w:val="nil"/>
              <w:left w:val="nil"/>
              <w:bottom w:val="nil"/>
              <w:right w:val="nil"/>
            </w:tcBorders>
            <w:vAlign w:val="center"/>
            <w:hideMark/>
          </w:tcPr>
          <w:p w14:paraId="1C824E0B" w14:textId="77777777" w:rsidR="00E9123A" w:rsidRPr="009B01E7" w:rsidRDefault="00E9123A">
            <w:pPr>
              <w:spacing w:line="240" w:lineRule="auto"/>
              <w:jc w:val="both"/>
              <w:rPr>
                <w:rFonts w:eastAsia="Times New Roman" w:cs="Arial"/>
                <w:szCs w:val="16"/>
                <w:lang w:eastAsia="en-GB"/>
              </w:rPr>
            </w:pPr>
            <w:r w:rsidRPr="009B01E7">
              <w:rPr>
                <w:rFonts w:eastAsia="Times New Roman" w:cs="Arial"/>
                <w:szCs w:val="16"/>
                <w:lang w:eastAsia="en-GB"/>
              </w:rPr>
              <w:t>Independents</w:t>
            </w:r>
          </w:p>
        </w:tc>
        <w:tc>
          <w:tcPr>
            <w:tcW w:w="718" w:type="dxa"/>
            <w:tcBorders>
              <w:top w:val="nil"/>
              <w:left w:val="nil"/>
              <w:bottom w:val="nil"/>
              <w:right w:val="nil"/>
            </w:tcBorders>
            <w:vAlign w:val="center"/>
            <w:hideMark/>
          </w:tcPr>
          <w:p w14:paraId="4DF8C4AD" w14:textId="77777777" w:rsidR="00E9123A" w:rsidRPr="009B01E7" w:rsidRDefault="00E9123A">
            <w:pPr>
              <w:spacing w:line="240" w:lineRule="auto"/>
              <w:jc w:val="center"/>
              <w:rPr>
                <w:rFonts w:eastAsia="Times New Roman" w:cs="Arial"/>
                <w:b/>
                <w:bCs/>
                <w:szCs w:val="16"/>
                <w:lang w:eastAsia="en-GB"/>
              </w:rPr>
            </w:pPr>
            <w:r w:rsidRPr="009B01E7">
              <w:rPr>
                <w:rFonts w:eastAsia="Times New Roman" w:cs="Arial"/>
                <w:b/>
                <w:bCs/>
                <w:szCs w:val="16"/>
                <w:lang w:eastAsia="en-GB"/>
              </w:rPr>
              <w:t>16%</w:t>
            </w:r>
          </w:p>
        </w:tc>
        <w:tc>
          <w:tcPr>
            <w:tcW w:w="921" w:type="dxa"/>
            <w:tcBorders>
              <w:top w:val="nil"/>
              <w:left w:val="nil"/>
              <w:bottom w:val="nil"/>
              <w:right w:val="nil"/>
            </w:tcBorders>
            <w:vAlign w:val="center"/>
            <w:hideMark/>
          </w:tcPr>
          <w:p w14:paraId="5B9E0207"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xml:space="preserve">£34.6m </w:t>
            </w:r>
          </w:p>
        </w:tc>
        <w:tc>
          <w:tcPr>
            <w:tcW w:w="425" w:type="dxa"/>
            <w:tcBorders>
              <w:top w:val="nil"/>
              <w:left w:val="nil"/>
              <w:bottom w:val="nil"/>
              <w:right w:val="nil"/>
            </w:tcBorders>
            <w:noWrap/>
            <w:vAlign w:val="bottom"/>
            <w:hideMark/>
          </w:tcPr>
          <w:p w14:paraId="57C0B6EF" w14:textId="77777777" w:rsidR="00E9123A" w:rsidRPr="009B01E7" w:rsidRDefault="00E9123A">
            <w:pPr>
              <w:spacing w:line="240" w:lineRule="auto"/>
              <w:jc w:val="center"/>
              <w:rPr>
                <w:rFonts w:eastAsia="Times New Roman" w:cs="Arial"/>
                <w:szCs w:val="16"/>
                <w:lang w:eastAsia="en-GB"/>
              </w:rPr>
            </w:pPr>
          </w:p>
        </w:tc>
        <w:tc>
          <w:tcPr>
            <w:tcW w:w="709" w:type="dxa"/>
            <w:tcBorders>
              <w:top w:val="nil"/>
              <w:left w:val="nil"/>
              <w:bottom w:val="nil"/>
              <w:right w:val="nil"/>
            </w:tcBorders>
            <w:vAlign w:val="center"/>
            <w:hideMark/>
          </w:tcPr>
          <w:p w14:paraId="1736DA59"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19%</w:t>
            </w:r>
          </w:p>
        </w:tc>
        <w:tc>
          <w:tcPr>
            <w:tcW w:w="978" w:type="dxa"/>
            <w:tcBorders>
              <w:top w:val="nil"/>
              <w:left w:val="nil"/>
              <w:bottom w:val="nil"/>
              <w:right w:val="nil"/>
            </w:tcBorders>
            <w:vAlign w:val="center"/>
            <w:hideMark/>
          </w:tcPr>
          <w:p w14:paraId="2E6354E9"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xml:space="preserve">£42.2m </w:t>
            </w:r>
          </w:p>
        </w:tc>
        <w:tc>
          <w:tcPr>
            <w:tcW w:w="237" w:type="dxa"/>
            <w:tcBorders>
              <w:top w:val="nil"/>
              <w:left w:val="nil"/>
              <w:bottom w:val="nil"/>
              <w:right w:val="nil"/>
            </w:tcBorders>
          </w:tcPr>
          <w:p w14:paraId="33BD3A8C" w14:textId="77777777" w:rsidR="00E9123A" w:rsidRPr="009B01E7" w:rsidRDefault="00E9123A">
            <w:pPr>
              <w:spacing w:line="240" w:lineRule="auto"/>
              <w:jc w:val="center"/>
              <w:rPr>
                <w:rFonts w:eastAsia="Times New Roman" w:cs="Arial"/>
                <w:szCs w:val="16"/>
                <w:lang w:eastAsia="en-GB"/>
              </w:rPr>
            </w:pPr>
          </w:p>
        </w:tc>
        <w:tc>
          <w:tcPr>
            <w:tcW w:w="1096" w:type="dxa"/>
            <w:tcBorders>
              <w:top w:val="nil"/>
              <w:left w:val="nil"/>
              <w:bottom w:val="nil"/>
              <w:right w:val="nil"/>
            </w:tcBorders>
            <w:vAlign w:val="center"/>
          </w:tcPr>
          <w:p w14:paraId="7D7BE6C5" w14:textId="77777777" w:rsidR="00E9123A" w:rsidRPr="009B01E7" w:rsidRDefault="00E9123A">
            <w:pPr>
              <w:spacing w:line="240" w:lineRule="auto"/>
              <w:jc w:val="center"/>
              <w:rPr>
                <w:rFonts w:eastAsia="Times New Roman" w:cs="Arial"/>
                <w:i/>
                <w:szCs w:val="16"/>
                <w:lang w:eastAsia="en-GB"/>
              </w:rPr>
            </w:pPr>
            <w:r w:rsidRPr="009B01E7">
              <w:rPr>
                <w:rFonts w:eastAsia="Times New Roman" w:cs="Arial"/>
                <w:i/>
                <w:iCs/>
                <w:szCs w:val="16"/>
                <w:lang w:eastAsia="en-GB"/>
              </w:rPr>
              <w:t>(18)%</w:t>
            </w:r>
          </w:p>
        </w:tc>
      </w:tr>
      <w:tr w:rsidR="00E9123A" w:rsidRPr="009B01E7" w14:paraId="1F4BF1EE" w14:textId="77777777" w:rsidTr="00E9123A">
        <w:trPr>
          <w:trHeight w:val="300"/>
        </w:trPr>
        <w:tc>
          <w:tcPr>
            <w:tcW w:w="2713" w:type="dxa"/>
            <w:tcBorders>
              <w:top w:val="nil"/>
              <w:left w:val="nil"/>
              <w:bottom w:val="nil"/>
              <w:right w:val="nil"/>
            </w:tcBorders>
            <w:vAlign w:val="center"/>
            <w:hideMark/>
          </w:tcPr>
          <w:p w14:paraId="62424061" w14:textId="77777777" w:rsidR="00E9123A" w:rsidRPr="009B01E7" w:rsidRDefault="00E9123A">
            <w:pPr>
              <w:spacing w:line="240" w:lineRule="auto"/>
              <w:jc w:val="both"/>
              <w:rPr>
                <w:rFonts w:eastAsia="Times New Roman" w:cs="Arial"/>
                <w:szCs w:val="16"/>
                <w:lang w:eastAsia="en-GB"/>
              </w:rPr>
            </w:pPr>
            <w:r w:rsidRPr="009B01E7">
              <w:rPr>
                <w:rFonts w:eastAsia="Times New Roman" w:cs="Arial"/>
                <w:szCs w:val="16"/>
                <w:lang w:eastAsia="en-GB"/>
              </w:rPr>
              <w:t>Specialists</w:t>
            </w:r>
          </w:p>
        </w:tc>
        <w:tc>
          <w:tcPr>
            <w:tcW w:w="718" w:type="dxa"/>
            <w:tcBorders>
              <w:top w:val="nil"/>
              <w:left w:val="nil"/>
              <w:bottom w:val="nil"/>
              <w:right w:val="nil"/>
            </w:tcBorders>
            <w:vAlign w:val="center"/>
            <w:hideMark/>
          </w:tcPr>
          <w:p w14:paraId="22ACC52C" w14:textId="77777777" w:rsidR="00E9123A" w:rsidRPr="009B01E7" w:rsidRDefault="00E9123A">
            <w:pPr>
              <w:spacing w:line="240" w:lineRule="auto"/>
              <w:jc w:val="center"/>
              <w:rPr>
                <w:rFonts w:eastAsia="Times New Roman" w:cs="Arial"/>
                <w:b/>
                <w:bCs/>
                <w:szCs w:val="16"/>
                <w:lang w:eastAsia="en-GB"/>
              </w:rPr>
            </w:pPr>
            <w:r w:rsidRPr="009B01E7">
              <w:rPr>
                <w:rFonts w:eastAsia="Times New Roman" w:cs="Arial"/>
                <w:b/>
                <w:bCs/>
                <w:lang w:eastAsia="en-GB"/>
              </w:rPr>
              <w:t>8</w:t>
            </w:r>
            <w:r w:rsidRPr="009B01E7">
              <w:rPr>
                <w:rFonts w:eastAsia="Times New Roman" w:cs="Arial"/>
                <w:b/>
                <w:bCs/>
                <w:szCs w:val="16"/>
                <w:lang w:eastAsia="en-GB"/>
              </w:rPr>
              <w:t>%</w:t>
            </w:r>
          </w:p>
        </w:tc>
        <w:tc>
          <w:tcPr>
            <w:tcW w:w="921" w:type="dxa"/>
            <w:tcBorders>
              <w:top w:val="nil"/>
              <w:left w:val="nil"/>
              <w:bottom w:val="nil"/>
              <w:right w:val="nil"/>
            </w:tcBorders>
            <w:vAlign w:val="center"/>
            <w:hideMark/>
          </w:tcPr>
          <w:p w14:paraId="5914ED18"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xml:space="preserve">£17.9m </w:t>
            </w:r>
          </w:p>
        </w:tc>
        <w:tc>
          <w:tcPr>
            <w:tcW w:w="425" w:type="dxa"/>
            <w:tcBorders>
              <w:top w:val="nil"/>
              <w:left w:val="nil"/>
              <w:bottom w:val="nil"/>
              <w:right w:val="nil"/>
            </w:tcBorders>
            <w:noWrap/>
            <w:vAlign w:val="bottom"/>
            <w:hideMark/>
          </w:tcPr>
          <w:p w14:paraId="12D88FD5" w14:textId="77777777" w:rsidR="00E9123A" w:rsidRPr="009B01E7" w:rsidRDefault="00E9123A">
            <w:pPr>
              <w:spacing w:line="240" w:lineRule="auto"/>
              <w:jc w:val="center"/>
              <w:rPr>
                <w:rFonts w:eastAsia="Times New Roman" w:cs="Arial"/>
                <w:szCs w:val="16"/>
                <w:lang w:eastAsia="en-GB"/>
              </w:rPr>
            </w:pPr>
          </w:p>
        </w:tc>
        <w:tc>
          <w:tcPr>
            <w:tcW w:w="709" w:type="dxa"/>
            <w:tcBorders>
              <w:top w:val="nil"/>
              <w:left w:val="nil"/>
              <w:bottom w:val="nil"/>
              <w:right w:val="nil"/>
            </w:tcBorders>
            <w:vAlign w:val="center"/>
            <w:hideMark/>
          </w:tcPr>
          <w:p w14:paraId="19129741"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8%</w:t>
            </w:r>
          </w:p>
        </w:tc>
        <w:tc>
          <w:tcPr>
            <w:tcW w:w="978" w:type="dxa"/>
            <w:tcBorders>
              <w:top w:val="nil"/>
              <w:left w:val="nil"/>
              <w:bottom w:val="nil"/>
              <w:right w:val="nil"/>
            </w:tcBorders>
            <w:vAlign w:val="center"/>
            <w:hideMark/>
          </w:tcPr>
          <w:p w14:paraId="794146EA"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xml:space="preserve">£17.6m </w:t>
            </w:r>
          </w:p>
        </w:tc>
        <w:tc>
          <w:tcPr>
            <w:tcW w:w="237" w:type="dxa"/>
            <w:tcBorders>
              <w:top w:val="nil"/>
              <w:left w:val="nil"/>
              <w:bottom w:val="nil"/>
              <w:right w:val="nil"/>
            </w:tcBorders>
          </w:tcPr>
          <w:p w14:paraId="584A88F3" w14:textId="77777777" w:rsidR="00E9123A" w:rsidRPr="009B01E7" w:rsidRDefault="00E9123A">
            <w:pPr>
              <w:spacing w:line="240" w:lineRule="auto"/>
              <w:jc w:val="center"/>
              <w:rPr>
                <w:rFonts w:eastAsia="Times New Roman" w:cs="Arial"/>
                <w:szCs w:val="16"/>
                <w:lang w:eastAsia="en-GB"/>
              </w:rPr>
            </w:pPr>
          </w:p>
        </w:tc>
        <w:tc>
          <w:tcPr>
            <w:tcW w:w="1096" w:type="dxa"/>
            <w:tcBorders>
              <w:top w:val="nil"/>
              <w:left w:val="nil"/>
              <w:bottom w:val="nil"/>
              <w:right w:val="nil"/>
            </w:tcBorders>
            <w:vAlign w:val="center"/>
          </w:tcPr>
          <w:p w14:paraId="3E74BB8D" w14:textId="208014FC" w:rsidR="00E9123A" w:rsidRPr="009B01E7" w:rsidRDefault="00E9123A">
            <w:pPr>
              <w:spacing w:line="240" w:lineRule="auto"/>
              <w:jc w:val="center"/>
              <w:rPr>
                <w:rFonts w:eastAsia="Times New Roman" w:cs="Arial"/>
                <w:i/>
                <w:szCs w:val="16"/>
                <w:lang w:eastAsia="en-GB"/>
              </w:rPr>
            </w:pPr>
            <w:r w:rsidRPr="009B01E7">
              <w:rPr>
                <w:rFonts w:eastAsia="Times New Roman" w:cs="Arial"/>
                <w:i/>
                <w:iCs/>
                <w:szCs w:val="16"/>
                <w:lang w:eastAsia="en-GB"/>
              </w:rPr>
              <w:t>1%</w:t>
            </w:r>
          </w:p>
        </w:tc>
      </w:tr>
      <w:tr w:rsidR="00E9123A" w:rsidRPr="009B01E7" w14:paraId="458CD030" w14:textId="77777777" w:rsidTr="00E9123A">
        <w:trPr>
          <w:trHeight w:val="300"/>
        </w:trPr>
        <w:tc>
          <w:tcPr>
            <w:tcW w:w="2713" w:type="dxa"/>
            <w:tcBorders>
              <w:top w:val="single" w:sz="4" w:space="0" w:color="55565B"/>
              <w:left w:val="nil"/>
              <w:bottom w:val="single" w:sz="8" w:space="0" w:color="55565B"/>
              <w:right w:val="nil"/>
            </w:tcBorders>
            <w:vAlign w:val="center"/>
            <w:hideMark/>
          </w:tcPr>
          <w:p w14:paraId="3F8D0BE8" w14:textId="77777777" w:rsidR="00E9123A" w:rsidRPr="009B01E7" w:rsidRDefault="00E9123A">
            <w:pPr>
              <w:spacing w:line="240" w:lineRule="auto"/>
              <w:jc w:val="both"/>
              <w:rPr>
                <w:rFonts w:eastAsia="Times New Roman" w:cs="Arial"/>
                <w:b/>
                <w:bCs/>
                <w:szCs w:val="16"/>
                <w:lang w:eastAsia="en-GB"/>
              </w:rPr>
            </w:pPr>
            <w:r w:rsidRPr="009B01E7">
              <w:rPr>
                <w:rFonts w:eastAsia="Times New Roman" w:cs="Arial"/>
                <w:b/>
                <w:bCs/>
                <w:szCs w:val="16"/>
                <w:lang w:eastAsia="en-GB"/>
              </w:rPr>
              <w:t>Total</w:t>
            </w:r>
          </w:p>
        </w:tc>
        <w:tc>
          <w:tcPr>
            <w:tcW w:w="718" w:type="dxa"/>
            <w:tcBorders>
              <w:top w:val="single" w:sz="4" w:space="0" w:color="55565B"/>
              <w:left w:val="nil"/>
              <w:bottom w:val="single" w:sz="8" w:space="0" w:color="55565B"/>
              <w:right w:val="nil"/>
            </w:tcBorders>
            <w:noWrap/>
            <w:vAlign w:val="bottom"/>
            <w:hideMark/>
          </w:tcPr>
          <w:p w14:paraId="210E91F5"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w:t>
            </w:r>
          </w:p>
        </w:tc>
        <w:tc>
          <w:tcPr>
            <w:tcW w:w="921" w:type="dxa"/>
            <w:tcBorders>
              <w:top w:val="single" w:sz="4" w:space="0" w:color="55565B"/>
              <w:left w:val="nil"/>
              <w:bottom w:val="single" w:sz="8" w:space="0" w:color="55565B"/>
              <w:right w:val="nil"/>
            </w:tcBorders>
            <w:vAlign w:val="center"/>
            <w:hideMark/>
          </w:tcPr>
          <w:p w14:paraId="47023334" w14:textId="77777777" w:rsidR="00E9123A" w:rsidRPr="009B01E7" w:rsidRDefault="00E9123A">
            <w:pPr>
              <w:spacing w:line="240" w:lineRule="auto"/>
              <w:jc w:val="center"/>
              <w:rPr>
                <w:rFonts w:eastAsia="Times New Roman" w:cs="Arial"/>
                <w:b/>
                <w:bCs/>
                <w:szCs w:val="16"/>
                <w:lang w:eastAsia="en-GB"/>
              </w:rPr>
            </w:pPr>
            <w:r w:rsidRPr="009B01E7">
              <w:rPr>
                <w:rFonts w:eastAsia="Times New Roman" w:cs="Arial"/>
                <w:b/>
                <w:bCs/>
                <w:szCs w:val="16"/>
                <w:lang w:eastAsia="en-GB"/>
              </w:rPr>
              <w:t xml:space="preserve">£217.9m </w:t>
            </w:r>
          </w:p>
        </w:tc>
        <w:tc>
          <w:tcPr>
            <w:tcW w:w="425" w:type="dxa"/>
            <w:tcBorders>
              <w:top w:val="nil"/>
              <w:left w:val="nil"/>
              <w:bottom w:val="nil"/>
              <w:right w:val="nil"/>
            </w:tcBorders>
            <w:noWrap/>
            <w:vAlign w:val="bottom"/>
            <w:hideMark/>
          </w:tcPr>
          <w:p w14:paraId="3A732B81" w14:textId="77777777" w:rsidR="00E9123A" w:rsidRPr="009B01E7" w:rsidRDefault="00E9123A">
            <w:pPr>
              <w:spacing w:line="240" w:lineRule="auto"/>
              <w:jc w:val="center"/>
              <w:rPr>
                <w:rFonts w:eastAsia="Times New Roman" w:cs="Arial"/>
                <w:b/>
                <w:bCs/>
                <w:szCs w:val="16"/>
                <w:lang w:eastAsia="en-GB"/>
              </w:rPr>
            </w:pPr>
          </w:p>
        </w:tc>
        <w:tc>
          <w:tcPr>
            <w:tcW w:w="709" w:type="dxa"/>
            <w:tcBorders>
              <w:top w:val="single" w:sz="4" w:space="0" w:color="55565B"/>
              <w:left w:val="nil"/>
              <w:bottom w:val="single" w:sz="8" w:space="0" w:color="55565B"/>
              <w:right w:val="nil"/>
            </w:tcBorders>
            <w:noWrap/>
            <w:vAlign w:val="bottom"/>
            <w:hideMark/>
          </w:tcPr>
          <w:p w14:paraId="6F58D6FE" w14:textId="77777777" w:rsidR="00E9123A" w:rsidRPr="009B01E7" w:rsidRDefault="00E9123A">
            <w:pPr>
              <w:spacing w:line="240" w:lineRule="auto"/>
              <w:jc w:val="center"/>
              <w:rPr>
                <w:rFonts w:eastAsia="Times New Roman" w:cs="Arial"/>
                <w:szCs w:val="16"/>
                <w:lang w:eastAsia="en-GB"/>
              </w:rPr>
            </w:pPr>
            <w:r w:rsidRPr="009B01E7">
              <w:rPr>
                <w:rFonts w:eastAsia="Times New Roman" w:cs="Arial"/>
                <w:szCs w:val="16"/>
                <w:lang w:eastAsia="en-GB"/>
              </w:rPr>
              <w:t> </w:t>
            </w:r>
          </w:p>
        </w:tc>
        <w:tc>
          <w:tcPr>
            <w:tcW w:w="978" w:type="dxa"/>
            <w:tcBorders>
              <w:top w:val="single" w:sz="4" w:space="0" w:color="55565B"/>
              <w:left w:val="nil"/>
              <w:bottom w:val="single" w:sz="8" w:space="0" w:color="55565B"/>
              <w:right w:val="nil"/>
            </w:tcBorders>
            <w:vAlign w:val="center"/>
            <w:hideMark/>
          </w:tcPr>
          <w:p w14:paraId="3E3CB407" w14:textId="77777777" w:rsidR="00E9123A" w:rsidRPr="009B01E7" w:rsidRDefault="00E9123A">
            <w:pPr>
              <w:spacing w:line="240" w:lineRule="auto"/>
              <w:jc w:val="center"/>
              <w:rPr>
                <w:rFonts w:eastAsia="Times New Roman" w:cs="Arial"/>
                <w:b/>
                <w:bCs/>
                <w:szCs w:val="16"/>
                <w:lang w:eastAsia="en-GB"/>
              </w:rPr>
            </w:pPr>
            <w:r w:rsidRPr="009B01E7">
              <w:rPr>
                <w:rFonts w:eastAsia="Times New Roman" w:cs="Arial"/>
                <w:b/>
                <w:bCs/>
                <w:szCs w:val="16"/>
                <w:lang w:eastAsia="en-GB"/>
              </w:rPr>
              <w:t xml:space="preserve">£225.4m </w:t>
            </w:r>
          </w:p>
        </w:tc>
        <w:tc>
          <w:tcPr>
            <w:tcW w:w="237" w:type="dxa"/>
            <w:tcBorders>
              <w:left w:val="nil"/>
              <w:right w:val="nil"/>
            </w:tcBorders>
          </w:tcPr>
          <w:p w14:paraId="39D33DCB" w14:textId="77777777" w:rsidR="00E9123A" w:rsidRPr="009B01E7" w:rsidRDefault="00E9123A">
            <w:pPr>
              <w:spacing w:line="240" w:lineRule="auto"/>
              <w:jc w:val="center"/>
              <w:rPr>
                <w:rFonts w:eastAsia="Times New Roman" w:cs="Arial"/>
                <w:b/>
                <w:bCs/>
                <w:szCs w:val="16"/>
                <w:lang w:eastAsia="en-GB"/>
              </w:rPr>
            </w:pPr>
          </w:p>
        </w:tc>
        <w:tc>
          <w:tcPr>
            <w:tcW w:w="1096" w:type="dxa"/>
            <w:tcBorders>
              <w:top w:val="single" w:sz="4" w:space="0" w:color="55565B"/>
              <w:left w:val="nil"/>
              <w:bottom w:val="single" w:sz="8" w:space="0" w:color="55565B"/>
              <w:right w:val="nil"/>
            </w:tcBorders>
            <w:vAlign w:val="center"/>
          </w:tcPr>
          <w:p w14:paraId="77F678FF" w14:textId="77777777" w:rsidR="00E9123A" w:rsidRPr="009B01E7" w:rsidRDefault="00E9123A">
            <w:pPr>
              <w:spacing w:line="240" w:lineRule="auto"/>
              <w:jc w:val="center"/>
              <w:rPr>
                <w:rFonts w:eastAsia="Times New Roman" w:cs="Arial"/>
                <w:b/>
                <w:i/>
                <w:szCs w:val="16"/>
                <w:lang w:eastAsia="en-GB"/>
              </w:rPr>
            </w:pPr>
            <w:r w:rsidRPr="009B01E7">
              <w:rPr>
                <w:rFonts w:eastAsia="Times New Roman" w:cs="Arial"/>
                <w:b/>
                <w:bCs/>
                <w:i/>
                <w:iCs/>
                <w:szCs w:val="16"/>
                <w:lang w:eastAsia="en-GB"/>
              </w:rPr>
              <w:t>(3)%</w:t>
            </w:r>
          </w:p>
        </w:tc>
      </w:tr>
      <w:bookmarkEnd w:id="10"/>
    </w:tbl>
    <w:p w14:paraId="461B9D86" w14:textId="77777777" w:rsidR="008858D5" w:rsidRDefault="008858D5"/>
    <w:p w14:paraId="6F0F6D7B" w14:textId="57BC919E" w:rsidR="00C21690" w:rsidRPr="00C21690" w:rsidRDefault="00C21690" w:rsidP="00C21690">
      <w:pPr>
        <w:spacing w:after="240" w:line="276" w:lineRule="auto"/>
        <w:jc w:val="both"/>
        <w:rPr>
          <w:rFonts w:eastAsia="Cambria" w:cs="Arial"/>
          <w:szCs w:val="16"/>
        </w:rPr>
      </w:pPr>
      <w:r w:rsidRPr="00C21690">
        <w:rPr>
          <w:rFonts w:eastAsia="Cambria" w:cs="Arial"/>
          <w:szCs w:val="16"/>
        </w:rPr>
        <w:t>Performance by customer channel was mixed during the year. Value &amp; Mass revenue was broadly flat at £165.4</w:t>
      </w:r>
      <w:r w:rsidR="00297D73">
        <w:rPr>
          <w:rFonts w:eastAsia="Cambria" w:cs="Arial"/>
          <w:szCs w:val="16"/>
        </w:rPr>
        <w:t xml:space="preserve"> </w:t>
      </w:r>
      <w:r w:rsidRPr="00C21690">
        <w:rPr>
          <w:rFonts w:eastAsia="Cambria" w:cs="Arial"/>
          <w:szCs w:val="16"/>
        </w:rPr>
        <w:t>m</w:t>
      </w:r>
      <w:r w:rsidR="00297D73">
        <w:rPr>
          <w:rFonts w:eastAsia="Cambria" w:cs="Arial"/>
          <w:szCs w:val="16"/>
        </w:rPr>
        <w:t>illion</w:t>
      </w:r>
      <w:r w:rsidRPr="00C21690">
        <w:rPr>
          <w:rFonts w:eastAsia="Cambria" w:cs="Arial"/>
          <w:szCs w:val="16"/>
        </w:rPr>
        <w:t xml:space="preserve"> (FY</w:t>
      </w:r>
      <w:r>
        <w:rPr>
          <w:rFonts w:eastAsia="Cambria" w:cs="Arial"/>
          <w:szCs w:val="16"/>
        </w:rPr>
        <w:t>20</w:t>
      </w:r>
      <w:r w:rsidRPr="00C21690">
        <w:rPr>
          <w:rFonts w:eastAsia="Cambria" w:cs="Arial"/>
          <w:szCs w:val="16"/>
        </w:rPr>
        <w:t>25: £165.6</w:t>
      </w:r>
      <w:r w:rsidR="00297D73">
        <w:rPr>
          <w:rFonts w:eastAsia="Cambria" w:cs="Arial"/>
          <w:szCs w:val="16"/>
        </w:rPr>
        <w:t xml:space="preserve"> </w:t>
      </w:r>
      <w:r w:rsidRPr="00C21690">
        <w:rPr>
          <w:rFonts w:eastAsia="Cambria" w:cs="Arial"/>
          <w:szCs w:val="16"/>
        </w:rPr>
        <w:t>m</w:t>
      </w:r>
      <w:r w:rsidR="00297D73">
        <w:rPr>
          <w:rFonts w:eastAsia="Cambria" w:cs="Arial"/>
          <w:szCs w:val="16"/>
        </w:rPr>
        <w:t>illion</w:t>
      </w:r>
      <w:r w:rsidRPr="00C21690">
        <w:rPr>
          <w:rFonts w:eastAsia="Cambria" w:cs="Arial"/>
          <w:szCs w:val="16"/>
        </w:rPr>
        <w:t>) and increased as a proportion of Group revenue to 76% (FY</w:t>
      </w:r>
      <w:r w:rsidR="00567C10">
        <w:rPr>
          <w:rFonts w:eastAsia="Cambria" w:cs="Arial"/>
          <w:szCs w:val="16"/>
        </w:rPr>
        <w:t>20</w:t>
      </w:r>
      <w:r w:rsidRPr="00C21690">
        <w:rPr>
          <w:rFonts w:eastAsia="Cambria" w:cs="Arial"/>
          <w:szCs w:val="16"/>
        </w:rPr>
        <w:t>25: 73%). Within the channel, performance reflected pricing and tariff</w:t>
      </w:r>
      <w:r w:rsidRPr="00C21690">
        <w:rPr>
          <w:rFonts w:ascii="Cambria Math" w:eastAsia="Cambria" w:hAnsi="Cambria Math" w:cs="Cambria Math"/>
          <w:szCs w:val="16"/>
        </w:rPr>
        <w:t>‑</w:t>
      </w:r>
      <w:r w:rsidRPr="00C21690">
        <w:rPr>
          <w:rFonts w:eastAsia="Cambria" w:cs="Arial"/>
          <w:szCs w:val="16"/>
        </w:rPr>
        <w:t>related pressures, which were offset by strategic initiatives to diversify the product offering</w:t>
      </w:r>
      <w:r w:rsidR="00597ED9">
        <w:rPr>
          <w:rFonts w:eastAsia="Cambria" w:cs="Arial"/>
          <w:szCs w:val="16"/>
        </w:rPr>
        <w:t xml:space="preserve"> and </w:t>
      </w:r>
      <w:r w:rsidR="0063792D">
        <w:rPr>
          <w:rFonts w:eastAsia="Cambria" w:cs="Arial"/>
          <w:szCs w:val="16"/>
        </w:rPr>
        <w:t>growth</w:t>
      </w:r>
      <w:r w:rsidR="00FD110D">
        <w:rPr>
          <w:rFonts w:eastAsia="Cambria" w:cs="Arial"/>
          <w:szCs w:val="16"/>
        </w:rPr>
        <w:t xml:space="preserve"> </w:t>
      </w:r>
      <w:r w:rsidR="007F29C5">
        <w:rPr>
          <w:rFonts w:eastAsia="Cambria" w:cs="Arial"/>
          <w:szCs w:val="16"/>
        </w:rPr>
        <w:t>in Australia</w:t>
      </w:r>
      <w:r w:rsidR="00492124">
        <w:rPr>
          <w:rFonts w:eastAsia="Cambria" w:cs="Arial"/>
          <w:szCs w:val="16"/>
        </w:rPr>
        <w:t xml:space="preserve">, </w:t>
      </w:r>
      <w:r w:rsidR="00693BEE">
        <w:rPr>
          <w:rFonts w:eastAsia="Cambria" w:cs="Arial"/>
          <w:szCs w:val="16"/>
        </w:rPr>
        <w:t xml:space="preserve">which </w:t>
      </w:r>
      <w:r w:rsidR="00693BEE" w:rsidRPr="00C21690">
        <w:rPr>
          <w:rFonts w:eastAsia="Cambria" w:cs="Arial"/>
          <w:szCs w:val="16"/>
        </w:rPr>
        <w:t>contribut</w:t>
      </w:r>
      <w:r w:rsidR="00693BEE">
        <w:rPr>
          <w:rFonts w:eastAsia="Cambria" w:cs="Arial"/>
          <w:szCs w:val="16"/>
        </w:rPr>
        <w:t>ed</w:t>
      </w:r>
      <w:r w:rsidRPr="00C21690">
        <w:rPr>
          <w:rFonts w:eastAsia="Cambria" w:cs="Arial"/>
          <w:szCs w:val="16"/>
        </w:rPr>
        <w:t xml:space="preserve"> to the overall resilience of the channel.</w:t>
      </w:r>
    </w:p>
    <w:p w14:paraId="0A01DB86" w14:textId="15977F1C" w:rsidR="00C21690" w:rsidRPr="00C21690" w:rsidRDefault="00C21690" w:rsidP="00C21690">
      <w:pPr>
        <w:spacing w:after="240" w:line="276" w:lineRule="auto"/>
        <w:jc w:val="both"/>
        <w:rPr>
          <w:rFonts w:eastAsia="Cambria" w:cs="Arial"/>
          <w:szCs w:val="16"/>
        </w:rPr>
      </w:pPr>
      <w:r w:rsidRPr="00C21690">
        <w:rPr>
          <w:rFonts w:eastAsia="Cambria" w:cs="Arial"/>
          <w:szCs w:val="16"/>
        </w:rPr>
        <w:t>The Independents channel experienced the most significant decline, with revenue decreasing 18% to £34.6</w:t>
      </w:r>
      <w:r w:rsidR="00297D73">
        <w:rPr>
          <w:rFonts w:eastAsia="Cambria" w:cs="Arial"/>
          <w:szCs w:val="16"/>
        </w:rPr>
        <w:t xml:space="preserve"> </w:t>
      </w:r>
      <w:r w:rsidRPr="00C21690">
        <w:rPr>
          <w:rFonts w:eastAsia="Cambria" w:cs="Arial"/>
          <w:szCs w:val="16"/>
        </w:rPr>
        <w:t>m</w:t>
      </w:r>
      <w:r w:rsidR="00297D73">
        <w:rPr>
          <w:rFonts w:eastAsia="Cambria" w:cs="Arial"/>
          <w:szCs w:val="16"/>
        </w:rPr>
        <w:t>illion</w:t>
      </w:r>
      <w:r w:rsidRPr="00C21690">
        <w:rPr>
          <w:rFonts w:eastAsia="Cambria" w:cs="Arial"/>
          <w:szCs w:val="16"/>
        </w:rPr>
        <w:t xml:space="preserve"> (FY</w:t>
      </w:r>
      <w:r>
        <w:rPr>
          <w:rFonts w:eastAsia="Cambria" w:cs="Arial"/>
          <w:szCs w:val="16"/>
        </w:rPr>
        <w:t>20</w:t>
      </w:r>
      <w:r w:rsidRPr="00C21690">
        <w:rPr>
          <w:rFonts w:eastAsia="Cambria" w:cs="Arial"/>
          <w:szCs w:val="16"/>
        </w:rPr>
        <w:t>25: £42.2</w:t>
      </w:r>
      <w:r w:rsidR="00297D73">
        <w:rPr>
          <w:rFonts w:eastAsia="Cambria" w:cs="Arial"/>
          <w:szCs w:val="16"/>
        </w:rPr>
        <w:t xml:space="preserve"> </w:t>
      </w:r>
      <w:r w:rsidRPr="00C21690">
        <w:rPr>
          <w:rFonts w:eastAsia="Cambria" w:cs="Arial"/>
          <w:szCs w:val="16"/>
        </w:rPr>
        <w:t>m</w:t>
      </w:r>
      <w:r w:rsidR="00297D73">
        <w:rPr>
          <w:rFonts w:eastAsia="Cambria" w:cs="Arial"/>
          <w:szCs w:val="16"/>
        </w:rPr>
        <w:t>illion</w:t>
      </w:r>
      <w:r w:rsidRPr="00C21690">
        <w:rPr>
          <w:rFonts w:eastAsia="Cambria" w:cs="Arial"/>
          <w:szCs w:val="16"/>
        </w:rPr>
        <w:t>), reducing its share of Group revenue to 16% (FY</w:t>
      </w:r>
      <w:r>
        <w:rPr>
          <w:rFonts w:eastAsia="Cambria" w:cs="Arial"/>
          <w:szCs w:val="16"/>
        </w:rPr>
        <w:t>20</w:t>
      </w:r>
      <w:r w:rsidRPr="00C21690">
        <w:rPr>
          <w:rFonts w:eastAsia="Cambria" w:cs="Arial"/>
          <w:szCs w:val="16"/>
        </w:rPr>
        <w:t>25: 19%). The decline was UK</w:t>
      </w:r>
      <w:r w:rsidRPr="00C21690">
        <w:rPr>
          <w:rFonts w:ascii="Cambria Math" w:eastAsia="Cambria" w:hAnsi="Cambria Math" w:cs="Cambria Math"/>
          <w:szCs w:val="16"/>
        </w:rPr>
        <w:t>‑</w:t>
      </w:r>
      <w:r w:rsidRPr="00C21690">
        <w:rPr>
          <w:rFonts w:eastAsia="Cambria" w:cs="Arial"/>
          <w:szCs w:val="16"/>
        </w:rPr>
        <w:t>related and reflects a particularly challenging trading environment for UK independent retailers, characterised by reduced consumer footfall and discretionary spending, rising operating costs, and continued competitive pressure from online and larger</w:t>
      </w:r>
      <w:r w:rsidRPr="00C21690">
        <w:rPr>
          <w:rFonts w:ascii="Cambria Math" w:eastAsia="Cambria" w:hAnsi="Cambria Math" w:cs="Cambria Math"/>
          <w:szCs w:val="16"/>
        </w:rPr>
        <w:t>‑</w:t>
      </w:r>
      <w:r w:rsidRPr="00C21690">
        <w:rPr>
          <w:rFonts w:eastAsia="Cambria" w:cs="Arial"/>
          <w:szCs w:val="16"/>
        </w:rPr>
        <w:t>format retailers. In contrast, Australian independent customer sales held up well and delivered year</w:t>
      </w:r>
      <w:r w:rsidRPr="00C21690">
        <w:rPr>
          <w:rFonts w:ascii="Cambria Math" w:eastAsia="Cambria" w:hAnsi="Cambria Math" w:cs="Cambria Math"/>
          <w:szCs w:val="16"/>
        </w:rPr>
        <w:t>‑</w:t>
      </w:r>
      <w:r w:rsidRPr="00C21690">
        <w:rPr>
          <w:rFonts w:eastAsia="Cambria" w:cs="Arial"/>
          <w:szCs w:val="16"/>
        </w:rPr>
        <w:t>on</w:t>
      </w:r>
      <w:r w:rsidRPr="00C21690">
        <w:rPr>
          <w:rFonts w:ascii="Cambria Math" w:eastAsia="Cambria" w:hAnsi="Cambria Math" w:cs="Cambria Math"/>
          <w:szCs w:val="16"/>
        </w:rPr>
        <w:t>‑</w:t>
      </w:r>
      <w:r w:rsidRPr="00C21690">
        <w:rPr>
          <w:rFonts w:eastAsia="Cambria" w:cs="Arial"/>
          <w:szCs w:val="16"/>
        </w:rPr>
        <w:t>year growth, reflecting a more favourable market backdrop and continued customer engagement in the region.</w:t>
      </w:r>
    </w:p>
    <w:p w14:paraId="214D8857" w14:textId="06172826" w:rsidR="00977C94" w:rsidRPr="00B8452B" w:rsidRDefault="00EF6FCC" w:rsidP="00C21690">
      <w:pPr>
        <w:spacing w:after="240" w:line="276" w:lineRule="auto"/>
        <w:jc w:val="both"/>
        <w:rPr>
          <w:rFonts w:eastAsia="Cambria" w:cs="Arial"/>
          <w:szCs w:val="16"/>
        </w:rPr>
      </w:pPr>
      <w:r w:rsidRPr="00C21690">
        <w:rPr>
          <w:rFonts w:eastAsia="Cambria" w:cs="Arial"/>
          <w:szCs w:val="16"/>
        </w:rPr>
        <w:t>Specialists</w:t>
      </w:r>
      <w:r w:rsidR="00C21690" w:rsidRPr="00C21690">
        <w:rPr>
          <w:rFonts w:eastAsia="Cambria" w:cs="Arial"/>
          <w:szCs w:val="16"/>
        </w:rPr>
        <w:t xml:space="preserve"> revenue increased modestly and remained stable at 8% of Group revenue.</w:t>
      </w:r>
      <w:r w:rsidR="00484CD9">
        <w:rPr>
          <w:rFonts w:eastAsia="Cambria" w:cs="Arial"/>
          <w:szCs w:val="16"/>
        </w:rPr>
        <w:t xml:space="preserve"> </w:t>
      </w:r>
      <w:r w:rsidR="00C21690" w:rsidRPr="00C21690">
        <w:rPr>
          <w:rFonts w:eastAsia="Cambria" w:cs="Arial"/>
          <w:szCs w:val="16"/>
        </w:rPr>
        <w:t>As a result, the Group experienced a shift in channel mix towards larger customer</w:t>
      </w:r>
      <w:r w:rsidR="00110FD9">
        <w:rPr>
          <w:rFonts w:eastAsia="Cambria" w:cs="Arial"/>
          <w:szCs w:val="16"/>
        </w:rPr>
        <w:t>s, which</w:t>
      </w:r>
      <w:r w:rsidR="00FB1875">
        <w:rPr>
          <w:rFonts w:eastAsia="Cambria" w:cs="Arial"/>
          <w:szCs w:val="16"/>
        </w:rPr>
        <w:t xml:space="preserve">, alongside </w:t>
      </w:r>
      <w:r w:rsidR="00110FD9">
        <w:rPr>
          <w:rFonts w:eastAsia="Cambria" w:cs="Arial"/>
          <w:szCs w:val="16"/>
        </w:rPr>
        <w:t xml:space="preserve">the continued growth of </w:t>
      </w:r>
      <w:r w:rsidR="00FB1875">
        <w:rPr>
          <w:rFonts w:eastAsia="Cambria" w:cs="Arial"/>
          <w:szCs w:val="16"/>
        </w:rPr>
        <w:t xml:space="preserve">online retail, </w:t>
      </w:r>
      <w:r w:rsidR="00110FD9">
        <w:rPr>
          <w:rFonts w:eastAsia="Cambria" w:cs="Arial"/>
          <w:szCs w:val="16"/>
        </w:rPr>
        <w:t xml:space="preserve">increasingly </w:t>
      </w:r>
      <w:r w:rsidR="00FB1875">
        <w:rPr>
          <w:rFonts w:eastAsia="Cambria" w:cs="Arial"/>
          <w:szCs w:val="16"/>
        </w:rPr>
        <w:t xml:space="preserve">dominate the marketplace. </w:t>
      </w:r>
    </w:p>
    <w:tbl>
      <w:tblPr>
        <w:tblW w:w="7655" w:type="dxa"/>
        <w:tblLayout w:type="fixed"/>
        <w:tblLook w:val="04A0" w:firstRow="1" w:lastRow="0" w:firstColumn="1" w:lastColumn="0" w:noHBand="0" w:noVBand="1"/>
      </w:tblPr>
      <w:tblGrid>
        <w:gridCol w:w="2716"/>
        <w:gridCol w:w="720"/>
        <w:gridCol w:w="924"/>
        <w:gridCol w:w="35"/>
        <w:gridCol w:w="249"/>
        <w:gridCol w:w="114"/>
        <w:gridCol w:w="595"/>
        <w:gridCol w:w="1026"/>
        <w:gridCol w:w="284"/>
        <w:gridCol w:w="992"/>
      </w:tblGrid>
      <w:tr w:rsidR="00572CF1" w:rsidRPr="001A0FEC" w14:paraId="09F8CE1C" w14:textId="77777777">
        <w:trPr>
          <w:trHeight w:val="300"/>
        </w:trPr>
        <w:tc>
          <w:tcPr>
            <w:tcW w:w="2716" w:type="dxa"/>
            <w:tcBorders>
              <w:top w:val="nil"/>
              <w:left w:val="nil"/>
              <w:bottom w:val="single" w:sz="4" w:space="0" w:color="55565B"/>
              <w:right w:val="nil"/>
            </w:tcBorders>
            <w:vAlign w:val="bottom"/>
            <w:hideMark/>
          </w:tcPr>
          <w:p w14:paraId="5E5E73AE" w14:textId="77777777" w:rsidR="008858D5" w:rsidRPr="00BF345E" w:rsidRDefault="008858D5" w:rsidP="008858D5">
            <w:pPr>
              <w:spacing w:line="240" w:lineRule="auto"/>
              <w:rPr>
                <w:rFonts w:eastAsia="Times New Roman" w:cs="Arial"/>
                <w:b/>
                <w:bCs/>
                <w:szCs w:val="16"/>
                <w:lang w:eastAsia="en-GB"/>
              </w:rPr>
            </w:pPr>
            <w:r w:rsidRPr="00BF345E">
              <w:rPr>
                <w:rFonts w:eastAsia="Times New Roman" w:cs="Arial"/>
                <w:b/>
                <w:bCs/>
                <w:szCs w:val="16"/>
                <w:lang w:eastAsia="en-GB"/>
              </w:rPr>
              <w:t>Revenue by season</w:t>
            </w:r>
          </w:p>
        </w:tc>
        <w:tc>
          <w:tcPr>
            <w:tcW w:w="1679" w:type="dxa"/>
            <w:gridSpan w:val="3"/>
            <w:tcBorders>
              <w:top w:val="nil"/>
              <w:left w:val="nil"/>
              <w:bottom w:val="single" w:sz="4" w:space="0" w:color="55565B"/>
              <w:right w:val="nil"/>
            </w:tcBorders>
            <w:vAlign w:val="center"/>
            <w:hideMark/>
          </w:tcPr>
          <w:p w14:paraId="6888B4CC" w14:textId="205570B8" w:rsidR="008858D5" w:rsidRPr="00BF345E" w:rsidRDefault="008858D5" w:rsidP="008858D5">
            <w:pPr>
              <w:spacing w:line="240" w:lineRule="auto"/>
              <w:jc w:val="center"/>
              <w:rPr>
                <w:rFonts w:eastAsia="Times New Roman" w:cs="Arial"/>
                <w:b/>
                <w:bCs/>
                <w:szCs w:val="16"/>
                <w:lang w:eastAsia="en-GB"/>
              </w:rPr>
            </w:pPr>
            <w:r w:rsidRPr="00BF345E">
              <w:rPr>
                <w:rFonts w:eastAsia="Times New Roman" w:cs="Arial"/>
                <w:b/>
                <w:bCs/>
                <w:szCs w:val="16"/>
                <w:lang w:eastAsia="en-GB"/>
              </w:rPr>
              <w:t>FY202</w:t>
            </w:r>
            <w:r w:rsidR="00B9304D">
              <w:rPr>
                <w:rFonts w:eastAsia="Times New Roman" w:cs="Arial"/>
                <w:b/>
                <w:bCs/>
                <w:szCs w:val="16"/>
                <w:lang w:eastAsia="en-GB"/>
              </w:rPr>
              <w:t>6</w:t>
            </w:r>
          </w:p>
        </w:tc>
        <w:tc>
          <w:tcPr>
            <w:tcW w:w="363" w:type="dxa"/>
            <w:gridSpan w:val="2"/>
            <w:tcBorders>
              <w:top w:val="nil"/>
              <w:left w:val="nil"/>
              <w:bottom w:val="nil"/>
              <w:right w:val="nil"/>
            </w:tcBorders>
            <w:noWrap/>
            <w:vAlign w:val="bottom"/>
            <w:hideMark/>
          </w:tcPr>
          <w:p w14:paraId="5F8CE71A" w14:textId="77777777" w:rsidR="008858D5" w:rsidRPr="00BF345E" w:rsidRDefault="008858D5" w:rsidP="008858D5">
            <w:pPr>
              <w:spacing w:line="240" w:lineRule="auto"/>
              <w:jc w:val="center"/>
              <w:rPr>
                <w:rFonts w:eastAsia="Times New Roman" w:cs="Arial"/>
                <w:b/>
                <w:bCs/>
                <w:szCs w:val="16"/>
                <w:lang w:eastAsia="en-GB"/>
              </w:rPr>
            </w:pPr>
          </w:p>
        </w:tc>
        <w:tc>
          <w:tcPr>
            <w:tcW w:w="1621" w:type="dxa"/>
            <w:gridSpan w:val="2"/>
            <w:tcBorders>
              <w:top w:val="nil"/>
              <w:left w:val="nil"/>
              <w:bottom w:val="single" w:sz="4" w:space="0" w:color="55565B"/>
              <w:right w:val="nil"/>
            </w:tcBorders>
            <w:vAlign w:val="center"/>
            <w:hideMark/>
          </w:tcPr>
          <w:p w14:paraId="3B8AA6FD" w14:textId="3578360C" w:rsidR="008858D5" w:rsidRPr="00BF345E" w:rsidRDefault="008858D5" w:rsidP="008858D5">
            <w:pPr>
              <w:spacing w:line="240" w:lineRule="auto"/>
              <w:jc w:val="center"/>
              <w:rPr>
                <w:rFonts w:eastAsia="Times New Roman" w:cs="Arial"/>
                <w:b/>
                <w:bCs/>
                <w:szCs w:val="16"/>
                <w:lang w:eastAsia="en-GB"/>
              </w:rPr>
            </w:pPr>
            <w:r w:rsidRPr="00BF345E">
              <w:rPr>
                <w:rFonts w:eastAsia="Times New Roman" w:cs="Arial"/>
                <w:b/>
                <w:bCs/>
                <w:szCs w:val="16"/>
                <w:lang w:eastAsia="en-GB"/>
              </w:rPr>
              <w:t>FY202</w:t>
            </w:r>
            <w:r w:rsidR="00F50FE0" w:rsidRPr="00BF345E">
              <w:rPr>
                <w:rFonts w:eastAsia="Times New Roman" w:cs="Arial"/>
                <w:b/>
                <w:bCs/>
                <w:szCs w:val="16"/>
                <w:lang w:eastAsia="en-GB"/>
              </w:rPr>
              <w:t>5</w:t>
            </w:r>
          </w:p>
        </w:tc>
        <w:tc>
          <w:tcPr>
            <w:tcW w:w="284" w:type="dxa"/>
            <w:tcBorders>
              <w:top w:val="nil"/>
              <w:left w:val="nil"/>
              <w:right w:val="nil"/>
            </w:tcBorders>
          </w:tcPr>
          <w:p w14:paraId="513509E2" w14:textId="77777777" w:rsidR="008858D5" w:rsidRPr="00BF345E" w:rsidRDefault="008858D5" w:rsidP="008858D5">
            <w:pPr>
              <w:spacing w:line="240" w:lineRule="auto"/>
              <w:jc w:val="center"/>
              <w:rPr>
                <w:rFonts w:eastAsia="Times New Roman" w:cs="Arial"/>
                <w:b/>
                <w:bCs/>
                <w:szCs w:val="16"/>
                <w:lang w:eastAsia="en-GB"/>
              </w:rPr>
            </w:pPr>
          </w:p>
        </w:tc>
        <w:tc>
          <w:tcPr>
            <w:tcW w:w="992" w:type="dxa"/>
            <w:tcBorders>
              <w:top w:val="nil"/>
              <w:left w:val="nil"/>
              <w:bottom w:val="single" w:sz="4" w:space="0" w:color="55565B"/>
              <w:right w:val="nil"/>
            </w:tcBorders>
          </w:tcPr>
          <w:p w14:paraId="7AC8F1FF" w14:textId="77777777" w:rsidR="008858D5" w:rsidRPr="00BF345E" w:rsidRDefault="008858D5" w:rsidP="008858D5">
            <w:pPr>
              <w:spacing w:line="240" w:lineRule="auto"/>
              <w:jc w:val="center"/>
              <w:rPr>
                <w:rFonts w:eastAsia="Times New Roman" w:cs="Arial"/>
                <w:b/>
                <w:bCs/>
                <w:szCs w:val="16"/>
                <w:lang w:eastAsia="en-GB"/>
              </w:rPr>
            </w:pPr>
            <w:r w:rsidRPr="00BF345E">
              <w:rPr>
                <w:rFonts w:eastAsia="Times New Roman" w:cs="Arial"/>
                <w:b/>
                <w:bCs/>
                <w:i/>
                <w:iCs/>
                <w:szCs w:val="16"/>
                <w:lang w:eastAsia="en-GB"/>
              </w:rPr>
              <w:t>Change %</w:t>
            </w:r>
          </w:p>
        </w:tc>
      </w:tr>
      <w:tr w:rsidR="00572CF1" w:rsidRPr="001A0FEC" w14:paraId="1F475A11" w14:textId="77777777">
        <w:trPr>
          <w:trHeight w:val="300"/>
        </w:trPr>
        <w:tc>
          <w:tcPr>
            <w:tcW w:w="2716" w:type="dxa"/>
            <w:tcBorders>
              <w:top w:val="nil"/>
              <w:left w:val="nil"/>
              <w:bottom w:val="nil"/>
              <w:right w:val="nil"/>
            </w:tcBorders>
            <w:vAlign w:val="center"/>
            <w:hideMark/>
          </w:tcPr>
          <w:p w14:paraId="2907AF10" w14:textId="77777777" w:rsidR="008858D5" w:rsidRPr="00BF345E" w:rsidRDefault="008858D5" w:rsidP="008858D5">
            <w:pPr>
              <w:spacing w:line="240" w:lineRule="auto"/>
              <w:jc w:val="both"/>
              <w:rPr>
                <w:rFonts w:eastAsia="Times New Roman" w:cs="Arial"/>
                <w:szCs w:val="16"/>
                <w:lang w:eastAsia="en-GB"/>
              </w:rPr>
            </w:pPr>
            <w:r w:rsidRPr="00BF345E">
              <w:rPr>
                <w:rFonts w:eastAsia="Times New Roman" w:cs="Arial"/>
                <w:szCs w:val="16"/>
                <w:lang w:eastAsia="en-GB"/>
              </w:rPr>
              <w:t>Everyday</w:t>
            </w:r>
          </w:p>
        </w:tc>
        <w:tc>
          <w:tcPr>
            <w:tcW w:w="720" w:type="dxa"/>
            <w:tcBorders>
              <w:top w:val="nil"/>
              <w:left w:val="nil"/>
              <w:bottom w:val="nil"/>
              <w:right w:val="nil"/>
            </w:tcBorders>
            <w:vAlign w:val="center"/>
            <w:hideMark/>
          </w:tcPr>
          <w:p w14:paraId="26D3B6B5" w14:textId="29844804" w:rsidR="008858D5" w:rsidRPr="00E54345" w:rsidRDefault="00BF345E" w:rsidP="008858D5">
            <w:pPr>
              <w:spacing w:line="240" w:lineRule="auto"/>
              <w:jc w:val="center"/>
              <w:rPr>
                <w:rFonts w:eastAsia="Times New Roman" w:cs="Arial"/>
                <w:szCs w:val="16"/>
                <w:lang w:eastAsia="en-GB"/>
              </w:rPr>
            </w:pPr>
            <w:r w:rsidRPr="00E54345">
              <w:rPr>
                <w:rFonts w:eastAsia="Times New Roman" w:cs="Arial"/>
                <w:szCs w:val="16"/>
                <w:lang w:eastAsia="en-GB"/>
              </w:rPr>
              <w:t>56</w:t>
            </w:r>
            <w:r w:rsidR="008858D5" w:rsidRPr="00E54345">
              <w:rPr>
                <w:rFonts w:eastAsia="Times New Roman" w:cs="Arial"/>
                <w:szCs w:val="16"/>
                <w:lang w:eastAsia="en-GB"/>
              </w:rPr>
              <w:t>%</w:t>
            </w:r>
          </w:p>
        </w:tc>
        <w:tc>
          <w:tcPr>
            <w:tcW w:w="924" w:type="dxa"/>
            <w:tcBorders>
              <w:top w:val="nil"/>
              <w:left w:val="nil"/>
              <w:bottom w:val="nil"/>
              <w:right w:val="nil"/>
            </w:tcBorders>
            <w:vAlign w:val="center"/>
            <w:hideMark/>
          </w:tcPr>
          <w:p w14:paraId="2314F295" w14:textId="3460D1B5" w:rsidR="008858D5" w:rsidRPr="00DC0C55" w:rsidRDefault="00BF345E" w:rsidP="008858D5">
            <w:pPr>
              <w:spacing w:line="240" w:lineRule="auto"/>
              <w:jc w:val="center"/>
              <w:rPr>
                <w:rFonts w:eastAsia="Times New Roman" w:cs="Arial"/>
                <w:szCs w:val="16"/>
                <w:lang w:eastAsia="en-GB"/>
              </w:rPr>
            </w:pPr>
            <w:r w:rsidRPr="00DC0C55">
              <w:rPr>
                <w:rFonts w:eastAsia="Times New Roman" w:cs="Arial"/>
                <w:szCs w:val="16"/>
                <w:lang w:eastAsia="en-GB"/>
              </w:rPr>
              <w:t>£</w:t>
            </w:r>
            <w:r w:rsidR="001D7AAD" w:rsidRPr="00DC0C55">
              <w:rPr>
                <w:rFonts w:eastAsia="Times New Roman" w:cs="Arial"/>
                <w:szCs w:val="16"/>
                <w:lang w:eastAsia="en-GB"/>
              </w:rPr>
              <w:t>121.2</w:t>
            </w:r>
            <w:r w:rsidR="008858D5" w:rsidRPr="00DC0C55">
              <w:rPr>
                <w:rFonts w:eastAsia="Times New Roman" w:cs="Arial"/>
                <w:szCs w:val="16"/>
                <w:lang w:eastAsia="en-GB"/>
              </w:rPr>
              <w:t>m</w:t>
            </w:r>
            <w:r w:rsidR="008858D5" w:rsidRPr="00DC0C55" w:rsidDel="003F5329">
              <w:rPr>
                <w:rFonts w:eastAsia="Times New Roman" w:cs="Arial"/>
                <w:szCs w:val="16"/>
                <w:lang w:eastAsia="en-GB"/>
              </w:rPr>
              <w:t xml:space="preserve"> </w:t>
            </w:r>
          </w:p>
        </w:tc>
        <w:tc>
          <w:tcPr>
            <w:tcW w:w="284" w:type="dxa"/>
            <w:gridSpan w:val="2"/>
            <w:tcBorders>
              <w:top w:val="nil"/>
              <w:left w:val="nil"/>
              <w:bottom w:val="nil"/>
              <w:right w:val="nil"/>
            </w:tcBorders>
            <w:noWrap/>
            <w:vAlign w:val="bottom"/>
            <w:hideMark/>
          </w:tcPr>
          <w:p w14:paraId="75AAF3C6" w14:textId="77777777" w:rsidR="008858D5" w:rsidRPr="00B8452B" w:rsidRDefault="008858D5" w:rsidP="008858D5">
            <w:pPr>
              <w:spacing w:line="240" w:lineRule="auto"/>
              <w:jc w:val="center"/>
              <w:rPr>
                <w:rFonts w:eastAsia="Times New Roman" w:cs="Arial"/>
                <w:szCs w:val="16"/>
                <w:lang w:eastAsia="en-GB"/>
              </w:rPr>
            </w:pPr>
          </w:p>
        </w:tc>
        <w:tc>
          <w:tcPr>
            <w:tcW w:w="709" w:type="dxa"/>
            <w:gridSpan w:val="2"/>
            <w:tcBorders>
              <w:top w:val="nil"/>
              <w:left w:val="nil"/>
              <w:bottom w:val="nil"/>
              <w:right w:val="nil"/>
            </w:tcBorders>
            <w:vAlign w:val="center"/>
            <w:hideMark/>
          </w:tcPr>
          <w:p w14:paraId="3A56F53B" w14:textId="0CF017D1" w:rsidR="008858D5" w:rsidRPr="00FF40FD" w:rsidRDefault="008858D5" w:rsidP="008858D5">
            <w:pPr>
              <w:spacing w:line="240" w:lineRule="auto"/>
              <w:jc w:val="center"/>
              <w:rPr>
                <w:rFonts w:eastAsia="Times New Roman" w:cs="Arial"/>
                <w:szCs w:val="16"/>
                <w:lang w:eastAsia="en-GB"/>
              </w:rPr>
            </w:pPr>
            <w:r w:rsidRPr="00FF40FD">
              <w:rPr>
                <w:rFonts w:eastAsia="Times New Roman" w:cs="Arial"/>
                <w:szCs w:val="16"/>
                <w:lang w:eastAsia="en-GB"/>
              </w:rPr>
              <w:t>5</w:t>
            </w:r>
            <w:r w:rsidR="005E736E">
              <w:rPr>
                <w:rFonts w:eastAsia="Times New Roman" w:cs="Arial"/>
                <w:szCs w:val="16"/>
                <w:lang w:eastAsia="en-GB"/>
              </w:rPr>
              <w:t>6</w:t>
            </w:r>
            <w:r w:rsidRPr="00FF40FD">
              <w:rPr>
                <w:rFonts w:eastAsia="Times New Roman" w:cs="Arial"/>
                <w:szCs w:val="16"/>
                <w:lang w:eastAsia="en-GB"/>
              </w:rPr>
              <w:t>%</w:t>
            </w:r>
          </w:p>
        </w:tc>
        <w:tc>
          <w:tcPr>
            <w:tcW w:w="1026" w:type="dxa"/>
            <w:tcBorders>
              <w:top w:val="nil"/>
              <w:left w:val="nil"/>
              <w:bottom w:val="nil"/>
              <w:right w:val="nil"/>
            </w:tcBorders>
            <w:vAlign w:val="center"/>
            <w:hideMark/>
          </w:tcPr>
          <w:p w14:paraId="350AAD7A" w14:textId="4EAA596B" w:rsidR="008858D5" w:rsidRPr="004B468B" w:rsidRDefault="00FF40FD" w:rsidP="008858D5">
            <w:pPr>
              <w:spacing w:line="240" w:lineRule="auto"/>
              <w:jc w:val="center"/>
              <w:rPr>
                <w:rFonts w:eastAsia="Times New Roman" w:cs="Arial"/>
                <w:szCs w:val="16"/>
                <w:lang w:eastAsia="en-GB"/>
              </w:rPr>
            </w:pPr>
            <w:r w:rsidRPr="004B468B">
              <w:rPr>
                <w:rFonts w:eastAsia="Times New Roman" w:cs="Arial"/>
                <w:szCs w:val="16"/>
                <w:lang w:eastAsia="en-GB"/>
              </w:rPr>
              <w:t>£124.8</w:t>
            </w:r>
            <w:r w:rsidR="008858D5" w:rsidRPr="004B468B">
              <w:rPr>
                <w:rFonts w:eastAsia="Times New Roman" w:cs="Arial"/>
                <w:szCs w:val="16"/>
                <w:lang w:eastAsia="en-GB"/>
              </w:rPr>
              <w:t xml:space="preserve">m </w:t>
            </w:r>
          </w:p>
        </w:tc>
        <w:tc>
          <w:tcPr>
            <w:tcW w:w="284" w:type="dxa"/>
            <w:tcBorders>
              <w:top w:val="nil"/>
              <w:left w:val="nil"/>
              <w:bottom w:val="nil"/>
              <w:right w:val="nil"/>
            </w:tcBorders>
          </w:tcPr>
          <w:p w14:paraId="75AE0160" w14:textId="77777777" w:rsidR="008858D5" w:rsidRPr="00B8452B" w:rsidRDefault="008858D5" w:rsidP="008858D5">
            <w:pPr>
              <w:spacing w:line="240" w:lineRule="auto"/>
              <w:jc w:val="center"/>
              <w:rPr>
                <w:rFonts w:eastAsia="Times New Roman" w:cs="Arial"/>
                <w:szCs w:val="16"/>
                <w:lang w:eastAsia="en-GB"/>
              </w:rPr>
            </w:pPr>
          </w:p>
        </w:tc>
        <w:tc>
          <w:tcPr>
            <w:tcW w:w="992" w:type="dxa"/>
            <w:tcBorders>
              <w:top w:val="nil"/>
              <w:left w:val="nil"/>
              <w:bottom w:val="nil"/>
              <w:right w:val="nil"/>
            </w:tcBorders>
            <w:vAlign w:val="center"/>
          </w:tcPr>
          <w:p w14:paraId="2F77BAD5" w14:textId="25406A65" w:rsidR="008858D5" w:rsidRPr="00E76035" w:rsidRDefault="008858D5" w:rsidP="008858D5">
            <w:pPr>
              <w:spacing w:line="240" w:lineRule="auto"/>
              <w:jc w:val="center"/>
              <w:rPr>
                <w:rFonts w:eastAsia="Times New Roman" w:cs="Arial"/>
                <w:i/>
                <w:szCs w:val="16"/>
                <w:lang w:eastAsia="en-GB"/>
              </w:rPr>
            </w:pPr>
            <w:r w:rsidRPr="00E76035">
              <w:rPr>
                <w:rFonts w:eastAsia="Times New Roman" w:cs="Arial"/>
                <w:i/>
                <w:szCs w:val="16"/>
                <w:lang w:eastAsia="en-GB"/>
              </w:rPr>
              <w:t>(</w:t>
            </w:r>
            <w:r w:rsidR="004B468B" w:rsidRPr="00E76035">
              <w:rPr>
                <w:rFonts w:eastAsia="Times New Roman" w:cs="Arial"/>
                <w:i/>
                <w:szCs w:val="16"/>
                <w:lang w:eastAsia="en-GB"/>
              </w:rPr>
              <w:t>3</w:t>
            </w:r>
            <w:r w:rsidRPr="00E76035">
              <w:rPr>
                <w:rFonts w:eastAsia="Times New Roman" w:cs="Arial"/>
                <w:i/>
                <w:szCs w:val="16"/>
                <w:lang w:eastAsia="en-GB"/>
              </w:rPr>
              <w:t>)%</w:t>
            </w:r>
          </w:p>
        </w:tc>
      </w:tr>
      <w:tr w:rsidR="00572CF1" w:rsidRPr="001A0FEC" w14:paraId="320BEEFA" w14:textId="77777777">
        <w:trPr>
          <w:trHeight w:val="300"/>
        </w:trPr>
        <w:tc>
          <w:tcPr>
            <w:tcW w:w="2716" w:type="dxa"/>
            <w:tcBorders>
              <w:top w:val="nil"/>
              <w:left w:val="nil"/>
              <w:bottom w:val="nil"/>
              <w:right w:val="nil"/>
            </w:tcBorders>
            <w:vAlign w:val="center"/>
            <w:hideMark/>
          </w:tcPr>
          <w:p w14:paraId="0F570C1B" w14:textId="77777777" w:rsidR="008858D5" w:rsidRPr="00BF345E" w:rsidRDefault="008858D5" w:rsidP="008858D5">
            <w:pPr>
              <w:spacing w:line="240" w:lineRule="auto"/>
              <w:jc w:val="both"/>
              <w:rPr>
                <w:rFonts w:eastAsia="Times New Roman" w:cs="Arial"/>
                <w:szCs w:val="16"/>
                <w:lang w:eastAsia="en-GB"/>
              </w:rPr>
            </w:pPr>
            <w:r w:rsidRPr="00BF345E">
              <w:rPr>
                <w:rFonts w:eastAsia="Times New Roman" w:cs="Arial"/>
                <w:szCs w:val="16"/>
                <w:lang w:eastAsia="en-GB"/>
              </w:rPr>
              <w:t>Christmas</w:t>
            </w:r>
          </w:p>
        </w:tc>
        <w:tc>
          <w:tcPr>
            <w:tcW w:w="720" w:type="dxa"/>
            <w:tcBorders>
              <w:top w:val="nil"/>
              <w:left w:val="nil"/>
              <w:bottom w:val="nil"/>
              <w:right w:val="nil"/>
            </w:tcBorders>
            <w:vAlign w:val="center"/>
            <w:hideMark/>
          </w:tcPr>
          <w:p w14:paraId="197817B1" w14:textId="57D3AC5F" w:rsidR="008858D5" w:rsidRPr="00E54345" w:rsidRDefault="00BF345E" w:rsidP="008858D5">
            <w:pPr>
              <w:spacing w:line="240" w:lineRule="auto"/>
              <w:jc w:val="center"/>
              <w:rPr>
                <w:rFonts w:eastAsia="Times New Roman" w:cs="Arial"/>
                <w:szCs w:val="16"/>
                <w:lang w:eastAsia="en-GB"/>
              </w:rPr>
            </w:pPr>
            <w:r w:rsidRPr="00E54345">
              <w:rPr>
                <w:rFonts w:eastAsia="Times New Roman" w:cs="Arial"/>
                <w:szCs w:val="16"/>
                <w:lang w:eastAsia="en-GB"/>
              </w:rPr>
              <w:t>41</w:t>
            </w:r>
            <w:r w:rsidR="008858D5" w:rsidRPr="00E54345">
              <w:rPr>
                <w:rFonts w:eastAsia="Times New Roman" w:cs="Arial"/>
                <w:szCs w:val="16"/>
                <w:lang w:eastAsia="en-GB"/>
              </w:rPr>
              <w:t>%</w:t>
            </w:r>
          </w:p>
        </w:tc>
        <w:tc>
          <w:tcPr>
            <w:tcW w:w="924" w:type="dxa"/>
            <w:tcBorders>
              <w:top w:val="nil"/>
              <w:left w:val="nil"/>
              <w:bottom w:val="nil"/>
              <w:right w:val="nil"/>
            </w:tcBorders>
            <w:vAlign w:val="center"/>
            <w:hideMark/>
          </w:tcPr>
          <w:p w14:paraId="2F319766" w14:textId="4CEF1752" w:rsidR="008858D5" w:rsidRPr="00DC0C55" w:rsidRDefault="001D7AAD" w:rsidP="008858D5">
            <w:pPr>
              <w:spacing w:line="240" w:lineRule="auto"/>
              <w:jc w:val="center"/>
              <w:rPr>
                <w:rFonts w:eastAsia="Times New Roman" w:cs="Arial"/>
                <w:szCs w:val="16"/>
                <w:lang w:eastAsia="en-GB"/>
              </w:rPr>
            </w:pPr>
            <w:r w:rsidRPr="00DC0C55">
              <w:rPr>
                <w:rFonts w:eastAsia="Times New Roman" w:cs="Arial"/>
                <w:szCs w:val="16"/>
                <w:lang w:eastAsia="en-GB"/>
              </w:rPr>
              <w:t>£</w:t>
            </w:r>
            <w:r w:rsidR="00DC0C55" w:rsidRPr="00DC0C55">
              <w:rPr>
                <w:rFonts w:eastAsia="Times New Roman" w:cs="Arial"/>
                <w:szCs w:val="16"/>
                <w:lang w:eastAsia="en-GB"/>
              </w:rPr>
              <w:t>89.3</w:t>
            </w:r>
            <w:r w:rsidR="008858D5" w:rsidRPr="00DC0C55">
              <w:rPr>
                <w:rFonts w:eastAsia="Times New Roman" w:cs="Arial"/>
                <w:szCs w:val="16"/>
                <w:lang w:eastAsia="en-GB"/>
              </w:rPr>
              <w:t xml:space="preserve">m </w:t>
            </w:r>
          </w:p>
        </w:tc>
        <w:tc>
          <w:tcPr>
            <w:tcW w:w="284" w:type="dxa"/>
            <w:gridSpan w:val="2"/>
            <w:tcBorders>
              <w:top w:val="nil"/>
              <w:left w:val="nil"/>
              <w:bottom w:val="nil"/>
              <w:right w:val="nil"/>
            </w:tcBorders>
            <w:noWrap/>
            <w:vAlign w:val="bottom"/>
            <w:hideMark/>
          </w:tcPr>
          <w:p w14:paraId="1C8A0371" w14:textId="77777777" w:rsidR="008858D5" w:rsidRPr="00B8452B" w:rsidRDefault="008858D5" w:rsidP="008858D5">
            <w:pPr>
              <w:spacing w:line="240" w:lineRule="auto"/>
              <w:jc w:val="center"/>
              <w:rPr>
                <w:rFonts w:eastAsia="Times New Roman" w:cs="Arial"/>
                <w:szCs w:val="16"/>
                <w:lang w:eastAsia="en-GB"/>
              </w:rPr>
            </w:pPr>
          </w:p>
        </w:tc>
        <w:tc>
          <w:tcPr>
            <w:tcW w:w="709" w:type="dxa"/>
            <w:gridSpan w:val="2"/>
            <w:tcBorders>
              <w:top w:val="nil"/>
              <w:left w:val="nil"/>
              <w:bottom w:val="nil"/>
              <w:right w:val="nil"/>
            </w:tcBorders>
            <w:vAlign w:val="center"/>
            <w:hideMark/>
          </w:tcPr>
          <w:p w14:paraId="75B2C24A" w14:textId="77777777" w:rsidR="008858D5" w:rsidRPr="00FF40FD" w:rsidRDefault="008858D5" w:rsidP="008858D5">
            <w:pPr>
              <w:spacing w:line="240" w:lineRule="auto"/>
              <w:jc w:val="center"/>
              <w:rPr>
                <w:rFonts w:eastAsia="Times New Roman" w:cs="Arial"/>
                <w:szCs w:val="16"/>
                <w:lang w:eastAsia="en-GB"/>
              </w:rPr>
            </w:pPr>
            <w:r w:rsidRPr="00FF40FD">
              <w:rPr>
                <w:rFonts w:eastAsia="Times New Roman" w:cs="Arial"/>
                <w:szCs w:val="16"/>
                <w:lang w:eastAsia="en-GB"/>
              </w:rPr>
              <w:t>42%</w:t>
            </w:r>
          </w:p>
        </w:tc>
        <w:tc>
          <w:tcPr>
            <w:tcW w:w="1026" w:type="dxa"/>
            <w:tcBorders>
              <w:top w:val="nil"/>
              <w:left w:val="nil"/>
              <w:bottom w:val="nil"/>
              <w:right w:val="nil"/>
            </w:tcBorders>
            <w:vAlign w:val="center"/>
            <w:hideMark/>
          </w:tcPr>
          <w:p w14:paraId="65D49295" w14:textId="47E5B4F6" w:rsidR="008858D5" w:rsidRPr="004B468B" w:rsidRDefault="004B468B" w:rsidP="008858D5">
            <w:pPr>
              <w:spacing w:line="240" w:lineRule="auto"/>
              <w:jc w:val="center"/>
              <w:rPr>
                <w:rFonts w:eastAsia="Times New Roman" w:cs="Arial"/>
                <w:szCs w:val="16"/>
                <w:lang w:eastAsia="en-GB"/>
              </w:rPr>
            </w:pPr>
            <w:r w:rsidRPr="004B468B">
              <w:rPr>
                <w:rFonts w:eastAsia="Times New Roman" w:cs="Arial"/>
                <w:szCs w:val="16"/>
                <w:lang w:eastAsia="en-GB"/>
              </w:rPr>
              <w:t>£95.3</w:t>
            </w:r>
            <w:r w:rsidR="008858D5" w:rsidRPr="004B468B">
              <w:rPr>
                <w:rFonts w:eastAsia="Times New Roman" w:cs="Arial"/>
                <w:szCs w:val="16"/>
                <w:lang w:eastAsia="en-GB"/>
              </w:rPr>
              <w:t xml:space="preserve">m </w:t>
            </w:r>
          </w:p>
        </w:tc>
        <w:tc>
          <w:tcPr>
            <w:tcW w:w="284" w:type="dxa"/>
            <w:tcBorders>
              <w:top w:val="nil"/>
              <w:left w:val="nil"/>
              <w:bottom w:val="nil"/>
              <w:right w:val="nil"/>
            </w:tcBorders>
          </w:tcPr>
          <w:p w14:paraId="27084827" w14:textId="77777777" w:rsidR="008858D5" w:rsidRPr="00B8452B" w:rsidRDefault="008858D5" w:rsidP="008858D5">
            <w:pPr>
              <w:spacing w:line="240" w:lineRule="auto"/>
              <w:jc w:val="center"/>
              <w:rPr>
                <w:rFonts w:eastAsia="Times New Roman" w:cs="Arial"/>
                <w:szCs w:val="16"/>
                <w:lang w:eastAsia="en-GB"/>
              </w:rPr>
            </w:pPr>
          </w:p>
        </w:tc>
        <w:tc>
          <w:tcPr>
            <w:tcW w:w="992" w:type="dxa"/>
            <w:tcBorders>
              <w:top w:val="nil"/>
              <w:left w:val="nil"/>
              <w:bottom w:val="nil"/>
              <w:right w:val="nil"/>
            </w:tcBorders>
            <w:vAlign w:val="center"/>
          </w:tcPr>
          <w:p w14:paraId="03C4DAD6" w14:textId="2C7B8066" w:rsidR="008858D5" w:rsidRPr="00E76035" w:rsidRDefault="008858D5" w:rsidP="008858D5">
            <w:pPr>
              <w:spacing w:line="240" w:lineRule="auto"/>
              <w:jc w:val="center"/>
              <w:rPr>
                <w:rFonts w:eastAsia="Times New Roman" w:cs="Arial"/>
                <w:i/>
                <w:szCs w:val="16"/>
                <w:lang w:eastAsia="en-GB"/>
              </w:rPr>
            </w:pPr>
            <w:r w:rsidRPr="00E76035">
              <w:rPr>
                <w:rFonts w:eastAsia="Times New Roman" w:cs="Arial"/>
                <w:i/>
                <w:szCs w:val="16"/>
                <w:lang w:eastAsia="en-GB"/>
              </w:rPr>
              <w:t>(</w:t>
            </w:r>
            <w:r w:rsidR="00E76035" w:rsidRPr="00E76035">
              <w:rPr>
                <w:rFonts w:eastAsia="Times New Roman" w:cs="Arial"/>
                <w:i/>
                <w:szCs w:val="16"/>
                <w:lang w:eastAsia="en-GB"/>
              </w:rPr>
              <w:t>6</w:t>
            </w:r>
            <w:r w:rsidRPr="00E76035">
              <w:rPr>
                <w:rFonts w:eastAsia="Times New Roman" w:cs="Arial"/>
                <w:i/>
                <w:szCs w:val="16"/>
                <w:lang w:eastAsia="en-GB"/>
              </w:rPr>
              <w:t>)%</w:t>
            </w:r>
          </w:p>
        </w:tc>
      </w:tr>
      <w:tr w:rsidR="00572CF1" w:rsidRPr="001A0FEC" w14:paraId="51BB2E8A" w14:textId="77777777">
        <w:trPr>
          <w:trHeight w:val="300"/>
        </w:trPr>
        <w:tc>
          <w:tcPr>
            <w:tcW w:w="2716" w:type="dxa"/>
            <w:tcBorders>
              <w:top w:val="nil"/>
              <w:left w:val="nil"/>
              <w:bottom w:val="nil"/>
              <w:right w:val="nil"/>
            </w:tcBorders>
            <w:vAlign w:val="center"/>
            <w:hideMark/>
          </w:tcPr>
          <w:p w14:paraId="0EDBBF3F" w14:textId="77777777" w:rsidR="008858D5" w:rsidRPr="00BF345E" w:rsidRDefault="008858D5" w:rsidP="008858D5">
            <w:pPr>
              <w:spacing w:line="240" w:lineRule="auto"/>
              <w:jc w:val="both"/>
              <w:rPr>
                <w:rFonts w:eastAsia="Times New Roman" w:cs="Arial"/>
                <w:szCs w:val="16"/>
                <w:lang w:eastAsia="en-GB"/>
              </w:rPr>
            </w:pPr>
            <w:r w:rsidRPr="00BF345E">
              <w:rPr>
                <w:rFonts w:eastAsia="Times New Roman" w:cs="Arial"/>
                <w:szCs w:val="16"/>
                <w:lang w:eastAsia="en-GB"/>
              </w:rPr>
              <w:t>Minor seasons</w:t>
            </w:r>
          </w:p>
        </w:tc>
        <w:tc>
          <w:tcPr>
            <w:tcW w:w="720" w:type="dxa"/>
            <w:tcBorders>
              <w:top w:val="nil"/>
              <w:left w:val="nil"/>
              <w:bottom w:val="nil"/>
              <w:right w:val="nil"/>
            </w:tcBorders>
            <w:vAlign w:val="center"/>
            <w:hideMark/>
          </w:tcPr>
          <w:p w14:paraId="1F447FDF" w14:textId="0863585F" w:rsidR="008858D5" w:rsidRPr="00E54345" w:rsidRDefault="00BF345E" w:rsidP="008858D5">
            <w:pPr>
              <w:spacing w:line="240" w:lineRule="auto"/>
              <w:jc w:val="center"/>
              <w:rPr>
                <w:rFonts w:eastAsia="Times New Roman" w:cs="Arial"/>
                <w:szCs w:val="16"/>
                <w:lang w:eastAsia="en-GB"/>
              </w:rPr>
            </w:pPr>
            <w:r w:rsidRPr="00E54345">
              <w:rPr>
                <w:rFonts w:eastAsia="Times New Roman" w:cs="Arial"/>
                <w:szCs w:val="16"/>
                <w:lang w:eastAsia="en-GB"/>
              </w:rPr>
              <w:t>3</w:t>
            </w:r>
            <w:r w:rsidR="008858D5" w:rsidRPr="00E54345">
              <w:rPr>
                <w:rFonts w:eastAsia="Times New Roman" w:cs="Arial"/>
                <w:szCs w:val="16"/>
                <w:lang w:eastAsia="en-GB"/>
              </w:rPr>
              <w:t>%</w:t>
            </w:r>
          </w:p>
        </w:tc>
        <w:tc>
          <w:tcPr>
            <w:tcW w:w="924" w:type="dxa"/>
            <w:tcBorders>
              <w:top w:val="nil"/>
              <w:left w:val="nil"/>
              <w:bottom w:val="nil"/>
              <w:right w:val="nil"/>
            </w:tcBorders>
            <w:vAlign w:val="center"/>
            <w:hideMark/>
          </w:tcPr>
          <w:p w14:paraId="21EA5964" w14:textId="3DA226DD" w:rsidR="008858D5" w:rsidRPr="00DC0C55" w:rsidRDefault="00DC0C55" w:rsidP="008858D5">
            <w:pPr>
              <w:spacing w:line="240" w:lineRule="auto"/>
              <w:jc w:val="center"/>
              <w:rPr>
                <w:rFonts w:eastAsia="Times New Roman" w:cs="Arial"/>
                <w:szCs w:val="16"/>
                <w:lang w:eastAsia="en-GB"/>
              </w:rPr>
            </w:pPr>
            <w:r w:rsidRPr="00DC0C55">
              <w:rPr>
                <w:rFonts w:eastAsia="Times New Roman" w:cs="Arial"/>
                <w:szCs w:val="16"/>
                <w:lang w:eastAsia="en-GB"/>
              </w:rPr>
              <w:t>£7.4</w:t>
            </w:r>
            <w:r w:rsidR="008858D5" w:rsidRPr="00DC0C55">
              <w:rPr>
                <w:rFonts w:eastAsia="Times New Roman" w:cs="Arial"/>
                <w:szCs w:val="16"/>
                <w:lang w:eastAsia="en-GB"/>
              </w:rPr>
              <w:t xml:space="preserve">m </w:t>
            </w:r>
          </w:p>
        </w:tc>
        <w:tc>
          <w:tcPr>
            <w:tcW w:w="284" w:type="dxa"/>
            <w:gridSpan w:val="2"/>
            <w:tcBorders>
              <w:top w:val="nil"/>
              <w:left w:val="nil"/>
              <w:bottom w:val="nil"/>
              <w:right w:val="nil"/>
            </w:tcBorders>
            <w:noWrap/>
            <w:vAlign w:val="bottom"/>
            <w:hideMark/>
          </w:tcPr>
          <w:p w14:paraId="367420D4" w14:textId="77777777" w:rsidR="008858D5" w:rsidRPr="00B8452B" w:rsidRDefault="008858D5" w:rsidP="008858D5">
            <w:pPr>
              <w:spacing w:line="240" w:lineRule="auto"/>
              <w:jc w:val="center"/>
              <w:rPr>
                <w:rFonts w:eastAsia="Times New Roman" w:cs="Arial"/>
                <w:szCs w:val="16"/>
                <w:lang w:eastAsia="en-GB"/>
              </w:rPr>
            </w:pPr>
          </w:p>
        </w:tc>
        <w:tc>
          <w:tcPr>
            <w:tcW w:w="709" w:type="dxa"/>
            <w:gridSpan w:val="2"/>
            <w:tcBorders>
              <w:top w:val="nil"/>
              <w:left w:val="nil"/>
              <w:bottom w:val="nil"/>
              <w:right w:val="nil"/>
            </w:tcBorders>
            <w:vAlign w:val="center"/>
            <w:hideMark/>
          </w:tcPr>
          <w:p w14:paraId="201C3424" w14:textId="0C1B6224" w:rsidR="008858D5" w:rsidRPr="00FF40FD" w:rsidRDefault="00FF40FD" w:rsidP="008858D5">
            <w:pPr>
              <w:spacing w:line="240" w:lineRule="auto"/>
              <w:jc w:val="center"/>
              <w:rPr>
                <w:rFonts w:eastAsia="Times New Roman" w:cs="Arial"/>
                <w:szCs w:val="16"/>
                <w:lang w:eastAsia="en-GB"/>
              </w:rPr>
            </w:pPr>
            <w:r w:rsidRPr="00FF40FD">
              <w:rPr>
                <w:rFonts w:eastAsia="Times New Roman" w:cs="Arial"/>
                <w:szCs w:val="16"/>
                <w:lang w:eastAsia="en-GB"/>
              </w:rPr>
              <w:t>2</w:t>
            </w:r>
            <w:r w:rsidR="008858D5" w:rsidRPr="00FF40FD">
              <w:rPr>
                <w:rFonts w:eastAsia="Times New Roman" w:cs="Arial"/>
                <w:szCs w:val="16"/>
                <w:lang w:eastAsia="en-GB"/>
              </w:rPr>
              <w:t>%</w:t>
            </w:r>
          </w:p>
        </w:tc>
        <w:tc>
          <w:tcPr>
            <w:tcW w:w="1026" w:type="dxa"/>
            <w:tcBorders>
              <w:top w:val="nil"/>
              <w:left w:val="nil"/>
              <w:bottom w:val="nil"/>
              <w:right w:val="nil"/>
            </w:tcBorders>
            <w:vAlign w:val="center"/>
            <w:hideMark/>
          </w:tcPr>
          <w:p w14:paraId="75091BB9" w14:textId="7828FBDE" w:rsidR="008858D5" w:rsidRPr="004B468B" w:rsidRDefault="004B468B" w:rsidP="008858D5">
            <w:pPr>
              <w:spacing w:line="240" w:lineRule="auto"/>
              <w:jc w:val="center"/>
              <w:rPr>
                <w:rFonts w:eastAsia="Times New Roman" w:cs="Arial"/>
                <w:szCs w:val="16"/>
                <w:lang w:eastAsia="en-GB"/>
              </w:rPr>
            </w:pPr>
            <w:r w:rsidRPr="004B468B">
              <w:rPr>
                <w:rFonts w:eastAsia="Times New Roman" w:cs="Arial"/>
                <w:szCs w:val="16"/>
                <w:lang w:eastAsia="en-GB"/>
              </w:rPr>
              <w:t>£5.3</w:t>
            </w:r>
            <w:r w:rsidR="008858D5" w:rsidRPr="004B468B">
              <w:rPr>
                <w:rFonts w:eastAsia="Times New Roman" w:cs="Arial"/>
                <w:szCs w:val="16"/>
                <w:lang w:eastAsia="en-GB"/>
              </w:rPr>
              <w:t>m</w:t>
            </w:r>
          </w:p>
        </w:tc>
        <w:tc>
          <w:tcPr>
            <w:tcW w:w="284" w:type="dxa"/>
            <w:tcBorders>
              <w:top w:val="nil"/>
              <w:left w:val="nil"/>
              <w:bottom w:val="nil"/>
              <w:right w:val="nil"/>
            </w:tcBorders>
          </w:tcPr>
          <w:p w14:paraId="79796F74" w14:textId="77777777" w:rsidR="008858D5" w:rsidRPr="00B8452B" w:rsidRDefault="008858D5" w:rsidP="008858D5">
            <w:pPr>
              <w:spacing w:line="240" w:lineRule="auto"/>
              <w:jc w:val="center"/>
              <w:rPr>
                <w:rFonts w:eastAsia="Times New Roman" w:cs="Arial"/>
                <w:szCs w:val="16"/>
                <w:lang w:eastAsia="en-GB"/>
              </w:rPr>
            </w:pPr>
          </w:p>
        </w:tc>
        <w:tc>
          <w:tcPr>
            <w:tcW w:w="992" w:type="dxa"/>
            <w:tcBorders>
              <w:top w:val="nil"/>
              <w:left w:val="nil"/>
              <w:bottom w:val="nil"/>
              <w:right w:val="nil"/>
            </w:tcBorders>
            <w:vAlign w:val="center"/>
          </w:tcPr>
          <w:p w14:paraId="42B5C108" w14:textId="4F3E295C" w:rsidR="008858D5" w:rsidRPr="00E76035" w:rsidRDefault="00E76035" w:rsidP="008858D5">
            <w:pPr>
              <w:spacing w:line="240" w:lineRule="auto"/>
              <w:jc w:val="center"/>
              <w:rPr>
                <w:rFonts w:eastAsia="Times New Roman" w:cs="Arial"/>
                <w:i/>
                <w:szCs w:val="16"/>
                <w:lang w:eastAsia="en-GB"/>
              </w:rPr>
            </w:pPr>
            <w:r w:rsidRPr="00E76035">
              <w:rPr>
                <w:rFonts w:eastAsia="Times New Roman" w:cs="Arial"/>
                <w:i/>
                <w:szCs w:val="16"/>
                <w:lang w:eastAsia="en-GB"/>
              </w:rPr>
              <w:t>40</w:t>
            </w:r>
            <w:r w:rsidR="008858D5" w:rsidRPr="00E76035">
              <w:rPr>
                <w:rFonts w:eastAsia="Times New Roman" w:cs="Arial"/>
                <w:i/>
                <w:szCs w:val="16"/>
                <w:lang w:eastAsia="en-GB"/>
              </w:rPr>
              <w:t>%</w:t>
            </w:r>
          </w:p>
        </w:tc>
      </w:tr>
      <w:tr w:rsidR="008858D5" w:rsidRPr="001A0FEC" w14:paraId="3DF9A741" w14:textId="77777777">
        <w:trPr>
          <w:trHeight w:val="300"/>
        </w:trPr>
        <w:tc>
          <w:tcPr>
            <w:tcW w:w="2716" w:type="dxa"/>
            <w:tcBorders>
              <w:top w:val="single" w:sz="4" w:space="0" w:color="55565B"/>
              <w:left w:val="nil"/>
              <w:bottom w:val="single" w:sz="8" w:space="0" w:color="55565B"/>
              <w:right w:val="nil"/>
            </w:tcBorders>
            <w:vAlign w:val="center"/>
            <w:hideMark/>
          </w:tcPr>
          <w:p w14:paraId="14F54DC9" w14:textId="77777777" w:rsidR="008858D5" w:rsidRPr="00BF345E" w:rsidRDefault="008858D5" w:rsidP="008858D5">
            <w:pPr>
              <w:spacing w:line="240" w:lineRule="auto"/>
              <w:jc w:val="both"/>
              <w:rPr>
                <w:rFonts w:eastAsia="Times New Roman" w:cs="Arial"/>
                <w:b/>
                <w:bCs/>
                <w:szCs w:val="16"/>
                <w:lang w:eastAsia="en-GB"/>
              </w:rPr>
            </w:pPr>
            <w:r w:rsidRPr="00BF345E">
              <w:rPr>
                <w:rFonts w:eastAsia="Times New Roman" w:cs="Arial"/>
                <w:b/>
                <w:bCs/>
                <w:szCs w:val="16"/>
                <w:lang w:eastAsia="en-GB"/>
              </w:rPr>
              <w:t>Total</w:t>
            </w:r>
          </w:p>
        </w:tc>
        <w:tc>
          <w:tcPr>
            <w:tcW w:w="720" w:type="dxa"/>
            <w:tcBorders>
              <w:top w:val="single" w:sz="4" w:space="0" w:color="55565B"/>
              <w:left w:val="nil"/>
              <w:bottom w:val="single" w:sz="8" w:space="0" w:color="55565B"/>
              <w:right w:val="nil"/>
            </w:tcBorders>
            <w:noWrap/>
            <w:vAlign w:val="bottom"/>
            <w:hideMark/>
          </w:tcPr>
          <w:p w14:paraId="21B5CFD8" w14:textId="77777777" w:rsidR="008858D5" w:rsidRPr="00DC0C55" w:rsidRDefault="008858D5" w:rsidP="008858D5">
            <w:pPr>
              <w:spacing w:line="240" w:lineRule="auto"/>
              <w:jc w:val="center"/>
              <w:rPr>
                <w:rFonts w:eastAsia="Times New Roman" w:cs="Arial"/>
                <w:szCs w:val="16"/>
                <w:lang w:eastAsia="en-GB"/>
              </w:rPr>
            </w:pPr>
            <w:r w:rsidRPr="00DC0C55">
              <w:rPr>
                <w:rFonts w:eastAsia="Times New Roman" w:cs="Arial"/>
                <w:szCs w:val="16"/>
                <w:lang w:eastAsia="en-GB"/>
              </w:rPr>
              <w:t> </w:t>
            </w:r>
          </w:p>
        </w:tc>
        <w:tc>
          <w:tcPr>
            <w:tcW w:w="924" w:type="dxa"/>
            <w:tcBorders>
              <w:top w:val="single" w:sz="4" w:space="0" w:color="55565B"/>
              <w:left w:val="nil"/>
              <w:bottom w:val="single" w:sz="8" w:space="0" w:color="55565B"/>
              <w:right w:val="nil"/>
            </w:tcBorders>
            <w:vAlign w:val="center"/>
            <w:hideMark/>
          </w:tcPr>
          <w:p w14:paraId="56F3514E" w14:textId="15673DB6" w:rsidR="008858D5" w:rsidRPr="00DC0C55" w:rsidRDefault="00DC0C55" w:rsidP="008858D5">
            <w:pPr>
              <w:spacing w:line="240" w:lineRule="auto"/>
              <w:jc w:val="center"/>
              <w:rPr>
                <w:rFonts w:eastAsia="Times New Roman" w:cs="Arial"/>
                <w:b/>
                <w:bCs/>
                <w:szCs w:val="16"/>
                <w:lang w:eastAsia="en-GB"/>
              </w:rPr>
            </w:pPr>
            <w:r w:rsidRPr="00DC0C55">
              <w:rPr>
                <w:rFonts w:eastAsia="Times New Roman" w:cs="Arial"/>
                <w:b/>
                <w:bCs/>
                <w:szCs w:val="16"/>
                <w:lang w:eastAsia="en-GB"/>
              </w:rPr>
              <w:t>£217.9</w:t>
            </w:r>
            <w:r w:rsidR="008858D5" w:rsidRPr="00DC0C55">
              <w:rPr>
                <w:rFonts w:eastAsia="Times New Roman" w:cs="Arial"/>
                <w:b/>
                <w:bCs/>
                <w:szCs w:val="16"/>
                <w:lang w:eastAsia="en-GB"/>
              </w:rPr>
              <w:t xml:space="preserve">m </w:t>
            </w:r>
          </w:p>
        </w:tc>
        <w:tc>
          <w:tcPr>
            <w:tcW w:w="284" w:type="dxa"/>
            <w:gridSpan w:val="2"/>
            <w:tcBorders>
              <w:top w:val="nil"/>
              <w:left w:val="nil"/>
              <w:bottom w:val="nil"/>
              <w:right w:val="nil"/>
            </w:tcBorders>
            <w:noWrap/>
            <w:vAlign w:val="bottom"/>
            <w:hideMark/>
          </w:tcPr>
          <w:p w14:paraId="4F83143F" w14:textId="77777777" w:rsidR="008858D5" w:rsidRPr="00B8452B" w:rsidRDefault="008858D5" w:rsidP="008858D5">
            <w:pPr>
              <w:spacing w:line="240" w:lineRule="auto"/>
              <w:jc w:val="center"/>
              <w:rPr>
                <w:rFonts w:eastAsia="Times New Roman" w:cs="Arial"/>
                <w:b/>
                <w:szCs w:val="16"/>
                <w:lang w:eastAsia="en-GB"/>
              </w:rPr>
            </w:pPr>
          </w:p>
        </w:tc>
        <w:tc>
          <w:tcPr>
            <w:tcW w:w="709" w:type="dxa"/>
            <w:gridSpan w:val="2"/>
            <w:tcBorders>
              <w:top w:val="single" w:sz="4" w:space="0" w:color="55565B"/>
              <w:left w:val="nil"/>
              <w:bottom w:val="single" w:sz="8" w:space="0" w:color="55565B"/>
              <w:right w:val="nil"/>
            </w:tcBorders>
            <w:noWrap/>
            <w:vAlign w:val="bottom"/>
            <w:hideMark/>
          </w:tcPr>
          <w:p w14:paraId="72AC98D7" w14:textId="77777777" w:rsidR="008858D5" w:rsidRPr="00FF40FD" w:rsidRDefault="008858D5" w:rsidP="008858D5">
            <w:pPr>
              <w:spacing w:line="240" w:lineRule="auto"/>
              <w:jc w:val="center"/>
              <w:rPr>
                <w:rFonts w:eastAsia="Times New Roman" w:cs="Arial"/>
                <w:szCs w:val="16"/>
                <w:lang w:eastAsia="en-GB"/>
              </w:rPr>
            </w:pPr>
            <w:r w:rsidRPr="00FF40FD">
              <w:rPr>
                <w:rFonts w:eastAsia="Times New Roman" w:cs="Arial"/>
                <w:szCs w:val="16"/>
                <w:lang w:eastAsia="en-GB"/>
              </w:rPr>
              <w:t> </w:t>
            </w:r>
          </w:p>
        </w:tc>
        <w:tc>
          <w:tcPr>
            <w:tcW w:w="1026" w:type="dxa"/>
            <w:tcBorders>
              <w:top w:val="single" w:sz="4" w:space="0" w:color="55565B"/>
              <w:left w:val="nil"/>
              <w:bottom w:val="single" w:sz="8" w:space="0" w:color="55565B"/>
              <w:right w:val="nil"/>
            </w:tcBorders>
            <w:vAlign w:val="center"/>
            <w:hideMark/>
          </w:tcPr>
          <w:p w14:paraId="627055C8" w14:textId="32A5DC6D" w:rsidR="008858D5" w:rsidRPr="004B468B" w:rsidRDefault="004B468B" w:rsidP="008858D5">
            <w:pPr>
              <w:spacing w:line="240" w:lineRule="auto"/>
              <w:jc w:val="center"/>
              <w:rPr>
                <w:rFonts w:eastAsia="Times New Roman" w:cs="Arial"/>
                <w:b/>
                <w:bCs/>
                <w:szCs w:val="16"/>
                <w:lang w:eastAsia="en-GB"/>
              </w:rPr>
            </w:pPr>
            <w:r w:rsidRPr="004B468B">
              <w:rPr>
                <w:rFonts w:eastAsia="Times New Roman" w:cs="Arial"/>
                <w:b/>
                <w:bCs/>
                <w:szCs w:val="16"/>
                <w:lang w:eastAsia="en-GB"/>
              </w:rPr>
              <w:t>£225.4</w:t>
            </w:r>
            <w:r w:rsidR="008858D5" w:rsidRPr="004B468B">
              <w:rPr>
                <w:rFonts w:eastAsia="Times New Roman" w:cs="Arial"/>
                <w:b/>
                <w:bCs/>
                <w:szCs w:val="16"/>
                <w:lang w:eastAsia="en-GB"/>
              </w:rPr>
              <w:t xml:space="preserve">m </w:t>
            </w:r>
          </w:p>
        </w:tc>
        <w:tc>
          <w:tcPr>
            <w:tcW w:w="284" w:type="dxa"/>
            <w:tcBorders>
              <w:left w:val="nil"/>
              <w:right w:val="nil"/>
            </w:tcBorders>
          </w:tcPr>
          <w:p w14:paraId="0A97C63B" w14:textId="77777777" w:rsidR="008858D5" w:rsidRPr="00B8452B" w:rsidRDefault="008858D5" w:rsidP="008858D5">
            <w:pPr>
              <w:spacing w:line="240" w:lineRule="auto"/>
              <w:jc w:val="center"/>
              <w:rPr>
                <w:rFonts w:eastAsia="Times New Roman" w:cs="Arial"/>
                <w:b/>
                <w:szCs w:val="16"/>
                <w:lang w:eastAsia="en-GB"/>
              </w:rPr>
            </w:pPr>
          </w:p>
        </w:tc>
        <w:tc>
          <w:tcPr>
            <w:tcW w:w="992" w:type="dxa"/>
            <w:tcBorders>
              <w:top w:val="single" w:sz="4" w:space="0" w:color="55565B"/>
              <w:left w:val="nil"/>
              <w:bottom w:val="single" w:sz="8" w:space="0" w:color="55565B"/>
              <w:right w:val="nil"/>
            </w:tcBorders>
            <w:vAlign w:val="center"/>
          </w:tcPr>
          <w:p w14:paraId="7B9C8079" w14:textId="1C11B81E" w:rsidR="008858D5" w:rsidRPr="00E76035" w:rsidRDefault="008858D5" w:rsidP="008858D5">
            <w:pPr>
              <w:spacing w:line="240" w:lineRule="auto"/>
              <w:jc w:val="center"/>
              <w:rPr>
                <w:rFonts w:eastAsia="Times New Roman" w:cs="Arial"/>
                <w:b/>
                <w:i/>
                <w:szCs w:val="16"/>
                <w:lang w:eastAsia="en-GB"/>
              </w:rPr>
            </w:pPr>
            <w:r w:rsidRPr="00E76035">
              <w:rPr>
                <w:rFonts w:eastAsia="Times New Roman" w:cs="Arial"/>
                <w:b/>
                <w:i/>
                <w:szCs w:val="16"/>
                <w:lang w:eastAsia="en-GB"/>
              </w:rPr>
              <w:t>(</w:t>
            </w:r>
            <w:r w:rsidR="00E76035" w:rsidRPr="00E76035">
              <w:rPr>
                <w:rFonts w:eastAsia="Times New Roman" w:cs="Arial"/>
                <w:b/>
                <w:i/>
                <w:szCs w:val="16"/>
                <w:lang w:eastAsia="en-GB"/>
              </w:rPr>
              <w:t>3</w:t>
            </w:r>
            <w:r w:rsidRPr="00E76035">
              <w:rPr>
                <w:rFonts w:eastAsia="Times New Roman" w:cs="Arial"/>
                <w:b/>
                <w:i/>
                <w:szCs w:val="16"/>
                <w:lang w:eastAsia="en-GB"/>
              </w:rPr>
              <w:t>)%</w:t>
            </w:r>
          </w:p>
        </w:tc>
      </w:tr>
    </w:tbl>
    <w:p w14:paraId="5FDB2480" w14:textId="25AC7BB6" w:rsidR="008858D5" w:rsidRPr="00560C6D" w:rsidRDefault="00A46E53" w:rsidP="00B931EC">
      <w:pPr>
        <w:spacing w:before="240" w:after="240" w:line="276" w:lineRule="auto"/>
        <w:jc w:val="both"/>
        <w:rPr>
          <w:rFonts w:eastAsia="Cambria" w:cs="Arial"/>
        </w:rPr>
      </w:pPr>
      <w:r w:rsidRPr="00A46E53">
        <w:rPr>
          <w:rFonts w:eastAsia="Cambria" w:cs="Arial"/>
        </w:rPr>
        <w:t>The seasonal revenue profile remained broadly consistent year</w:t>
      </w:r>
      <w:r w:rsidRPr="00A46E53">
        <w:rPr>
          <w:rFonts w:ascii="Cambria Math" w:eastAsia="Cambria" w:hAnsi="Cambria Math" w:cs="Cambria Math"/>
        </w:rPr>
        <w:t>‑</w:t>
      </w:r>
      <w:r w:rsidRPr="00A46E53">
        <w:rPr>
          <w:rFonts w:eastAsia="Cambria" w:cs="Arial"/>
        </w:rPr>
        <w:t>on</w:t>
      </w:r>
      <w:r w:rsidRPr="00A46E53">
        <w:rPr>
          <w:rFonts w:ascii="Cambria Math" w:eastAsia="Cambria" w:hAnsi="Cambria Math" w:cs="Cambria Math"/>
        </w:rPr>
        <w:t>‑</w:t>
      </w:r>
      <w:r w:rsidRPr="00A46E53">
        <w:rPr>
          <w:rFonts w:eastAsia="Cambria" w:cs="Arial"/>
        </w:rPr>
        <w:t>year</w:t>
      </w:r>
      <w:r w:rsidR="00024173">
        <w:rPr>
          <w:rFonts w:eastAsia="Cambria" w:cs="Arial"/>
        </w:rPr>
        <w:t xml:space="preserve">. </w:t>
      </w:r>
      <w:r w:rsidRPr="00A46E53">
        <w:rPr>
          <w:rFonts w:eastAsia="Cambria" w:cs="Arial"/>
        </w:rPr>
        <w:t xml:space="preserve">Christmas </w:t>
      </w:r>
      <w:r w:rsidR="00934A6A" w:rsidRPr="00A46E53">
        <w:rPr>
          <w:rFonts w:eastAsia="Cambria" w:cs="Arial"/>
        </w:rPr>
        <w:t>represent</w:t>
      </w:r>
      <w:r w:rsidR="00934A6A">
        <w:rPr>
          <w:rFonts w:eastAsia="Cambria" w:cs="Arial"/>
        </w:rPr>
        <w:t>ed</w:t>
      </w:r>
      <w:r w:rsidR="00934A6A" w:rsidRPr="00A46E53">
        <w:rPr>
          <w:rFonts w:eastAsia="Cambria" w:cs="Arial"/>
        </w:rPr>
        <w:t xml:space="preserve"> </w:t>
      </w:r>
      <w:r w:rsidR="00024173">
        <w:rPr>
          <w:rFonts w:eastAsia="Cambria" w:cs="Arial"/>
        </w:rPr>
        <w:t xml:space="preserve">a large proportion </w:t>
      </w:r>
      <w:r w:rsidRPr="00A46E53">
        <w:rPr>
          <w:rFonts w:eastAsia="Cambria" w:cs="Arial"/>
        </w:rPr>
        <w:t xml:space="preserve">at </w:t>
      </w:r>
      <w:r w:rsidR="000B4605">
        <w:rPr>
          <w:rFonts w:eastAsia="Cambria" w:cs="Arial"/>
        </w:rPr>
        <w:t>41</w:t>
      </w:r>
      <w:r w:rsidRPr="00A46E53">
        <w:rPr>
          <w:rFonts w:eastAsia="Cambria" w:cs="Arial"/>
        </w:rPr>
        <w:t>% of the portfolio</w:t>
      </w:r>
      <w:r w:rsidR="00A3535D">
        <w:rPr>
          <w:rFonts w:eastAsia="Cambria" w:cs="Arial"/>
        </w:rPr>
        <w:t>,</w:t>
      </w:r>
      <w:r w:rsidR="005A4E57">
        <w:rPr>
          <w:rFonts w:eastAsia="Cambria" w:cs="Arial"/>
        </w:rPr>
        <w:t xml:space="preserve"> where</w:t>
      </w:r>
      <w:r w:rsidRPr="00A46E53">
        <w:rPr>
          <w:rFonts w:eastAsia="Cambria" w:cs="Arial"/>
        </w:rPr>
        <w:t xml:space="preserve"> </w:t>
      </w:r>
      <w:r w:rsidR="008A758E">
        <w:rPr>
          <w:rFonts w:eastAsia="Cambria" w:cs="Arial"/>
        </w:rPr>
        <w:t>t</w:t>
      </w:r>
      <w:r w:rsidRPr="00A46E53">
        <w:rPr>
          <w:rFonts w:eastAsia="Cambria" w:cs="Arial"/>
        </w:rPr>
        <w:t>he year</w:t>
      </w:r>
      <w:r w:rsidRPr="00A46E53">
        <w:rPr>
          <w:rFonts w:ascii="Cambria Math" w:eastAsia="Cambria" w:hAnsi="Cambria Math" w:cs="Cambria Math"/>
        </w:rPr>
        <w:t>‑</w:t>
      </w:r>
      <w:r w:rsidRPr="00A46E53">
        <w:rPr>
          <w:rFonts w:eastAsia="Cambria" w:cs="Arial"/>
        </w:rPr>
        <w:t>on</w:t>
      </w:r>
      <w:r w:rsidRPr="00A46E53">
        <w:rPr>
          <w:rFonts w:ascii="Cambria Math" w:eastAsia="Cambria" w:hAnsi="Cambria Math" w:cs="Cambria Math"/>
        </w:rPr>
        <w:t>‑</w:t>
      </w:r>
      <w:r w:rsidRPr="00A46E53">
        <w:rPr>
          <w:rFonts w:eastAsia="Cambria" w:cs="Arial"/>
        </w:rPr>
        <w:t>year decline in revenue was broad</w:t>
      </w:r>
      <w:r w:rsidRPr="00A46E53">
        <w:rPr>
          <w:rFonts w:ascii="Cambria Math" w:eastAsia="Cambria" w:hAnsi="Cambria Math" w:cs="Cambria Math"/>
        </w:rPr>
        <w:t>‑</w:t>
      </w:r>
      <w:r w:rsidRPr="00A46E53">
        <w:rPr>
          <w:rFonts w:eastAsia="Cambria" w:cs="Arial"/>
        </w:rPr>
        <w:t>based and did not disproportionately impact any single season.</w:t>
      </w:r>
    </w:p>
    <w:tbl>
      <w:tblPr>
        <w:tblW w:w="7797" w:type="dxa"/>
        <w:tblLook w:val="04A0" w:firstRow="1" w:lastRow="0" w:firstColumn="1" w:lastColumn="0" w:noHBand="0" w:noVBand="1"/>
      </w:tblPr>
      <w:tblGrid>
        <w:gridCol w:w="2778"/>
        <w:gridCol w:w="577"/>
        <w:gridCol w:w="1044"/>
        <w:gridCol w:w="279"/>
        <w:gridCol w:w="709"/>
        <w:gridCol w:w="990"/>
        <w:gridCol w:w="286"/>
        <w:gridCol w:w="1134"/>
      </w:tblGrid>
      <w:tr w:rsidR="00572CF1" w:rsidRPr="003B7A68" w14:paraId="5C1CC479" w14:textId="77777777">
        <w:trPr>
          <w:trHeight w:val="300"/>
        </w:trPr>
        <w:tc>
          <w:tcPr>
            <w:tcW w:w="2778" w:type="dxa"/>
            <w:tcBorders>
              <w:top w:val="nil"/>
              <w:left w:val="nil"/>
              <w:bottom w:val="single" w:sz="4" w:space="0" w:color="55565B"/>
              <w:right w:val="nil"/>
            </w:tcBorders>
            <w:vAlign w:val="bottom"/>
            <w:hideMark/>
          </w:tcPr>
          <w:p w14:paraId="75142614" w14:textId="77777777" w:rsidR="008858D5" w:rsidRPr="003B7A68" w:rsidRDefault="008858D5" w:rsidP="008858D5">
            <w:pPr>
              <w:spacing w:line="240" w:lineRule="auto"/>
              <w:rPr>
                <w:rFonts w:eastAsia="Times New Roman" w:cs="Arial"/>
                <w:b/>
                <w:bCs/>
                <w:szCs w:val="16"/>
                <w:lang w:eastAsia="en-GB"/>
              </w:rPr>
            </w:pPr>
            <w:r w:rsidRPr="003B7A68">
              <w:rPr>
                <w:rFonts w:eastAsia="Times New Roman" w:cs="Arial"/>
                <w:b/>
                <w:bCs/>
                <w:szCs w:val="16"/>
                <w:lang w:eastAsia="en-GB"/>
              </w:rPr>
              <w:t>Revenue by brand</w:t>
            </w:r>
          </w:p>
        </w:tc>
        <w:tc>
          <w:tcPr>
            <w:tcW w:w="1621" w:type="dxa"/>
            <w:gridSpan w:val="2"/>
            <w:tcBorders>
              <w:top w:val="nil"/>
              <w:left w:val="nil"/>
              <w:bottom w:val="single" w:sz="4" w:space="0" w:color="55565B"/>
              <w:right w:val="nil"/>
            </w:tcBorders>
            <w:vAlign w:val="center"/>
            <w:hideMark/>
          </w:tcPr>
          <w:p w14:paraId="2105B678" w14:textId="0DC18178" w:rsidR="008858D5" w:rsidRPr="003B7A68" w:rsidRDefault="008858D5" w:rsidP="008858D5">
            <w:pPr>
              <w:spacing w:line="240" w:lineRule="auto"/>
              <w:jc w:val="center"/>
              <w:rPr>
                <w:rFonts w:eastAsia="Times New Roman" w:cs="Arial"/>
                <w:b/>
                <w:bCs/>
                <w:szCs w:val="16"/>
                <w:lang w:eastAsia="en-GB"/>
              </w:rPr>
            </w:pPr>
            <w:r w:rsidRPr="003B7A68">
              <w:rPr>
                <w:rFonts w:eastAsia="Times New Roman" w:cs="Arial"/>
                <w:b/>
                <w:bCs/>
                <w:szCs w:val="16"/>
                <w:lang w:eastAsia="en-GB"/>
              </w:rPr>
              <w:t>FY202</w:t>
            </w:r>
            <w:r w:rsidR="00E54345" w:rsidRPr="003B7A68">
              <w:rPr>
                <w:rFonts w:eastAsia="Times New Roman" w:cs="Arial"/>
                <w:b/>
                <w:bCs/>
                <w:szCs w:val="16"/>
                <w:lang w:eastAsia="en-GB"/>
              </w:rPr>
              <w:t>6</w:t>
            </w:r>
          </w:p>
        </w:tc>
        <w:tc>
          <w:tcPr>
            <w:tcW w:w="279" w:type="dxa"/>
            <w:tcBorders>
              <w:top w:val="nil"/>
              <w:left w:val="nil"/>
              <w:bottom w:val="nil"/>
              <w:right w:val="nil"/>
            </w:tcBorders>
            <w:noWrap/>
            <w:vAlign w:val="bottom"/>
            <w:hideMark/>
          </w:tcPr>
          <w:p w14:paraId="7335CDF7" w14:textId="77777777" w:rsidR="008858D5" w:rsidRPr="003B7A68" w:rsidRDefault="008858D5" w:rsidP="008858D5">
            <w:pPr>
              <w:spacing w:line="240" w:lineRule="auto"/>
              <w:jc w:val="center"/>
              <w:rPr>
                <w:rFonts w:eastAsia="Times New Roman" w:cs="Arial"/>
                <w:b/>
                <w:bCs/>
                <w:szCs w:val="16"/>
                <w:lang w:eastAsia="en-GB"/>
              </w:rPr>
            </w:pPr>
          </w:p>
        </w:tc>
        <w:tc>
          <w:tcPr>
            <w:tcW w:w="1699" w:type="dxa"/>
            <w:gridSpan w:val="2"/>
            <w:tcBorders>
              <w:top w:val="nil"/>
              <w:left w:val="nil"/>
              <w:bottom w:val="single" w:sz="4" w:space="0" w:color="55565B"/>
              <w:right w:val="nil"/>
            </w:tcBorders>
            <w:vAlign w:val="center"/>
            <w:hideMark/>
          </w:tcPr>
          <w:p w14:paraId="722B7BA8" w14:textId="77C024D7" w:rsidR="008858D5" w:rsidRPr="003B7A68" w:rsidRDefault="008858D5" w:rsidP="008858D5">
            <w:pPr>
              <w:spacing w:line="240" w:lineRule="auto"/>
              <w:jc w:val="center"/>
              <w:rPr>
                <w:rFonts w:eastAsia="Times New Roman" w:cs="Arial"/>
                <w:b/>
                <w:bCs/>
                <w:szCs w:val="16"/>
                <w:lang w:eastAsia="en-GB"/>
              </w:rPr>
            </w:pPr>
            <w:r w:rsidRPr="003B7A68">
              <w:rPr>
                <w:rFonts w:eastAsia="Times New Roman" w:cs="Arial"/>
                <w:b/>
                <w:bCs/>
                <w:szCs w:val="16"/>
                <w:lang w:eastAsia="en-GB"/>
              </w:rPr>
              <w:t>FY202</w:t>
            </w:r>
            <w:r w:rsidR="00755D52" w:rsidRPr="003B7A68">
              <w:rPr>
                <w:rFonts w:eastAsia="Times New Roman" w:cs="Arial"/>
                <w:b/>
                <w:bCs/>
                <w:szCs w:val="16"/>
                <w:lang w:eastAsia="en-GB"/>
              </w:rPr>
              <w:t>5</w:t>
            </w:r>
          </w:p>
        </w:tc>
        <w:tc>
          <w:tcPr>
            <w:tcW w:w="286" w:type="dxa"/>
            <w:tcBorders>
              <w:top w:val="nil"/>
              <w:left w:val="nil"/>
              <w:right w:val="nil"/>
            </w:tcBorders>
          </w:tcPr>
          <w:p w14:paraId="0933D0D9" w14:textId="77777777" w:rsidR="008858D5" w:rsidRPr="003B7A68" w:rsidRDefault="008858D5" w:rsidP="008858D5">
            <w:pPr>
              <w:spacing w:line="240" w:lineRule="auto"/>
              <w:jc w:val="center"/>
              <w:rPr>
                <w:rFonts w:eastAsia="Times New Roman" w:cs="Arial"/>
                <w:b/>
                <w:bCs/>
                <w:szCs w:val="16"/>
                <w:lang w:eastAsia="en-GB"/>
              </w:rPr>
            </w:pPr>
          </w:p>
        </w:tc>
        <w:tc>
          <w:tcPr>
            <w:tcW w:w="1134" w:type="dxa"/>
            <w:tcBorders>
              <w:top w:val="nil"/>
              <w:left w:val="nil"/>
              <w:bottom w:val="single" w:sz="4" w:space="0" w:color="55565B"/>
              <w:right w:val="nil"/>
            </w:tcBorders>
          </w:tcPr>
          <w:p w14:paraId="23DFCF34" w14:textId="77777777" w:rsidR="008858D5" w:rsidRPr="003B7A68" w:rsidRDefault="008858D5" w:rsidP="008858D5">
            <w:pPr>
              <w:spacing w:line="240" w:lineRule="auto"/>
              <w:jc w:val="center"/>
              <w:rPr>
                <w:rFonts w:eastAsia="Times New Roman" w:cs="Arial"/>
                <w:b/>
                <w:bCs/>
                <w:szCs w:val="16"/>
                <w:lang w:eastAsia="en-GB"/>
              </w:rPr>
            </w:pPr>
            <w:r w:rsidRPr="003B7A68">
              <w:rPr>
                <w:rFonts w:eastAsia="Times New Roman" w:cs="Arial"/>
                <w:b/>
                <w:bCs/>
                <w:i/>
                <w:iCs/>
                <w:szCs w:val="16"/>
                <w:lang w:eastAsia="en-GB"/>
              </w:rPr>
              <w:t>Change %</w:t>
            </w:r>
          </w:p>
        </w:tc>
      </w:tr>
      <w:tr w:rsidR="00572CF1" w:rsidRPr="003B7A68" w14:paraId="0A2D1B8C" w14:textId="77777777">
        <w:trPr>
          <w:trHeight w:val="300"/>
        </w:trPr>
        <w:tc>
          <w:tcPr>
            <w:tcW w:w="2778" w:type="dxa"/>
            <w:tcBorders>
              <w:top w:val="single" w:sz="4" w:space="0" w:color="000000"/>
              <w:left w:val="nil"/>
              <w:bottom w:val="nil"/>
              <w:right w:val="nil"/>
            </w:tcBorders>
            <w:vAlign w:val="center"/>
            <w:hideMark/>
          </w:tcPr>
          <w:p w14:paraId="56AA33D7" w14:textId="77777777" w:rsidR="008858D5" w:rsidRPr="003B7A68" w:rsidRDefault="008858D5" w:rsidP="008858D5">
            <w:pPr>
              <w:spacing w:line="240" w:lineRule="auto"/>
              <w:rPr>
                <w:rFonts w:eastAsia="Times New Roman" w:cs="Arial"/>
                <w:szCs w:val="16"/>
                <w:lang w:eastAsia="en-GB"/>
              </w:rPr>
            </w:pPr>
            <w:r w:rsidRPr="003B7A68">
              <w:rPr>
                <w:rFonts w:eastAsia="Times New Roman" w:cs="Arial"/>
                <w:szCs w:val="16"/>
                <w:lang w:eastAsia="en-GB"/>
              </w:rPr>
              <w:t>Customer own brand/bespoke</w:t>
            </w:r>
          </w:p>
        </w:tc>
        <w:tc>
          <w:tcPr>
            <w:tcW w:w="577" w:type="dxa"/>
            <w:tcBorders>
              <w:top w:val="single" w:sz="4" w:space="0" w:color="000000"/>
              <w:left w:val="nil"/>
              <w:bottom w:val="nil"/>
              <w:right w:val="nil"/>
            </w:tcBorders>
            <w:vAlign w:val="center"/>
            <w:hideMark/>
          </w:tcPr>
          <w:p w14:paraId="5A93AFCC" w14:textId="72EF6D45" w:rsidR="008858D5" w:rsidRPr="003B7A68" w:rsidRDefault="00755D52" w:rsidP="008858D5">
            <w:pPr>
              <w:spacing w:line="240" w:lineRule="auto"/>
              <w:jc w:val="center"/>
              <w:rPr>
                <w:rFonts w:eastAsia="Times New Roman" w:cs="Arial"/>
                <w:szCs w:val="16"/>
                <w:lang w:eastAsia="en-GB"/>
              </w:rPr>
            </w:pPr>
            <w:r w:rsidRPr="003B7A68">
              <w:rPr>
                <w:rFonts w:eastAsia="Times New Roman" w:cs="Arial"/>
                <w:szCs w:val="16"/>
                <w:lang w:eastAsia="en-GB"/>
              </w:rPr>
              <w:t>53</w:t>
            </w:r>
            <w:r w:rsidR="008858D5" w:rsidRPr="003B7A68">
              <w:rPr>
                <w:rFonts w:eastAsia="Times New Roman" w:cs="Arial"/>
                <w:szCs w:val="16"/>
                <w:lang w:eastAsia="en-GB"/>
              </w:rPr>
              <w:t>%</w:t>
            </w:r>
          </w:p>
        </w:tc>
        <w:tc>
          <w:tcPr>
            <w:tcW w:w="1044" w:type="dxa"/>
            <w:tcBorders>
              <w:top w:val="single" w:sz="4" w:space="0" w:color="000000"/>
              <w:left w:val="nil"/>
              <w:bottom w:val="nil"/>
              <w:right w:val="nil"/>
            </w:tcBorders>
            <w:vAlign w:val="center"/>
            <w:hideMark/>
          </w:tcPr>
          <w:p w14:paraId="6ECC0624" w14:textId="1F18DB5C" w:rsidR="008858D5" w:rsidRPr="003B7A68" w:rsidRDefault="00241818" w:rsidP="008858D5">
            <w:pPr>
              <w:spacing w:line="240" w:lineRule="auto"/>
              <w:jc w:val="center"/>
              <w:rPr>
                <w:rFonts w:eastAsia="Times New Roman" w:cs="Arial"/>
                <w:szCs w:val="16"/>
                <w:lang w:eastAsia="en-GB"/>
              </w:rPr>
            </w:pPr>
            <w:r w:rsidRPr="003B7A68">
              <w:rPr>
                <w:rFonts w:eastAsia="Times New Roman" w:cs="Arial"/>
                <w:szCs w:val="16"/>
                <w:lang w:eastAsia="en-GB"/>
              </w:rPr>
              <w:t>£115.3</w:t>
            </w:r>
            <w:r w:rsidR="008858D5" w:rsidRPr="003B7A68">
              <w:rPr>
                <w:rFonts w:eastAsia="Times New Roman" w:cs="Arial"/>
                <w:szCs w:val="16"/>
                <w:lang w:eastAsia="en-GB"/>
              </w:rPr>
              <w:t xml:space="preserve">m </w:t>
            </w:r>
          </w:p>
        </w:tc>
        <w:tc>
          <w:tcPr>
            <w:tcW w:w="279" w:type="dxa"/>
            <w:tcBorders>
              <w:top w:val="nil"/>
              <w:left w:val="nil"/>
              <w:bottom w:val="nil"/>
              <w:right w:val="nil"/>
            </w:tcBorders>
            <w:noWrap/>
            <w:vAlign w:val="bottom"/>
            <w:hideMark/>
          </w:tcPr>
          <w:p w14:paraId="24147589" w14:textId="77777777" w:rsidR="008858D5" w:rsidRPr="003B7A68" w:rsidRDefault="008858D5" w:rsidP="008858D5">
            <w:pPr>
              <w:spacing w:line="240" w:lineRule="auto"/>
              <w:jc w:val="center"/>
              <w:rPr>
                <w:rFonts w:eastAsia="Times New Roman" w:cs="Arial"/>
                <w:szCs w:val="16"/>
                <w:lang w:eastAsia="en-GB"/>
              </w:rPr>
            </w:pPr>
          </w:p>
        </w:tc>
        <w:tc>
          <w:tcPr>
            <w:tcW w:w="709" w:type="dxa"/>
            <w:tcBorders>
              <w:top w:val="single" w:sz="4" w:space="0" w:color="000000"/>
              <w:left w:val="nil"/>
              <w:bottom w:val="nil"/>
              <w:right w:val="nil"/>
            </w:tcBorders>
            <w:vAlign w:val="center"/>
            <w:hideMark/>
          </w:tcPr>
          <w:p w14:paraId="3FEDD652" w14:textId="1E249BAB" w:rsidR="008858D5" w:rsidRPr="003B7A68" w:rsidRDefault="008858D5" w:rsidP="008858D5">
            <w:pPr>
              <w:spacing w:line="240" w:lineRule="auto"/>
              <w:jc w:val="center"/>
              <w:rPr>
                <w:rFonts w:eastAsia="Times New Roman" w:cs="Arial"/>
                <w:szCs w:val="16"/>
                <w:lang w:eastAsia="en-GB"/>
              </w:rPr>
            </w:pPr>
            <w:r w:rsidRPr="003B7A68">
              <w:rPr>
                <w:rFonts w:eastAsia="Times New Roman" w:cs="Arial"/>
                <w:szCs w:val="16"/>
                <w:lang w:eastAsia="en-GB"/>
              </w:rPr>
              <w:t>5</w:t>
            </w:r>
            <w:r w:rsidR="00241818" w:rsidRPr="003B7A68">
              <w:rPr>
                <w:rFonts w:eastAsia="Times New Roman" w:cs="Arial"/>
                <w:szCs w:val="16"/>
                <w:lang w:eastAsia="en-GB"/>
              </w:rPr>
              <w:t>4</w:t>
            </w:r>
            <w:r w:rsidRPr="003B7A68">
              <w:rPr>
                <w:rFonts w:eastAsia="Times New Roman" w:cs="Arial"/>
                <w:szCs w:val="16"/>
                <w:lang w:eastAsia="en-GB"/>
              </w:rPr>
              <w:t>%</w:t>
            </w:r>
          </w:p>
        </w:tc>
        <w:tc>
          <w:tcPr>
            <w:tcW w:w="990" w:type="dxa"/>
            <w:tcBorders>
              <w:top w:val="single" w:sz="4" w:space="0" w:color="000000"/>
              <w:left w:val="nil"/>
              <w:bottom w:val="nil"/>
              <w:right w:val="nil"/>
            </w:tcBorders>
            <w:vAlign w:val="center"/>
            <w:hideMark/>
          </w:tcPr>
          <w:p w14:paraId="2243E18E" w14:textId="0D584260" w:rsidR="008858D5" w:rsidRPr="003B7A68" w:rsidRDefault="00241818" w:rsidP="008858D5">
            <w:pPr>
              <w:spacing w:line="240" w:lineRule="auto"/>
              <w:jc w:val="center"/>
              <w:rPr>
                <w:rFonts w:eastAsia="Times New Roman" w:cs="Arial"/>
                <w:szCs w:val="16"/>
                <w:lang w:eastAsia="en-GB"/>
              </w:rPr>
            </w:pPr>
            <w:r w:rsidRPr="003B7A68">
              <w:rPr>
                <w:rFonts w:eastAsia="Times New Roman" w:cs="Arial"/>
                <w:szCs w:val="16"/>
                <w:lang w:eastAsia="en-GB"/>
              </w:rPr>
              <w:t>£</w:t>
            </w:r>
            <w:r w:rsidR="003B7A68" w:rsidRPr="003B7A68">
              <w:rPr>
                <w:rFonts w:eastAsia="Times New Roman" w:cs="Arial"/>
                <w:szCs w:val="16"/>
                <w:lang w:eastAsia="en-GB"/>
              </w:rPr>
              <w:t>121.</w:t>
            </w:r>
            <w:r w:rsidR="003A4552">
              <w:rPr>
                <w:rFonts w:eastAsia="Times New Roman" w:cs="Arial"/>
                <w:szCs w:val="16"/>
                <w:lang w:eastAsia="en-GB"/>
              </w:rPr>
              <w:t>5</w:t>
            </w:r>
            <w:r w:rsidR="003A4552" w:rsidRPr="003B7A68">
              <w:rPr>
                <w:rFonts w:eastAsia="Times New Roman" w:cs="Arial"/>
                <w:szCs w:val="16"/>
                <w:lang w:eastAsia="en-GB"/>
              </w:rPr>
              <w:t xml:space="preserve">m </w:t>
            </w:r>
          </w:p>
        </w:tc>
        <w:tc>
          <w:tcPr>
            <w:tcW w:w="286" w:type="dxa"/>
            <w:tcBorders>
              <w:left w:val="nil"/>
              <w:bottom w:val="nil"/>
              <w:right w:val="nil"/>
            </w:tcBorders>
          </w:tcPr>
          <w:p w14:paraId="2130CF4B" w14:textId="77777777" w:rsidR="008858D5" w:rsidRPr="003B7A68" w:rsidRDefault="008858D5" w:rsidP="008858D5">
            <w:pPr>
              <w:spacing w:line="240" w:lineRule="auto"/>
              <w:jc w:val="center"/>
              <w:rPr>
                <w:rFonts w:eastAsia="Times New Roman" w:cs="Arial"/>
                <w:szCs w:val="16"/>
                <w:lang w:eastAsia="en-GB"/>
              </w:rPr>
            </w:pPr>
          </w:p>
        </w:tc>
        <w:tc>
          <w:tcPr>
            <w:tcW w:w="1134" w:type="dxa"/>
            <w:tcBorders>
              <w:top w:val="single" w:sz="4" w:space="0" w:color="000000"/>
              <w:left w:val="nil"/>
              <w:bottom w:val="nil"/>
              <w:right w:val="nil"/>
            </w:tcBorders>
            <w:vAlign w:val="center"/>
          </w:tcPr>
          <w:p w14:paraId="688D2764" w14:textId="1C0BDB7B" w:rsidR="008858D5" w:rsidRPr="003B7A68" w:rsidRDefault="008858D5" w:rsidP="008858D5">
            <w:pPr>
              <w:spacing w:line="240" w:lineRule="auto"/>
              <w:jc w:val="center"/>
              <w:rPr>
                <w:rFonts w:eastAsia="Times New Roman" w:cs="Arial"/>
                <w:i/>
                <w:szCs w:val="16"/>
                <w:lang w:eastAsia="en-GB"/>
              </w:rPr>
            </w:pPr>
            <w:r w:rsidRPr="003B7A68">
              <w:rPr>
                <w:rFonts w:eastAsia="Times New Roman" w:cs="Arial"/>
                <w:i/>
                <w:szCs w:val="16"/>
                <w:lang w:eastAsia="en-GB"/>
              </w:rPr>
              <w:t>(</w:t>
            </w:r>
            <w:r w:rsidR="003B7A68" w:rsidRPr="003B7A68">
              <w:rPr>
                <w:rFonts w:eastAsia="Times New Roman" w:cs="Arial"/>
                <w:i/>
                <w:szCs w:val="16"/>
                <w:lang w:eastAsia="en-GB"/>
              </w:rPr>
              <w:t>5</w:t>
            </w:r>
            <w:r w:rsidRPr="003B7A68">
              <w:rPr>
                <w:rFonts w:eastAsia="Times New Roman" w:cs="Arial"/>
                <w:i/>
                <w:szCs w:val="16"/>
                <w:lang w:eastAsia="en-GB"/>
              </w:rPr>
              <w:t>)%</w:t>
            </w:r>
          </w:p>
        </w:tc>
      </w:tr>
      <w:tr w:rsidR="00572CF1" w:rsidRPr="003B7A68" w14:paraId="2830562C" w14:textId="77777777">
        <w:trPr>
          <w:trHeight w:val="300"/>
        </w:trPr>
        <w:tc>
          <w:tcPr>
            <w:tcW w:w="2778" w:type="dxa"/>
            <w:tcBorders>
              <w:top w:val="nil"/>
              <w:left w:val="nil"/>
              <w:bottom w:val="nil"/>
              <w:right w:val="nil"/>
            </w:tcBorders>
            <w:vAlign w:val="center"/>
            <w:hideMark/>
          </w:tcPr>
          <w:p w14:paraId="7F8672C4" w14:textId="77777777" w:rsidR="008858D5" w:rsidRPr="003B7A68" w:rsidRDefault="008858D5" w:rsidP="008858D5">
            <w:pPr>
              <w:spacing w:line="240" w:lineRule="auto"/>
              <w:rPr>
                <w:rFonts w:eastAsia="Times New Roman" w:cs="Arial"/>
                <w:szCs w:val="16"/>
                <w:lang w:eastAsia="en-GB"/>
              </w:rPr>
            </w:pPr>
            <w:r w:rsidRPr="003B7A68">
              <w:rPr>
                <w:rFonts w:eastAsia="Times New Roman" w:cs="Arial"/>
                <w:szCs w:val="16"/>
                <w:lang w:eastAsia="en-GB"/>
              </w:rPr>
              <w:t>DG brand</w:t>
            </w:r>
          </w:p>
        </w:tc>
        <w:tc>
          <w:tcPr>
            <w:tcW w:w="577" w:type="dxa"/>
            <w:tcBorders>
              <w:top w:val="nil"/>
              <w:left w:val="nil"/>
              <w:bottom w:val="nil"/>
              <w:right w:val="nil"/>
            </w:tcBorders>
            <w:vAlign w:val="center"/>
            <w:hideMark/>
          </w:tcPr>
          <w:p w14:paraId="63EDD026" w14:textId="654E9790" w:rsidR="008858D5" w:rsidRPr="003B7A68" w:rsidRDefault="00773F0E" w:rsidP="008858D5">
            <w:pPr>
              <w:spacing w:line="240" w:lineRule="auto"/>
              <w:jc w:val="center"/>
              <w:rPr>
                <w:rFonts w:eastAsia="Times New Roman" w:cs="Arial"/>
                <w:szCs w:val="16"/>
                <w:lang w:eastAsia="en-GB"/>
              </w:rPr>
            </w:pPr>
            <w:r>
              <w:rPr>
                <w:rFonts w:eastAsia="Times New Roman" w:cs="Arial"/>
                <w:szCs w:val="16"/>
                <w:lang w:eastAsia="en-GB"/>
              </w:rPr>
              <w:t>39</w:t>
            </w:r>
            <w:r w:rsidR="008858D5" w:rsidRPr="003B7A68">
              <w:rPr>
                <w:rFonts w:eastAsia="Times New Roman" w:cs="Arial"/>
                <w:szCs w:val="16"/>
                <w:lang w:eastAsia="en-GB"/>
              </w:rPr>
              <w:t>%</w:t>
            </w:r>
          </w:p>
        </w:tc>
        <w:tc>
          <w:tcPr>
            <w:tcW w:w="1044" w:type="dxa"/>
            <w:tcBorders>
              <w:top w:val="nil"/>
              <w:left w:val="nil"/>
              <w:bottom w:val="nil"/>
              <w:right w:val="nil"/>
            </w:tcBorders>
            <w:vAlign w:val="center"/>
            <w:hideMark/>
          </w:tcPr>
          <w:p w14:paraId="355720E4" w14:textId="5CAB7CBB" w:rsidR="008858D5" w:rsidRPr="003B7A68" w:rsidRDefault="00241818" w:rsidP="008858D5">
            <w:pPr>
              <w:spacing w:line="240" w:lineRule="auto"/>
              <w:jc w:val="center"/>
              <w:rPr>
                <w:rFonts w:eastAsia="Times New Roman" w:cs="Arial"/>
                <w:szCs w:val="16"/>
                <w:lang w:eastAsia="en-GB"/>
              </w:rPr>
            </w:pPr>
            <w:r w:rsidRPr="003B7A68">
              <w:rPr>
                <w:rFonts w:eastAsia="Times New Roman" w:cs="Arial"/>
                <w:szCs w:val="16"/>
                <w:lang w:eastAsia="en-GB"/>
              </w:rPr>
              <w:t>£86.2</w:t>
            </w:r>
            <w:r w:rsidR="008858D5" w:rsidRPr="003B7A68">
              <w:rPr>
                <w:rFonts w:eastAsia="Times New Roman" w:cs="Arial"/>
                <w:szCs w:val="16"/>
                <w:lang w:eastAsia="en-GB"/>
              </w:rPr>
              <w:t xml:space="preserve">m </w:t>
            </w:r>
          </w:p>
        </w:tc>
        <w:tc>
          <w:tcPr>
            <w:tcW w:w="279" w:type="dxa"/>
            <w:tcBorders>
              <w:top w:val="nil"/>
              <w:left w:val="nil"/>
              <w:bottom w:val="nil"/>
              <w:right w:val="nil"/>
            </w:tcBorders>
            <w:noWrap/>
            <w:vAlign w:val="bottom"/>
            <w:hideMark/>
          </w:tcPr>
          <w:p w14:paraId="6A95918F" w14:textId="77777777" w:rsidR="008858D5" w:rsidRPr="003B7A68" w:rsidRDefault="008858D5" w:rsidP="008858D5">
            <w:pPr>
              <w:spacing w:line="240" w:lineRule="auto"/>
              <w:jc w:val="center"/>
              <w:rPr>
                <w:rFonts w:eastAsia="Times New Roman" w:cs="Arial"/>
                <w:szCs w:val="16"/>
                <w:lang w:eastAsia="en-GB"/>
              </w:rPr>
            </w:pPr>
          </w:p>
        </w:tc>
        <w:tc>
          <w:tcPr>
            <w:tcW w:w="709" w:type="dxa"/>
            <w:tcBorders>
              <w:top w:val="nil"/>
              <w:left w:val="nil"/>
              <w:bottom w:val="nil"/>
              <w:right w:val="nil"/>
            </w:tcBorders>
            <w:vAlign w:val="center"/>
            <w:hideMark/>
          </w:tcPr>
          <w:p w14:paraId="06FE06C6" w14:textId="2DE095F8" w:rsidR="008858D5" w:rsidRPr="003B7A68" w:rsidRDefault="00241818" w:rsidP="008858D5">
            <w:pPr>
              <w:spacing w:line="240" w:lineRule="auto"/>
              <w:jc w:val="center"/>
              <w:rPr>
                <w:rFonts w:eastAsia="Times New Roman" w:cs="Arial"/>
                <w:szCs w:val="16"/>
                <w:lang w:eastAsia="en-GB"/>
              </w:rPr>
            </w:pPr>
            <w:r w:rsidRPr="003B7A68">
              <w:rPr>
                <w:rFonts w:eastAsia="Times New Roman" w:cs="Arial"/>
                <w:szCs w:val="16"/>
                <w:lang w:eastAsia="en-GB"/>
              </w:rPr>
              <w:t>41</w:t>
            </w:r>
            <w:r w:rsidR="008858D5" w:rsidRPr="003B7A68">
              <w:rPr>
                <w:rFonts w:eastAsia="Times New Roman" w:cs="Arial"/>
                <w:szCs w:val="16"/>
                <w:lang w:eastAsia="en-GB"/>
              </w:rPr>
              <w:t>%</w:t>
            </w:r>
          </w:p>
        </w:tc>
        <w:tc>
          <w:tcPr>
            <w:tcW w:w="990" w:type="dxa"/>
            <w:tcBorders>
              <w:top w:val="nil"/>
              <w:left w:val="nil"/>
              <w:bottom w:val="nil"/>
              <w:right w:val="nil"/>
            </w:tcBorders>
            <w:vAlign w:val="center"/>
            <w:hideMark/>
          </w:tcPr>
          <w:p w14:paraId="5A569C04" w14:textId="235A0EF8" w:rsidR="008858D5" w:rsidRPr="003B7A68" w:rsidRDefault="003B7A68" w:rsidP="008858D5">
            <w:pPr>
              <w:spacing w:line="240" w:lineRule="auto"/>
              <w:jc w:val="center"/>
              <w:rPr>
                <w:rFonts w:eastAsia="Times New Roman" w:cs="Arial"/>
                <w:szCs w:val="16"/>
                <w:lang w:eastAsia="en-GB"/>
              </w:rPr>
            </w:pPr>
            <w:r w:rsidRPr="003B7A68">
              <w:rPr>
                <w:rFonts w:eastAsia="Times New Roman" w:cs="Arial"/>
                <w:szCs w:val="16"/>
                <w:lang w:eastAsia="en-GB"/>
              </w:rPr>
              <w:t>£91.5</w:t>
            </w:r>
            <w:r w:rsidR="008858D5" w:rsidRPr="003B7A68">
              <w:rPr>
                <w:rFonts w:eastAsia="Times New Roman" w:cs="Arial"/>
                <w:szCs w:val="16"/>
                <w:lang w:eastAsia="en-GB"/>
              </w:rPr>
              <w:t xml:space="preserve">m </w:t>
            </w:r>
          </w:p>
        </w:tc>
        <w:tc>
          <w:tcPr>
            <w:tcW w:w="286" w:type="dxa"/>
            <w:tcBorders>
              <w:top w:val="nil"/>
              <w:left w:val="nil"/>
              <w:bottom w:val="nil"/>
              <w:right w:val="nil"/>
            </w:tcBorders>
          </w:tcPr>
          <w:p w14:paraId="47AC273C" w14:textId="77777777" w:rsidR="008858D5" w:rsidRPr="003B7A68" w:rsidRDefault="008858D5" w:rsidP="008858D5">
            <w:pPr>
              <w:spacing w:line="240" w:lineRule="auto"/>
              <w:jc w:val="center"/>
              <w:rPr>
                <w:rFonts w:eastAsia="Times New Roman" w:cs="Arial"/>
                <w:szCs w:val="16"/>
                <w:lang w:eastAsia="en-GB"/>
              </w:rPr>
            </w:pPr>
          </w:p>
        </w:tc>
        <w:tc>
          <w:tcPr>
            <w:tcW w:w="1134" w:type="dxa"/>
            <w:tcBorders>
              <w:top w:val="nil"/>
              <w:left w:val="nil"/>
              <w:bottom w:val="nil"/>
              <w:right w:val="nil"/>
            </w:tcBorders>
            <w:vAlign w:val="center"/>
          </w:tcPr>
          <w:p w14:paraId="326A0436" w14:textId="41326F22" w:rsidR="008858D5" w:rsidRPr="003B7A68" w:rsidRDefault="008858D5" w:rsidP="008858D5">
            <w:pPr>
              <w:spacing w:line="240" w:lineRule="auto"/>
              <w:jc w:val="center"/>
              <w:rPr>
                <w:rFonts w:eastAsia="Times New Roman" w:cs="Arial"/>
                <w:i/>
                <w:szCs w:val="16"/>
                <w:lang w:eastAsia="en-GB"/>
              </w:rPr>
            </w:pPr>
            <w:r w:rsidRPr="003B7A68">
              <w:rPr>
                <w:rFonts w:eastAsia="Times New Roman" w:cs="Arial"/>
                <w:i/>
                <w:szCs w:val="16"/>
                <w:lang w:eastAsia="en-GB"/>
              </w:rPr>
              <w:t>(</w:t>
            </w:r>
            <w:r w:rsidR="003B7A68" w:rsidRPr="003B7A68">
              <w:rPr>
                <w:rFonts w:eastAsia="Times New Roman" w:cs="Arial"/>
                <w:i/>
                <w:szCs w:val="16"/>
                <w:lang w:eastAsia="en-GB"/>
              </w:rPr>
              <w:t>6</w:t>
            </w:r>
            <w:r w:rsidRPr="003B7A68">
              <w:rPr>
                <w:rFonts w:eastAsia="Times New Roman" w:cs="Arial"/>
                <w:i/>
                <w:szCs w:val="16"/>
                <w:lang w:eastAsia="en-GB"/>
              </w:rPr>
              <w:t>)%</w:t>
            </w:r>
          </w:p>
        </w:tc>
      </w:tr>
      <w:tr w:rsidR="00572CF1" w:rsidRPr="003B7A68" w14:paraId="16D4741B" w14:textId="77777777">
        <w:trPr>
          <w:trHeight w:val="300"/>
        </w:trPr>
        <w:tc>
          <w:tcPr>
            <w:tcW w:w="2778" w:type="dxa"/>
            <w:tcBorders>
              <w:top w:val="nil"/>
              <w:left w:val="nil"/>
              <w:bottom w:val="nil"/>
              <w:right w:val="nil"/>
            </w:tcBorders>
            <w:vAlign w:val="center"/>
          </w:tcPr>
          <w:p w14:paraId="6166A58E" w14:textId="77777777" w:rsidR="008858D5" w:rsidRPr="003B7A68" w:rsidRDefault="008858D5" w:rsidP="008858D5">
            <w:pPr>
              <w:spacing w:line="240" w:lineRule="auto"/>
              <w:rPr>
                <w:rFonts w:eastAsia="Times New Roman" w:cs="Arial"/>
                <w:szCs w:val="16"/>
                <w:lang w:eastAsia="en-GB"/>
              </w:rPr>
            </w:pPr>
            <w:r w:rsidRPr="003B7A68">
              <w:rPr>
                <w:rFonts w:eastAsia="Times New Roman" w:cs="Arial"/>
                <w:szCs w:val="16"/>
                <w:lang w:eastAsia="en-GB"/>
              </w:rPr>
              <w:t>Licensed</w:t>
            </w:r>
          </w:p>
        </w:tc>
        <w:tc>
          <w:tcPr>
            <w:tcW w:w="577" w:type="dxa"/>
            <w:tcBorders>
              <w:top w:val="nil"/>
              <w:left w:val="nil"/>
              <w:bottom w:val="nil"/>
              <w:right w:val="nil"/>
            </w:tcBorders>
            <w:vAlign w:val="center"/>
          </w:tcPr>
          <w:p w14:paraId="39EA350B" w14:textId="3109C222" w:rsidR="008858D5" w:rsidRPr="003B7A68" w:rsidRDefault="00E54345" w:rsidP="008858D5">
            <w:pPr>
              <w:spacing w:line="240" w:lineRule="auto"/>
              <w:jc w:val="center"/>
              <w:rPr>
                <w:rFonts w:eastAsia="Times New Roman" w:cs="Arial"/>
                <w:szCs w:val="16"/>
                <w:lang w:eastAsia="en-GB"/>
              </w:rPr>
            </w:pPr>
            <w:r w:rsidRPr="003B7A68">
              <w:rPr>
                <w:rFonts w:eastAsia="Times New Roman" w:cs="Arial"/>
                <w:szCs w:val="16"/>
                <w:lang w:eastAsia="en-GB"/>
              </w:rPr>
              <w:t>8</w:t>
            </w:r>
            <w:r w:rsidR="008858D5" w:rsidRPr="003B7A68">
              <w:rPr>
                <w:rFonts w:eastAsia="Times New Roman" w:cs="Arial"/>
                <w:szCs w:val="16"/>
                <w:lang w:eastAsia="en-GB"/>
              </w:rPr>
              <w:t>%</w:t>
            </w:r>
          </w:p>
        </w:tc>
        <w:tc>
          <w:tcPr>
            <w:tcW w:w="1044" w:type="dxa"/>
            <w:tcBorders>
              <w:top w:val="nil"/>
              <w:left w:val="nil"/>
              <w:bottom w:val="nil"/>
              <w:right w:val="nil"/>
            </w:tcBorders>
            <w:vAlign w:val="center"/>
          </w:tcPr>
          <w:p w14:paraId="6901B585" w14:textId="398A9231" w:rsidR="008858D5" w:rsidRPr="003B7A68" w:rsidRDefault="00241818" w:rsidP="008858D5">
            <w:pPr>
              <w:spacing w:line="240" w:lineRule="auto"/>
              <w:jc w:val="center"/>
              <w:rPr>
                <w:rFonts w:eastAsia="Times New Roman" w:cs="Arial"/>
                <w:szCs w:val="16"/>
                <w:lang w:eastAsia="en-GB"/>
              </w:rPr>
            </w:pPr>
            <w:r w:rsidRPr="003B7A68">
              <w:rPr>
                <w:rFonts w:eastAsia="Times New Roman" w:cs="Arial"/>
                <w:szCs w:val="16"/>
                <w:lang w:eastAsia="en-GB"/>
              </w:rPr>
              <w:t>£16.4</w:t>
            </w:r>
            <w:r w:rsidR="008858D5" w:rsidRPr="003B7A68">
              <w:rPr>
                <w:rFonts w:eastAsia="Times New Roman" w:cs="Arial"/>
                <w:szCs w:val="16"/>
                <w:lang w:eastAsia="en-GB"/>
              </w:rPr>
              <w:t xml:space="preserve">m </w:t>
            </w:r>
          </w:p>
        </w:tc>
        <w:tc>
          <w:tcPr>
            <w:tcW w:w="279" w:type="dxa"/>
            <w:tcBorders>
              <w:top w:val="nil"/>
              <w:left w:val="nil"/>
              <w:bottom w:val="nil"/>
              <w:right w:val="nil"/>
            </w:tcBorders>
            <w:noWrap/>
            <w:vAlign w:val="bottom"/>
          </w:tcPr>
          <w:p w14:paraId="019D96F2" w14:textId="77777777" w:rsidR="008858D5" w:rsidRPr="003B7A68" w:rsidRDefault="008858D5" w:rsidP="008858D5">
            <w:pPr>
              <w:spacing w:line="240" w:lineRule="auto"/>
              <w:jc w:val="center"/>
              <w:rPr>
                <w:rFonts w:eastAsia="Times New Roman" w:cs="Arial"/>
                <w:szCs w:val="16"/>
                <w:lang w:eastAsia="en-GB"/>
              </w:rPr>
            </w:pPr>
          </w:p>
        </w:tc>
        <w:tc>
          <w:tcPr>
            <w:tcW w:w="709" w:type="dxa"/>
            <w:tcBorders>
              <w:top w:val="nil"/>
              <w:left w:val="nil"/>
              <w:bottom w:val="nil"/>
              <w:right w:val="nil"/>
            </w:tcBorders>
            <w:vAlign w:val="center"/>
          </w:tcPr>
          <w:p w14:paraId="15B47D69" w14:textId="0C5F5FCB" w:rsidR="008858D5" w:rsidRPr="003B7A68" w:rsidRDefault="0087785B" w:rsidP="008858D5">
            <w:pPr>
              <w:spacing w:line="240" w:lineRule="auto"/>
              <w:jc w:val="center"/>
              <w:rPr>
                <w:rFonts w:eastAsia="Times New Roman" w:cs="Arial"/>
                <w:szCs w:val="16"/>
                <w:lang w:eastAsia="en-GB"/>
              </w:rPr>
            </w:pPr>
            <w:r>
              <w:rPr>
                <w:rFonts w:eastAsia="Times New Roman" w:cs="Arial"/>
                <w:szCs w:val="16"/>
                <w:lang w:eastAsia="en-GB"/>
              </w:rPr>
              <w:t>5</w:t>
            </w:r>
            <w:r w:rsidR="008858D5" w:rsidRPr="003B7A68">
              <w:rPr>
                <w:rFonts w:eastAsia="Times New Roman" w:cs="Arial"/>
                <w:szCs w:val="16"/>
                <w:lang w:eastAsia="en-GB"/>
              </w:rPr>
              <w:t>%</w:t>
            </w:r>
          </w:p>
        </w:tc>
        <w:tc>
          <w:tcPr>
            <w:tcW w:w="990" w:type="dxa"/>
            <w:tcBorders>
              <w:top w:val="nil"/>
              <w:left w:val="nil"/>
              <w:bottom w:val="nil"/>
              <w:right w:val="nil"/>
            </w:tcBorders>
            <w:vAlign w:val="center"/>
          </w:tcPr>
          <w:p w14:paraId="483BE12A" w14:textId="7C492250" w:rsidR="008858D5" w:rsidRPr="003B7A68" w:rsidRDefault="00241818" w:rsidP="008858D5">
            <w:pPr>
              <w:spacing w:line="240" w:lineRule="auto"/>
              <w:jc w:val="center"/>
              <w:rPr>
                <w:rFonts w:eastAsia="Times New Roman" w:cs="Arial"/>
                <w:szCs w:val="16"/>
                <w:lang w:eastAsia="en-GB"/>
              </w:rPr>
            </w:pPr>
            <w:r w:rsidRPr="003B7A68">
              <w:rPr>
                <w:rFonts w:eastAsia="Times New Roman" w:cs="Arial"/>
                <w:szCs w:val="16"/>
                <w:lang w:eastAsia="en-GB"/>
              </w:rPr>
              <w:t>£12.4</w:t>
            </w:r>
            <w:r w:rsidR="008858D5" w:rsidRPr="003B7A68">
              <w:rPr>
                <w:rFonts w:eastAsia="Times New Roman" w:cs="Arial"/>
                <w:szCs w:val="16"/>
                <w:lang w:eastAsia="en-GB"/>
              </w:rPr>
              <w:t xml:space="preserve">m </w:t>
            </w:r>
          </w:p>
        </w:tc>
        <w:tc>
          <w:tcPr>
            <w:tcW w:w="286" w:type="dxa"/>
            <w:tcBorders>
              <w:top w:val="nil"/>
              <w:left w:val="nil"/>
              <w:bottom w:val="nil"/>
              <w:right w:val="nil"/>
            </w:tcBorders>
          </w:tcPr>
          <w:p w14:paraId="3C39DA31" w14:textId="77777777" w:rsidR="008858D5" w:rsidRPr="003B7A68" w:rsidRDefault="008858D5" w:rsidP="008858D5">
            <w:pPr>
              <w:spacing w:line="240" w:lineRule="auto"/>
              <w:jc w:val="center"/>
              <w:rPr>
                <w:rFonts w:eastAsia="Times New Roman" w:cs="Arial"/>
                <w:szCs w:val="16"/>
                <w:lang w:eastAsia="en-GB"/>
              </w:rPr>
            </w:pPr>
          </w:p>
        </w:tc>
        <w:tc>
          <w:tcPr>
            <w:tcW w:w="1134" w:type="dxa"/>
            <w:tcBorders>
              <w:top w:val="nil"/>
              <w:left w:val="nil"/>
              <w:bottom w:val="nil"/>
              <w:right w:val="nil"/>
            </w:tcBorders>
            <w:vAlign w:val="center"/>
          </w:tcPr>
          <w:p w14:paraId="1274685D" w14:textId="1A305C79" w:rsidR="008858D5" w:rsidRPr="003B7A68" w:rsidRDefault="003B7A68" w:rsidP="008858D5">
            <w:pPr>
              <w:spacing w:line="240" w:lineRule="auto"/>
              <w:jc w:val="center"/>
              <w:rPr>
                <w:rFonts w:eastAsia="Times New Roman" w:cs="Arial"/>
                <w:i/>
                <w:szCs w:val="16"/>
                <w:lang w:eastAsia="en-GB"/>
              </w:rPr>
            </w:pPr>
            <w:r w:rsidRPr="003B7A68">
              <w:rPr>
                <w:rFonts w:eastAsia="Times New Roman" w:cs="Arial"/>
                <w:i/>
                <w:szCs w:val="16"/>
                <w:lang w:eastAsia="en-GB"/>
              </w:rPr>
              <w:t>32</w:t>
            </w:r>
            <w:r w:rsidR="008858D5" w:rsidRPr="003B7A68">
              <w:rPr>
                <w:rFonts w:eastAsia="Times New Roman" w:cs="Arial"/>
                <w:i/>
                <w:szCs w:val="16"/>
                <w:lang w:eastAsia="en-GB"/>
              </w:rPr>
              <w:t>%</w:t>
            </w:r>
          </w:p>
        </w:tc>
      </w:tr>
      <w:tr w:rsidR="008858D5" w:rsidRPr="003B7A68" w14:paraId="6F0C7CA4" w14:textId="77777777">
        <w:trPr>
          <w:trHeight w:val="300"/>
        </w:trPr>
        <w:tc>
          <w:tcPr>
            <w:tcW w:w="2778" w:type="dxa"/>
            <w:tcBorders>
              <w:top w:val="single" w:sz="4" w:space="0" w:color="55565B"/>
              <w:left w:val="nil"/>
              <w:bottom w:val="single" w:sz="8" w:space="0" w:color="55565B"/>
              <w:right w:val="nil"/>
            </w:tcBorders>
            <w:vAlign w:val="center"/>
            <w:hideMark/>
          </w:tcPr>
          <w:p w14:paraId="6F76EBC0" w14:textId="77777777" w:rsidR="008858D5" w:rsidRPr="003B7A68" w:rsidRDefault="008858D5" w:rsidP="008858D5">
            <w:pPr>
              <w:spacing w:line="240" w:lineRule="auto"/>
              <w:jc w:val="both"/>
              <w:rPr>
                <w:rFonts w:eastAsia="Times New Roman" w:cs="Arial"/>
                <w:b/>
                <w:bCs/>
                <w:szCs w:val="16"/>
                <w:lang w:eastAsia="en-GB"/>
              </w:rPr>
            </w:pPr>
            <w:r w:rsidRPr="003B7A68">
              <w:rPr>
                <w:rFonts w:eastAsia="Times New Roman" w:cs="Arial"/>
                <w:b/>
                <w:bCs/>
                <w:szCs w:val="16"/>
                <w:lang w:eastAsia="en-GB"/>
              </w:rPr>
              <w:t>Total</w:t>
            </w:r>
          </w:p>
        </w:tc>
        <w:tc>
          <w:tcPr>
            <w:tcW w:w="577" w:type="dxa"/>
            <w:tcBorders>
              <w:top w:val="single" w:sz="4" w:space="0" w:color="55565B"/>
              <w:left w:val="nil"/>
              <w:bottom w:val="single" w:sz="8" w:space="0" w:color="55565B"/>
              <w:right w:val="nil"/>
            </w:tcBorders>
            <w:noWrap/>
            <w:vAlign w:val="bottom"/>
            <w:hideMark/>
          </w:tcPr>
          <w:p w14:paraId="403F0A94" w14:textId="77777777" w:rsidR="008858D5" w:rsidRPr="003B7A68" w:rsidRDefault="008858D5" w:rsidP="008858D5">
            <w:pPr>
              <w:spacing w:line="240" w:lineRule="auto"/>
              <w:jc w:val="center"/>
              <w:rPr>
                <w:rFonts w:eastAsia="Times New Roman" w:cs="Arial"/>
                <w:szCs w:val="16"/>
                <w:lang w:eastAsia="en-GB"/>
              </w:rPr>
            </w:pPr>
            <w:r w:rsidRPr="003B7A68">
              <w:rPr>
                <w:rFonts w:eastAsia="Times New Roman" w:cs="Arial"/>
                <w:szCs w:val="16"/>
                <w:lang w:eastAsia="en-GB"/>
              </w:rPr>
              <w:t> </w:t>
            </w:r>
          </w:p>
        </w:tc>
        <w:tc>
          <w:tcPr>
            <w:tcW w:w="1044" w:type="dxa"/>
            <w:tcBorders>
              <w:top w:val="single" w:sz="4" w:space="0" w:color="55565B"/>
              <w:left w:val="nil"/>
              <w:bottom w:val="single" w:sz="8" w:space="0" w:color="55565B"/>
              <w:right w:val="nil"/>
            </w:tcBorders>
            <w:vAlign w:val="center"/>
            <w:hideMark/>
          </w:tcPr>
          <w:p w14:paraId="4D85A3E9" w14:textId="5EA76986" w:rsidR="008858D5" w:rsidRPr="003B7A68" w:rsidRDefault="00241818" w:rsidP="008858D5">
            <w:pPr>
              <w:spacing w:line="240" w:lineRule="auto"/>
              <w:jc w:val="center"/>
              <w:rPr>
                <w:rFonts w:eastAsia="Times New Roman" w:cs="Arial"/>
                <w:b/>
                <w:bCs/>
                <w:szCs w:val="16"/>
                <w:lang w:eastAsia="en-GB"/>
              </w:rPr>
            </w:pPr>
            <w:r w:rsidRPr="003B7A68">
              <w:rPr>
                <w:rFonts w:eastAsia="Times New Roman" w:cs="Arial"/>
                <w:b/>
                <w:bCs/>
                <w:szCs w:val="16"/>
                <w:lang w:eastAsia="en-GB"/>
              </w:rPr>
              <w:t>£217.9</w:t>
            </w:r>
            <w:r w:rsidR="008858D5" w:rsidRPr="003B7A68">
              <w:rPr>
                <w:rFonts w:eastAsia="Times New Roman" w:cs="Arial"/>
                <w:b/>
                <w:bCs/>
                <w:szCs w:val="16"/>
                <w:lang w:eastAsia="en-GB"/>
              </w:rPr>
              <w:t xml:space="preserve">m </w:t>
            </w:r>
          </w:p>
        </w:tc>
        <w:tc>
          <w:tcPr>
            <w:tcW w:w="279" w:type="dxa"/>
            <w:tcBorders>
              <w:top w:val="nil"/>
              <w:left w:val="nil"/>
              <w:bottom w:val="nil"/>
              <w:right w:val="nil"/>
            </w:tcBorders>
            <w:noWrap/>
            <w:vAlign w:val="bottom"/>
            <w:hideMark/>
          </w:tcPr>
          <w:p w14:paraId="1AEDFAD0" w14:textId="77777777" w:rsidR="008858D5" w:rsidRPr="003B7A68" w:rsidRDefault="008858D5" w:rsidP="008858D5">
            <w:pPr>
              <w:spacing w:line="240" w:lineRule="auto"/>
              <w:jc w:val="center"/>
              <w:rPr>
                <w:rFonts w:eastAsia="Times New Roman" w:cs="Arial"/>
                <w:b/>
                <w:bCs/>
                <w:szCs w:val="16"/>
                <w:lang w:eastAsia="en-GB"/>
              </w:rPr>
            </w:pPr>
          </w:p>
        </w:tc>
        <w:tc>
          <w:tcPr>
            <w:tcW w:w="709" w:type="dxa"/>
            <w:tcBorders>
              <w:top w:val="single" w:sz="4" w:space="0" w:color="55565B"/>
              <w:left w:val="nil"/>
              <w:bottom w:val="single" w:sz="8" w:space="0" w:color="55565B"/>
              <w:right w:val="nil"/>
            </w:tcBorders>
            <w:noWrap/>
            <w:vAlign w:val="bottom"/>
            <w:hideMark/>
          </w:tcPr>
          <w:p w14:paraId="36BBB6E2" w14:textId="77777777" w:rsidR="008858D5" w:rsidRPr="003B7A68" w:rsidRDefault="008858D5" w:rsidP="008858D5">
            <w:pPr>
              <w:spacing w:line="240" w:lineRule="auto"/>
              <w:jc w:val="center"/>
              <w:rPr>
                <w:rFonts w:eastAsia="Times New Roman" w:cs="Arial"/>
                <w:szCs w:val="16"/>
                <w:lang w:eastAsia="en-GB"/>
              </w:rPr>
            </w:pPr>
            <w:r w:rsidRPr="003B7A68">
              <w:rPr>
                <w:rFonts w:eastAsia="Times New Roman" w:cs="Arial"/>
                <w:szCs w:val="16"/>
                <w:lang w:eastAsia="en-GB"/>
              </w:rPr>
              <w:t> </w:t>
            </w:r>
          </w:p>
        </w:tc>
        <w:tc>
          <w:tcPr>
            <w:tcW w:w="990" w:type="dxa"/>
            <w:tcBorders>
              <w:top w:val="single" w:sz="4" w:space="0" w:color="55565B"/>
              <w:left w:val="nil"/>
              <w:bottom w:val="single" w:sz="8" w:space="0" w:color="55565B"/>
              <w:right w:val="nil"/>
            </w:tcBorders>
            <w:vAlign w:val="center"/>
            <w:hideMark/>
          </w:tcPr>
          <w:p w14:paraId="5A63D437" w14:textId="746895F4" w:rsidR="008858D5" w:rsidRPr="003B7A68" w:rsidRDefault="003B7A68" w:rsidP="008858D5">
            <w:pPr>
              <w:spacing w:line="240" w:lineRule="auto"/>
              <w:jc w:val="center"/>
              <w:rPr>
                <w:rFonts w:eastAsia="Times New Roman" w:cs="Arial"/>
                <w:b/>
                <w:bCs/>
                <w:szCs w:val="16"/>
                <w:lang w:eastAsia="en-GB"/>
              </w:rPr>
            </w:pPr>
            <w:r w:rsidRPr="003B7A68">
              <w:rPr>
                <w:rFonts w:eastAsia="Times New Roman" w:cs="Arial"/>
                <w:b/>
                <w:bCs/>
                <w:szCs w:val="16"/>
                <w:lang w:eastAsia="en-GB"/>
              </w:rPr>
              <w:t>£225.4</w:t>
            </w:r>
            <w:r w:rsidR="008858D5" w:rsidRPr="003B7A68">
              <w:rPr>
                <w:rFonts w:eastAsia="Times New Roman" w:cs="Arial"/>
                <w:b/>
                <w:bCs/>
                <w:szCs w:val="16"/>
                <w:lang w:eastAsia="en-GB"/>
              </w:rPr>
              <w:t xml:space="preserve">m </w:t>
            </w:r>
          </w:p>
        </w:tc>
        <w:tc>
          <w:tcPr>
            <w:tcW w:w="286" w:type="dxa"/>
            <w:tcBorders>
              <w:left w:val="nil"/>
              <w:right w:val="nil"/>
            </w:tcBorders>
          </w:tcPr>
          <w:p w14:paraId="42D13333" w14:textId="77777777" w:rsidR="008858D5" w:rsidRPr="003B7A68" w:rsidRDefault="008858D5" w:rsidP="008858D5">
            <w:pPr>
              <w:spacing w:line="240" w:lineRule="auto"/>
              <w:jc w:val="center"/>
              <w:rPr>
                <w:rFonts w:eastAsia="Times New Roman" w:cs="Arial"/>
                <w:b/>
                <w:bCs/>
                <w:szCs w:val="16"/>
                <w:lang w:eastAsia="en-GB"/>
              </w:rPr>
            </w:pPr>
          </w:p>
        </w:tc>
        <w:tc>
          <w:tcPr>
            <w:tcW w:w="1134" w:type="dxa"/>
            <w:tcBorders>
              <w:top w:val="single" w:sz="4" w:space="0" w:color="55565B"/>
              <w:left w:val="nil"/>
              <w:bottom w:val="single" w:sz="8" w:space="0" w:color="55565B"/>
              <w:right w:val="nil"/>
            </w:tcBorders>
            <w:vAlign w:val="center"/>
          </w:tcPr>
          <w:p w14:paraId="6EA5F09C" w14:textId="491A8C11" w:rsidR="008858D5" w:rsidRPr="003B7A68" w:rsidRDefault="008858D5" w:rsidP="008858D5">
            <w:pPr>
              <w:spacing w:line="240" w:lineRule="auto"/>
              <w:jc w:val="center"/>
              <w:rPr>
                <w:rFonts w:eastAsia="Times New Roman" w:cs="Arial"/>
                <w:b/>
                <w:i/>
                <w:szCs w:val="16"/>
                <w:lang w:eastAsia="en-GB"/>
              </w:rPr>
            </w:pPr>
            <w:r w:rsidRPr="003B7A68">
              <w:rPr>
                <w:rFonts w:eastAsia="Times New Roman" w:cs="Arial"/>
                <w:b/>
                <w:i/>
                <w:szCs w:val="16"/>
                <w:lang w:eastAsia="en-GB"/>
              </w:rPr>
              <w:t>(</w:t>
            </w:r>
            <w:r w:rsidR="00D05390">
              <w:rPr>
                <w:rFonts w:eastAsia="Times New Roman" w:cs="Arial"/>
                <w:b/>
                <w:i/>
                <w:szCs w:val="16"/>
                <w:lang w:eastAsia="en-GB"/>
              </w:rPr>
              <w:t>3</w:t>
            </w:r>
            <w:r w:rsidRPr="003B7A68">
              <w:rPr>
                <w:rFonts w:eastAsia="Times New Roman" w:cs="Arial"/>
                <w:b/>
                <w:i/>
                <w:szCs w:val="16"/>
                <w:lang w:eastAsia="en-GB"/>
              </w:rPr>
              <w:t>)%</w:t>
            </w:r>
          </w:p>
        </w:tc>
      </w:tr>
    </w:tbl>
    <w:p w14:paraId="67D48F80" w14:textId="5B243B53" w:rsidR="00D60756" w:rsidRPr="00B8452B" w:rsidRDefault="00D60756" w:rsidP="00B931EC">
      <w:pPr>
        <w:spacing w:before="240" w:after="240" w:line="276" w:lineRule="auto"/>
        <w:rPr>
          <w:rFonts w:eastAsia="Cambria" w:cs="Arial"/>
        </w:rPr>
      </w:pPr>
      <w:r w:rsidRPr="00D60756">
        <w:rPr>
          <w:rFonts w:eastAsia="Cambria" w:cs="Arial"/>
        </w:rPr>
        <w:t xml:space="preserve">Revenue declined across the Group’s two largest brand segments during the year. Customer own brand revenue </w:t>
      </w:r>
      <w:r w:rsidR="00014719" w:rsidRPr="00D60756">
        <w:rPr>
          <w:rFonts w:eastAsia="Cambria" w:cs="Arial"/>
        </w:rPr>
        <w:t>continu</w:t>
      </w:r>
      <w:r w:rsidR="00014719">
        <w:rPr>
          <w:rFonts w:eastAsia="Cambria" w:cs="Arial"/>
        </w:rPr>
        <w:t>e</w:t>
      </w:r>
      <w:r w:rsidR="00AA2F7A">
        <w:rPr>
          <w:rFonts w:eastAsia="Cambria" w:cs="Arial"/>
        </w:rPr>
        <w:t>d</w:t>
      </w:r>
      <w:r w:rsidR="00014719" w:rsidRPr="00D60756">
        <w:rPr>
          <w:rFonts w:eastAsia="Cambria" w:cs="Arial"/>
        </w:rPr>
        <w:t xml:space="preserve"> to represent the majority of Group revenue at 53%</w:t>
      </w:r>
      <w:r w:rsidR="00E300F6">
        <w:rPr>
          <w:rFonts w:eastAsia="Cambria" w:cs="Arial"/>
        </w:rPr>
        <w:t xml:space="preserve">, albeit </w:t>
      </w:r>
      <w:r w:rsidR="005300A9">
        <w:rPr>
          <w:rFonts w:eastAsia="Cambria" w:cs="Arial"/>
        </w:rPr>
        <w:t xml:space="preserve">declining </w:t>
      </w:r>
      <w:r w:rsidRPr="00D60756">
        <w:rPr>
          <w:rFonts w:eastAsia="Cambria" w:cs="Arial"/>
        </w:rPr>
        <w:t xml:space="preserve">5% </w:t>
      </w:r>
      <w:r w:rsidR="003050F4">
        <w:rPr>
          <w:rFonts w:eastAsia="Cambria" w:cs="Arial"/>
        </w:rPr>
        <w:t>year-on-year, while</w:t>
      </w:r>
      <w:r w:rsidR="005300A9">
        <w:rPr>
          <w:rFonts w:eastAsia="Cambria" w:cs="Arial"/>
        </w:rPr>
        <w:t xml:space="preserve"> </w:t>
      </w:r>
      <w:r w:rsidR="00BB10AB">
        <w:rPr>
          <w:rFonts w:eastAsia="Cambria" w:cs="Arial"/>
        </w:rPr>
        <w:t xml:space="preserve">DG branded revenue </w:t>
      </w:r>
      <w:r w:rsidR="00BB10AB" w:rsidRPr="00D60756">
        <w:rPr>
          <w:rFonts w:eastAsia="Cambria" w:cs="Arial"/>
        </w:rPr>
        <w:t>declined 6%</w:t>
      </w:r>
      <w:r w:rsidR="00BB10AB">
        <w:rPr>
          <w:rFonts w:eastAsia="Cambria" w:cs="Arial"/>
        </w:rPr>
        <w:t xml:space="preserve">. </w:t>
      </w:r>
      <w:r w:rsidR="003050F4">
        <w:rPr>
          <w:rFonts w:eastAsia="Cambria" w:cs="Arial"/>
        </w:rPr>
        <w:t xml:space="preserve">As the Group’s largest categories, these were </w:t>
      </w:r>
      <w:r w:rsidR="00963E17">
        <w:rPr>
          <w:rFonts w:eastAsia="Cambria" w:cs="Arial"/>
        </w:rPr>
        <w:t xml:space="preserve">most </w:t>
      </w:r>
      <w:r w:rsidR="003050F4">
        <w:rPr>
          <w:rFonts w:eastAsia="Cambria" w:cs="Arial"/>
        </w:rPr>
        <w:t xml:space="preserve">exposed to the impact of lower order </w:t>
      </w:r>
      <w:r w:rsidR="00963E17">
        <w:rPr>
          <w:rFonts w:eastAsia="Cambria" w:cs="Arial"/>
        </w:rPr>
        <w:t xml:space="preserve">volumes. </w:t>
      </w:r>
      <w:r w:rsidRPr="00D60756">
        <w:rPr>
          <w:rFonts w:eastAsia="Cambria" w:cs="Arial"/>
        </w:rPr>
        <w:t>In contrast,</w:t>
      </w:r>
      <w:r w:rsidRPr="00D60756" w:rsidDel="002B5B02">
        <w:rPr>
          <w:rFonts w:eastAsia="Cambria" w:cs="Arial"/>
        </w:rPr>
        <w:t xml:space="preserve"> </w:t>
      </w:r>
      <w:r w:rsidR="002B5B02">
        <w:rPr>
          <w:rFonts w:eastAsia="Cambria" w:cs="Arial"/>
        </w:rPr>
        <w:t>l</w:t>
      </w:r>
      <w:r w:rsidR="002B5B02" w:rsidRPr="00D60756">
        <w:rPr>
          <w:rFonts w:eastAsia="Cambria" w:cs="Arial"/>
        </w:rPr>
        <w:t>icensed</w:t>
      </w:r>
      <w:r w:rsidRPr="00D60756">
        <w:rPr>
          <w:rFonts w:eastAsia="Cambria" w:cs="Arial"/>
        </w:rPr>
        <w:t xml:space="preserve"> revenue increased its share to 8% (FY</w:t>
      </w:r>
      <w:r w:rsidR="009E5CBE">
        <w:rPr>
          <w:rFonts w:eastAsia="Cambria" w:cs="Arial"/>
        </w:rPr>
        <w:t>20</w:t>
      </w:r>
      <w:r w:rsidRPr="00D60756">
        <w:rPr>
          <w:rFonts w:eastAsia="Cambria" w:cs="Arial"/>
        </w:rPr>
        <w:t xml:space="preserve">25: </w:t>
      </w:r>
      <w:r w:rsidR="006E65A3">
        <w:rPr>
          <w:rFonts w:eastAsia="Cambria" w:cs="Arial"/>
        </w:rPr>
        <w:t>5</w:t>
      </w:r>
      <w:r w:rsidRPr="00D60756">
        <w:rPr>
          <w:rFonts w:eastAsia="Cambria" w:cs="Arial"/>
        </w:rPr>
        <w:t>%)</w:t>
      </w:r>
      <w:r w:rsidR="009E5CBE">
        <w:rPr>
          <w:rFonts w:eastAsia="Cambria" w:cs="Arial"/>
        </w:rPr>
        <w:t>,</w:t>
      </w:r>
      <w:r w:rsidR="00963E17">
        <w:rPr>
          <w:rFonts w:eastAsia="Cambria" w:cs="Arial"/>
        </w:rPr>
        <w:t xml:space="preserve"> </w:t>
      </w:r>
      <w:r w:rsidRPr="00D60756">
        <w:rPr>
          <w:rFonts w:eastAsia="Cambria" w:cs="Arial"/>
        </w:rPr>
        <w:t>reflect</w:t>
      </w:r>
      <w:r w:rsidR="00963E17">
        <w:rPr>
          <w:rFonts w:eastAsia="Cambria" w:cs="Arial"/>
        </w:rPr>
        <w:t>ing</w:t>
      </w:r>
      <w:r w:rsidRPr="00D60756">
        <w:rPr>
          <w:rFonts w:eastAsia="Cambria" w:cs="Arial"/>
        </w:rPr>
        <w:t xml:space="preserve"> the success of targeted licensed offerings in enhancing category value and consumer appeal</w:t>
      </w:r>
      <w:r w:rsidR="00963E17">
        <w:rPr>
          <w:rFonts w:eastAsia="Cambria" w:cs="Arial"/>
        </w:rPr>
        <w:t>.</w:t>
      </w:r>
    </w:p>
    <w:p w14:paraId="2F07C2FE" w14:textId="77777777" w:rsidR="008858D5" w:rsidRPr="00327FAA" w:rsidRDefault="008858D5" w:rsidP="00327FAA">
      <w:pPr>
        <w:pStyle w:val="Heading2"/>
        <w:rPr>
          <w:b w:val="0"/>
          <w:szCs w:val="16"/>
        </w:rPr>
      </w:pPr>
      <w:r w:rsidRPr="00327FAA">
        <w:rPr>
          <w:sz w:val="16"/>
          <w:szCs w:val="16"/>
        </w:rPr>
        <w:t>Sustainability</w:t>
      </w:r>
    </w:p>
    <w:p w14:paraId="51BCE487" w14:textId="1A1743BC" w:rsidR="00F2525A" w:rsidRDefault="000E3106" w:rsidP="008858D5">
      <w:pPr>
        <w:spacing w:line="276" w:lineRule="auto"/>
        <w:rPr>
          <w:rFonts w:eastAsia="Calibri" w:cs="Arial"/>
        </w:rPr>
      </w:pPr>
      <w:r w:rsidRPr="000E3106">
        <w:rPr>
          <w:rFonts w:eastAsia="Calibri" w:cs="Arial"/>
        </w:rPr>
        <w:t>Sustainability remains integral to the Group’s strategy, supporting long</w:t>
      </w:r>
      <w:r w:rsidRPr="000E3106">
        <w:rPr>
          <w:rFonts w:ascii="Cambria Math" w:eastAsia="Calibri" w:hAnsi="Cambria Math" w:cs="Cambria Math"/>
        </w:rPr>
        <w:t>‑</w:t>
      </w:r>
      <w:r w:rsidRPr="000E3106">
        <w:rPr>
          <w:rFonts w:eastAsia="Calibri" w:cs="Arial"/>
        </w:rPr>
        <w:t>term value creation through resilient operations, stronger customer partnerships and continued innovation across our product portfolio</w:t>
      </w:r>
      <w:r w:rsidR="00A66C8E">
        <w:rPr>
          <w:rFonts w:eastAsia="Calibri" w:cs="Arial"/>
        </w:rPr>
        <w:t xml:space="preserve">, </w:t>
      </w:r>
      <w:r w:rsidR="001F6349">
        <w:rPr>
          <w:rFonts w:eastAsia="Calibri" w:cs="Arial"/>
        </w:rPr>
        <w:t xml:space="preserve">which together underpin </w:t>
      </w:r>
      <w:r w:rsidR="00A66C8E" w:rsidRPr="00A66C8E">
        <w:rPr>
          <w:rFonts w:eastAsia="Calibri" w:cs="Arial"/>
        </w:rPr>
        <w:t>competitive advantage</w:t>
      </w:r>
      <w:r w:rsidRPr="000E3106">
        <w:rPr>
          <w:rFonts w:eastAsia="Calibri" w:cs="Arial"/>
        </w:rPr>
        <w:t>. Our approach is structured around three pillar</w:t>
      </w:r>
      <w:r w:rsidR="00BF39CF">
        <w:rPr>
          <w:rFonts w:eastAsia="Calibri" w:cs="Arial"/>
        </w:rPr>
        <w:t>s</w:t>
      </w:r>
      <w:r w:rsidR="00FF41D4">
        <w:rPr>
          <w:rFonts w:eastAsia="Calibri" w:cs="Arial"/>
        </w:rPr>
        <w:t>:</w:t>
      </w:r>
      <w:r w:rsidR="00FF41D4" w:rsidRPr="000E3106">
        <w:rPr>
          <w:rFonts w:eastAsia="Calibri" w:cs="Arial"/>
        </w:rPr>
        <w:t xml:space="preserve"> </w:t>
      </w:r>
      <w:r w:rsidRPr="000E3106">
        <w:rPr>
          <w:rFonts w:eastAsia="Calibri" w:cs="Arial"/>
        </w:rPr>
        <w:t>People, Product and Planet</w:t>
      </w:r>
      <w:r w:rsidR="003E3ABB">
        <w:rPr>
          <w:rFonts w:eastAsia="Calibri" w:cs="Arial"/>
        </w:rPr>
        <w:t>,</w:t>
      </w:r>
      <w:r w:rsidRPr="000E3106">
        <w:rPr>
          <w:rFonts w:eastAsia="Calibri" w:cs="Arial"/>
        </w:rPr>
        <w:t xml:space="preserve"> which guide priorities and performance across the business, with a continued focus on </w:t>
      </w:r>
      <w:r w:rsidR="00016389">
        <w:rPr>
          <w:rFonts w:eastAsia="Calibri" w:cs="Arial"/>
        </w:rPr>
        <w:t xml:space="preserve">driving </w:t>
      </w:r>
      <w:r w:rsidRPr="000E3106">
        <w:rPr>
          <w:rFonts w:eastAsia="Calibri" w:cs="Arial"/>
        </w:rPr>
        <w:t>improve</w:t>
      </w:r>
      <w:r w:rsidR="00016389">
        <w:rPr>
          <w:rFonts w:eastAsia="Calibri" w:cs="Arial"/>
        </w:rPr>
        <w:t xml:space="preserve">ments </w:t>
      </w:r>
      <w:r w:rsidRPr="000E3106">
        <w:rPr>
          <w:rFonts w:eastAsia="Calibri" w:cs="Arial"/>
        </w:rPr>
        <w:t>for employees, customers and the environment.</w:t>
      </w:r>
      <w:r w:rsidR="00A363C2">
        <w:rPr>
          <w:rFonts w:eastAsia="Calibri" w:cs="Arial"/>
        </w:rPr>
        <w:t xml:space="preserve"> </w:t>
      </w:r>
      <w:r w:rsidR="00A363C2" w:rsidRPr="00A363C2">
        <w:rPr>
          <w:rFonts w:eastAsia="Calibri" w:cs="Arial"/>
        </w:rPr>
        <w:t xml:space="preserve">Further detail on the Group’s sustainability framework, performance and disclosures is set out in the Sustainability Report section of the </w:t>
      </w:r>
      <w:r w:rsidR="00243D83">
        <w:rPr>
          <w:rFonts w:eastAsia="Calibri" w:cs="Arial"/>
        </w:rPr>
        <w:t>a</w:t>
      </w:r>
      <w:r w:rsidR="00243D83" w:rsidRPr="00A363C2">
        <w:rPr>
          <w:rFonts w:eastAsia="Calibri" w:cs="Arial"/>
        </w:rPr>
        <w:t xml:space="preserve">nnual </w:t>
      </w:r>
      <w:r w:rsidR="00243D83">
        <w:rPr>
          <w:rFonts w:eastAsia="Calibri" w:cs="Arial"/>
        </w:rPr>
        <w:t>r</w:t>
      </w:r>
      <w:r w:rsidR="00243D83" w:rsidRPr="00A363C2">
        <w:rPr>
          <w:rFonts w:eastAsia="Calibri" w:cs="Arial"/>
        </w:rPr>
        <w:t>eport</w:t>
      </w:r>
      <w:r w:rsidR="00A363C2" w:rsidRPr="00A363C2">
        <w:rPr>
          <w:rFonts w:eastAsia="Calibri" w:cs="Arial"/>
        </w:rPr>
        <w:t>.</w:t>
      </w:r>
    </w:p>
    <w:p w14:paraId="09939495" w14:textId="77777777" w:rsidR="00B671D9" w:rsidRDefault="00B671D9" w:rsidP="008858D5">
      <w:pPr>
        <w:spacing w:line="276" w:lineRule="auto"/>
        <w:rPr>
          <w:rFonts w:eastAsia="Calibri" w:cs="Arial"/>
        </w:rPr>
      </w:pPr>
    </w:p>
    <w:p w14:paraId="79363FE2" w14:textId="098E4384" w:rsidR="00F2525A" w:rsidRDefault="00F2525A" w:rsidP="00F2525A">
      <w:pPr>
        <w:spacing w:line="276" w:lineRule="auto"/>
        <w:rPr>
          <w:rFonts w:eastAsia="Calibri" w:cs="Arial"/>
        </w:rPr>
      </w:pPr>
      <w:r w:rsidRPr="00F2525A">
        <w:rPr>
          <w:rFonts w:eastAsia="Calibri" w:cs="Arial"/>
        </w:rPr>
        <w:t xml:space="preserve">A key milestone in the year was the </w:t>
      </w:r>
      <w:r w:rsidR="008524A7">
        <w:rPr>
          <w:rFonts w:eastAsia="Calibri" w:cs="Arial"/>
        </w:rPr>
        <w:t xml:space="preserve">progress made in </w:t>
      </w:r>
      <w:r w:rsidRPr="00F2525A">
        <w:rPr>
          <w:rFonts w:eastAsia="Calibri" w:cs="Arial"/>
        </w:rPr>
        <w:t>climate reporting and target-setting capability. The Group reported Scope 3 emissions for the first time, following a Group</w:t>
      </w:r>
      <w:r w:rsidRPr="00F2525A">
        <w:rPr>
          <w:rFonts w:ascii="Cambria Math" w:eastAsia="Calibri" w:hAnsi="Cambria Math" w:cs="Cambria Math"/>
        </w:rPr>
        <w:t>‑</w:t>
      </w:r>
      <w:r w:rsidRPr="00F2525A">
        <w:rPr>
          <w:rFonts w:eastAsia="Calibri" w:cs="Arial"/>
        </w:rPr>
        <w:t xml:space="preserve">wide </w:t>
      </w:r>
      <w:r w:rsidR="002349FE">
        <w:rPr>
          <w:rFonts w:eastAsia="Calibri" w:cs="Arial"/>
        </w:rPr>
        <w:t xml:space="preserve">project to measure </w:t>
      </w:r>
      <w:r w:rsidR="00DF7C00">
        <w:rPr>
          <w:rFonts w:eastAsia="Calibri" w:cs="Arial"/>
        </w:rPr>
        <w:t>the emissions</w:t>
      </w:r>
      <w:r w:rsidR="00A02032">
        <w:rPr>
          <w:rFonts w:eastAsia="Calibri" w:cs="Arial"/>
        </w:rPr>
        <w:t xml:space="preserve">, supported by external expertise </w:t>
      </w:r>
      <w:r w:rsidR="00DF7C00">
        <w:rPr>
          <w:rFonts w:eastAsia="Calibri" w:cs="Arial"/>
        </w:rPr>
        <w:t xml:space="preserve">to ensure </w:t>
      </w:r>
      <w:r w:rsidRPr="00F2525A">
        <w:rPr>
          <w:rFonts w:eastAsia="Calibri" w:cs="Arial"/>
        </w:rPr>
        <w:t xml:space="preserve">the </w:t>
      </w:r>
      <w:r w:rsidR="004C423A">
        <w:rPr>
          <w:rFonts w:eastAsia="Calibri" w:cs="Arial"/>
        </w:rPr>
        <w:t xml:space="preserve">accuracy, </w:t>
      </w:r>
      <w:r w:rsidRPr="00F2525A">
        <w:rPr>
          <w:rFonts w:eastAsia="Calibri" w:cs="Arial"/>
        </w:rPr>
        <w:t>completeness and quality of our value chain emissions data. This work supported the submission and validation of both near</w:t>
      </w:r>
      <w:r w:rsidRPr="00F2525A">
        <w:rPr>
          <w:rFonts w:ascii="Cambria Math" w:eastAsia="Calibri" w:hAnsi="Cambria Math" w:cs="Cambria Math"/>
        </w:rPr>
        <w:t>‑</w:t>
      </w:r>
      <w:r w:rsidRPr="00F2525A">
        <w:rPr>
          <w:rFonts w:eastAsia="Calibri" w:cs="Arial"/>
        </w:rPr>
        <w:t>term and long</w:t>
      </w:r>
      <w:r w:rsidRPr="00F2525A">
        <w:rPr>
          <w:rFonts w:ascii="Cambria Math" w:eastAsia="Calibri" w:hAnsi="Cambria Math" w:cs="Cambria Math"/>
        </w:rPr>
        <w:t>‑</w:t>
      </w:r>
      <w:r w:rsidRPr="00F2525A">
        <w:rPr>
          <w:rFonts w:eastAsia="Calibri" w:cs="Arial"/>
        </w:rPr>
        <w:t xml:space="preserve">term targets by the Science Based Targets initiative (SBTi), reinforcing </w:t>
      </w:r>
      <w:r w:rsidR="001E7D30">
        <w:rPr>
          <w:rFonts w:eastAsia="Calibri" w:cs="Arial"/>
        </w:rPr>
        <w:t>the Group’s</w:t>
      </w:r>
      <w:r w:rsidRPr="00F2525A">
        <w:rPr>
          <w:rFonts w:eastAsia="Calibri" w:cs="Arial"/>
        </w:rPr>
        <w:t xml:space="preserve"> </w:t>
      </w:r>
      <w:r w:rsidR="00F63288">
        <w:rPr>
          <w:rFonts w:eastAsia="Calibri" w:cs="Arial"/>
        </w:rPr>
        <w:t>ambition</w:t>
      </w:r>
      <w:r w:rsidR="00F63288" w:rsidRPr="00F2525A">
        <w:rPr>
          <w:rFonts w:eastAsia="Calibri" w:cs="Arial"/>
        </w:rPr>
        <w:t xml:space="preserve"> </w:t>
      </w:r>
      <w:r w:rsidRPr="00F2525A">
        <w:rPr>
          <w:rFonts w:eastAsia="Calibri" w:cs="Arial"/>
        </w:rPr>
        <w:t xml:space="preserve">to </w:t>
      </w:r>
      <w:r w:rsidR="007D0A06">
        <w:rPr>
          <w:rFonts w:eastAsia="Calibri" w:cs="Arial"/>
        </w:rPr>
        <w:t>have</w:t>
      </w:r>
      <w:r w:rsidRPr="00F2525A">
        <w:rPr>
          <w:rFonts w:eastAsia="Calibri" w:cs="Arial"/>
        </w:rPr>
        <w:t xml:space="preserve"> a net</w:t>
      </w:r>
      <w:r w:rsidR="00195336">
        <w:rPr>
          <w:rFonts w:eastAsia="Calibri" w:cs="Arial"/>
        </w:rPr>
        <w:t>-</w:t>
      </w:r>
      <w:r w:rsidRPr="00F2525A">
        <w:rPr>
          <w:rFonts w:eastAsia="Calibri" w:cs="Arial"/>
        </w:rPr>
        <w:t>zero value chain by 2050, with interim targets set for 2035. Specifically, the Group has committed to reducing absolute Scope 1 and 2 emissions by 65% and absolute Scope 3 emissions by 37.5% by 2035, against a FY</w:t>
      </w:r>
      <w:r w:rsidR="00552A4C">
        <w:rPr>
          <w:rFonts w:eastAsia="Calibri" w:cs="Arial"/>
        </w:rPr>
        <w:t>20</w:t>
      </w:r>
      <w:r w:rsidRPr="00F2525A">
        <w:rPr>
          <w:rFonts w:eastAsia="Calibri" w:cs="Arial"/>
        </w:rPr>
        <w:t xml:space="preserve">24 base year, and has developed a decarbonisation roadmap to support delivery. </w:t>
      </w:r>
    </w:p>
    <w:p w14:paraId="6609E3DC" w14:textId="77777777" w:rsidR="00F2525A" w:rsidRPr="00F2525A" w:rsidRDefault="00F2525A" w:rsidP="00F2525A">
      <w:pPr>
        <w:spacing w:line="276" w:lineRule="auto"/>
        <w:rPr>
          <w:rFonts w:eastAsia="Calibri" w:cs="Arial"/>
        </w:rPr>
      </w:pPr>
    </w:p>
    <w:p w14:paraId="2ADBAE5C" w14:textId="5867471E" w:rsidR="000C43D4" w:rsidRDefault="00F2525A" w:rsidP="00F2525A">
      <w:pPr>
        <w:spacing w:line="276" w:lineRule="auto"/>
        <w:rPr>
          <w:rFonts w:eastAsia="Calibri" w:cs="Arial"/>
        </w:rPr>
      </w:pPr>
      <w:r w:rsidRPr="00C36CB3">
        <w:rPr>
          <w:rFonts w:eastAsia="Calibri" w:cs="Arial"/>
        </w:rPr>
        <w:t xml:space="preserve">Across People, the Group </w:t>
      </w:r>
      <w:r w:rsidR="00047633">
        <w:rPr>
          <w:rFonts w:eastAsia="Calibri" w:cs="Arial"/>
        </w:rPr>
        <w:t>maintained</w:t>
      </w:r>
      <w:r w:rsidR="00CA76FD">
        <w:rPr>
          <w:rFonts w:eastAsia="Calibri" w:cs="Arial"/>
        </w:rPr>
        <w:t xml:space="preserve"> its</w:t>
      </w:r>
      <w:r w:rsidR="00047633">
        <w:rPr>
          <w:rFonts w:eastAsia="Calibri" w:cs="Arial"/>
        </w:rPr>
        <w:t xml:space="preserve"> </w:t>
      </w:r>
      <w:r w:rsidRPr="00C36CB3">
        <w:rPr>
          <w:rFonts w:eastAsia="Calibri" w:cs="Arial"/>
        </w:rPr>
        <w:t xml:space="preserve">focus on </w:t>
      </w:r>
      <w:r w:rsidR="00CA76FD">
        <w:rPr>
          <w:rFonts w:eastAsia="Calibri" w:cs="Arial"/>
        </w:rPr>
        <w:t xml:space="preserve">building a safe, inclusive and engaged workforce as a foundation for </w:t>
      </w:r>
      <w:r w:rsidRPr="00C36CB3">
        <w:rPr>
          <w:rFonts w:eastAsia="Calibri" w:cs="Arial"/>
        </w:rPr>
        <w:t>operational performance.</w:t>
      </w:r>
      <w:r w:rsidR="00E34DF0">
        <w:rPr>
          <w:rFonts w:eastAsia="Calibri" w:cs="Arial"/>
        </w:rPr>
        <w:t xml:space="preserve"> </w:t>
      </w:r>
      <w:r w:rsidR="00E34DF0" w:rsidRPr="00E34DF0">
        <w:rPr>
          <w:rFonts w:eastAsia="Calibri" w:cs="Arial"/>
        </w:rPr>
        <w:t xml:space="preserve">The latest cycle of the Group-wide engagement survey </w:t>
      </w:r>
      <w:r w:rsidR="001C3B3C">
        <w:rPr>
          <w:rFonts w:eastAsia="Calibri" w:cs="Arial"/>
        </w:rPr>
        <w:t>has recently</w:t>
      </w:r>
      <w:r w:rsidR="00E34DF0" w:rsidRPr="00E34DF0">
        <w:rPr>
          <w:rFonts w:eastAsia="Calibri" w:cs="Arial"/>
        </w:rPr>
        <w:t xml:space="preserve"> launched, continuing </w:t>
      </w:r>
      <w:r w:rsidR="00003317">
        <w:rPr>
          <w:rFonts w:eastAsia="Calibri" w:cs="Arial"/>
        </w:rPr>
        <w:t>the</w:t>
      </w:r>
      <w:r w:rsidR="00E34DF0" w:rsidRPr="00E34DF0">
        <w:rPr>
          <w:rFonts w:eastAsia="Calibri" w:cs="Arial"/>
        </w:rPr>
        <w:t xml:space="preserve"> commitment to listening to colleagues across the organisation and translating feedback into practical improvements that support a positive workplace.</w:t>
      </w:r>
      <w:r w:rsidR="00152772">
        <w:rPr>
          <w:rFonts w:eastAsia="Calibri" w:cs="Arial"/>
        </w:rPr>
        <w:t xml:space="preserve"> T</w:t>
      </w:r>
      <w:r w:rsidR="00152772" w:rsidRPr="00152772">
        <w:rPr>
          <w:rFonts w:eastAsia="Calibri" w:cs="Arial"/>
        </w:rPr>
        <w:t>he Group also continues to promote employee wellbeing through a range of initiatives, including participation in Mental Health Awareness Week and broader programmes to support colleague wellbeing.</w:t>
      </w:r>
      <w:r w:rsidR="000C43D4">
        <w:rPr>
          <w:rFonts w:eastAsia="Calibri" w:cs="Arial"/>
        </w:rPr>
        <w:t xml:space="preserve"> </w:t>
      </w:r>
      <w:r w:rsidR="006339A6">
        <w:rPr>
          <w:rFonts w:eastAsia="Calibri" w:cs="Arial"/>
        </w:rPr>
        <w:t>Health and</w:t>
      </w:r>
      <w:r w:rsidR="000C43D4" w:rsidRPr="000C43D4" w:rsidDel="006339A6">
        <w:rPr>
          <w:rFonts w:eastAsia="Calibri" w:cs="Arial"/>
        </w:rPr>
        <w:t xml:space="preserve"> </w:t>
      </w:r>
      <w:r w:rsidR="006339A6">
        <w:rPr>
          <w:rFonts w:eastAsia="Calibri" w:cs="Arial"/>
        </w:rPr>
        <w:t>s</w:t>
      </w:r>
      <w:r w:rsidR="006339A6" w:rsidRPr="000C43D4">
        <w:rPr>
          <w:rFonts w:eastAsia="Calibri" w:cs="Arial"/>
        </w:rPr>
        <w:t>afety</w:t>
      </w:r>
      <w:r w:rsidR="000C43D4" w:rsidRPr="000C43D4">
        <w:rPr>
          <w:rFonts w:eastAsia="Calibri" w:cs="Arial"/>
        </w:rPr>
        <w:t xml:space="preserve"> remains a clear Board priority and the reduction in </w:t>
      </w:r>
      <w:r w:rsidR="000C43D4" w:rsidRPr="000C43D4">
        <w:rPr>
          <w:rFonts w:eastAsia="Calibri" w:cs="Arial"/>
        </w:rPr>
        <w:lastRenderedPageBreak/>
        <w:t xml:space="preserve">accidents during the year is encouraging, reflecting </w:t>
      </w:r>
      <w:r w:rsidR="00AF37B3">
        <w:rPr>
          <w:rFonts w:eastAsia="Calibri" w:cs="Arial"/>
        </w:rPr>
        <w:t>sustained</w:t>
      </w:r>
      <w:r w:rsidR="000C43D4" w:rsidRPr="000C43D4">
        <w:rPr>
          <w:rFonts w:eastAsia="Calibri" w:cs="Arial"/>
        </w:rPr>
        <w:t xml:space="preserve"> discipline around safe </w:t>
      </w:r>
      <w:r w:rsidR="004E6BCD">
        <w:rPr>
          <w:rFonts w:eastAsia="Calibri" w:cs="Arial"/>
        </w:rPr>
        <w:t>and</w:t>
      </w:r>
      <w:r w:rsidR="000C43D4" w:rsidRPr="000C43D4">
        <w:rPr>
          <w:rFonts w:eastAsia="Calibri" w:cs="Arial"/>
        </w:rPr>
        <w:t xml:space="preserve"> </w:t>
      </w:r>
      <w:r w:rsidR="00B5584B">
        <w:rPr>
          <w:rFonts w:eastAsia="Calibri" w:cs="Arial"/>
        </w:rPr>
        <w:t xml:space="preserve">consistent standards, training and safe </w:t>
      </w:r>
      <w:r w:rsidR="000C43D4" w:rsidRPr="000C43D4">
        <w:rPr>
          <w:rFonts w:eastAsia="Calibri" w:cs="Arial"/>
        </w:rPr>
        <w:t>systems of work across operations.</w:t>
      </w:r>
    </w:p>
    <w:p w14:paraId="0F4ED4CD" w14:textId="77777777" w:rsidR="000E3106" w:rsidRPr="00B8452B" w:rsidRDefault="000E3106" w:rsidP="008858D5">
      <w:pPr>
        <w:spacing w:line="276" w:lineRule="auto"/>
        <w:rPr>
          <w:rFonts w:eastAsia="Calibri" w:cs="Arial"/>
        </w:rPr>
      </w:pPr>
    </w:p>
    <w:p w14:paraId="4617F764" w14:textId="5BF7EFCB" w:rsidR="007310F6" w:rsidRDefault="00AC3932" w:rsidP="00AC3932">
      <w:pPr>
        <w:spacing w:line="276" w:lineRule="auto"/>
        <w:rPr>
          <w:rFonts w:eastAsia="Calibri" w:cs="Arial"/>
          <w:szCs w:val="16"/>
        </w:rPr>
      </w:pPr>
      <w:r w:rsidRPr="00AC3932">
        <w:rPr>
          <w:rFonts w:eastAsia="Calibri" w:cs="Arial"/>
          <w:szCs w:val="16"/>
        </w:rPr>
        <w:t xml:space="preserve">Across Product, the Group continued to </w:t>
      </w:r>
      <w:r w:rsidR="00DB33DF">
        <w:rPr>
          <w:rFonts w:eastAsia="Calibri" w:cs="Arial"/>
          <w:szCs w:val="16"/>
        </w:rPr>
        <w:t xml:space="preserve">reduce </w:t>
      </w:r>
      <w:r w:rsidRPr="00AC3932">
        <w:rPr>
          <w:rFonts w:eastAsia="Calibri" w:cs="Arial"/>
          <w:szCs w:val="16"/>
        </w:rPr>
        <w:t xml:space="preserve">environmental impact while delivering commercially attractive solutions for customers. Innovation remains central to this approach, most notably through the continued expansion of Smartwrap™, the Group’s </w:t>
      </w:r>
      <w:r w:rsidR="00D75788">
        <w:rPr>
          <w:rFonts w:eastAsia="Calibri" w:cs="Arial"/>
          <w:szCs w:val="16"/>
        </w:rPr>
        <w:t xml:space="preserve">plastic-free </w:t>
      </w:r>
      <w:r w:rsidRPr="00AC3932">
        <w:rPr>
          <w:rFonts w:eastAsia="Calibri" w:cs="Arial"/>
          <w:szCs w:val="16"/>
        </w:rPr>
        <w:t>giftwrap solution. Smartwrap™ delivered sales of £</w:t>
      </w:r>
      <w:r w:rsidR="004C5784">
        <w:rPr>
          <w:rFonts w:eastAsia="Calibri" w:cs="Arial"/>
          <w:szCs w:val="16"/>
        </w:rPr>
        <w:t xml:space="preserve">63.2 </w:t>
      </w:r>
      <w:r w:rsidRPr="00AC3932">
        <w:rPr>
          <w:rFonts w:eastAsia="Calibri" w:cs="Arial"/>
          <w:szCs w:val="16"/>
        </w:rPr>
        <w:t>m</w:t>
      </w:r>
      <w:r w:rsidR="004C5784">
        <w:rPr>
          <w:rFonts w:eastAsia="Calibri" w:cs="Arial"/>
          <w:szCs w:val="16"/>
        </w:rPr>
        <w:t>illion</w:t>
      </w:r>
      <w:r w:rsidRPr="00AC3932">
        <w:rPr>
          <w:rFonts w:eastAsia="Calibri" w:cs="Arial"/>
          <w:szCs w:val="16"/>
        </w:rPr>
        <w:t xml:space="preserve"> during the year, representing </w:t>
      </w:r>
      <w:r w:rsidR="00DD3B71">
        <w:rPr>
          <w:rFonts w:eastAsia="Calibri" w:cs="Arial"/>
          <w:szCs w:val="16"/>
        </w:rPr>
        <w:t xml:space="preserve">69% of the Group’s giftwrap portfolio and </w:t>
      </w:r>
      <w:r w:rsidRPr="00AC3932">
        <w:rPr>
          <w:rFonts w:eastAsia="Calibri" w:cs="Arial"/>
          <w:szCs w:val="16"/>
        </w:rPr>
        <w:t>year</w:t>
      </w:r>
      <w:r w:rsidRPr="00AC3932">
        <w:rPr>
          <w:rFonts w:ascii="Cambria Math" w:eastAsia="Calibri" w:hAnsi="Cambria Math" w:cs="Cambria Math"/>
          <w:szCs w:val="16"/>
        </w:rPr>
        <w:t>‑</w:t>
      </w:r>
      <w:r w:rsidRPr="00AC3932">
        <w:rPr>
          <w:rFonts w:eastAsia="Calibri" w:cs="Arial"/>
          <w:szCs w:val="16"/>
        </w:rPr>
        <w:t>on</w:t>
      </w:r>
      <w:r w:rsidRPr="00AC3932">
        <w:rPr>
          <w:rFonts w:ascii="Cambria Math" w:eastAsia="Calibri" w:hAnsi="Cambria Math" w:cs="Cambria Math"/>
          <w:szCs w:val="16"/>
        </w:rPr>
        <w:t>‑</w:t>
      </w:r>
      <w:r w:rsidRPr="00AC3932">
        <w:rPr>
          <w:rFonts w:eastAsia="Calibri" w:cs="Arial"/>
          <w:szCs w:val="16"/>
        </w:rPr>
        <w:t xml:space="preserve">year growth of </w:t>
      </w:r>
      <w:r w:rsidR="00695C3E">
        <w:rPr>
          <w:rFonts w:eastAsia="Calibri" w:cs="Arial"/>
          <w:szCs w:val="16"/>
        </w:rPr>
        <w:t>68</w:t>
      </w:r>
      <w:r w:rsidRPr="00AC3932">
        <w:rPr>
          <w:rFonts w:eastAsia="Calibri" w:cs="Arial"/>
          <w:szCs w:val="16"/>
        </w:rPr>
        <w:t xml:space="preserve">%, reflecting </w:t>
      </w:r>
      <w:r w:rsidR="0071256F">
        <w:rPr>
          <w:rFonts w:eastAsia="Calibri" w:cs="Arial"/>
          <w:szCs w:val="16"/>
        </w:rPr>
        <w:t>the strength of Smartwrap</w:t>
      </w:r>
      <w:r w:rsidR="0071256F" w:rsidRPr="0071256F">
        <w:rPr>
          <w:rFonts w:eastAsia="Calibri" w:cs="Arial"/>
          <w:szCs w:val="16"/>
          <w:vertAlign w:val="superscript"/>
        </w:rPr>
        <w:t>TM</w:t>
      </w:r>
      <w:r w:rsidR="0071256F">
        <w:rPr>
          <w:rFonts w:eastAsia="Calibri" w:cs="Arial"/>
          <w:szCs w:val="16"/>
        </w:rPr>
        <w:t xml:space="preserve"> </w:t>
      </w:r>
      <w:r w:rsidR="00E81453">
        <w:rPr>
          <w:rFonts w:eastAsia="Calibri" w:cs="Arial"/>
          <w:szCs w:val="16"/>
        </w:rPr>
        <w:t xml:space="preserve">within the market, </w:t>
      </w:r>
      <w:r w:rsidRPr="00AC3932">
        <w:rPr>
          <w:rFonts w:eastAsia="Calibri" w:cs="Arial"/>
          <w:szCs w:val="16"/>
        </w:rPr>
        <w:t>strong customer adoption and the increasing appeal of sustainable alternatives. In FY</w:t>
      </w:r>
      <w:r w:rsidR="008B3F14">
        <w:rPr>
          <w:rFonts w:eastAsia="Calibri" w:cs="Arial"/>
          <w:szCs w:val="16"/>
        </w:rPr>
        <w:t>20</w:t>
      </w:r>
      <w:r w:rsidRPr="00AC3932">
        <w:rPr>
          <w:rFonts w:eastAsia="Calibri" w:cs="Arial"/>
          <w:szCs w:val="16"/>
        </w:rPr>
        <w:t xml:space="preserve">26, Smartwrap™ sales eliminated </w:t>
      </w:r>
      <w:r w:rsidR="00BA5142">
        <w:rPr>
          <w:rFonts w:eastAsia="Calibri" w:cs="Arial"/>
          <w:szCs w:val="16"/>
        </w:rPr>
        <w:t>141</w:t>
      </w:r>
      <w:r w:rsidRPr="00AC3932">
        <w:rPr>
          <w:rFonts w:eastAsia="Calibri" w:cs="Arial"/>
          <w:szCs w:val="16"/>
        </w:rPr>
        <w:t xml:space="preserve"> tonnes of plastic, demonstrating how product innovation can deliver both environmental benefit and commercial value.</w:t>
      </w:r>
    </w:p>
    <w:p w14:paraId="406F24A4" w14:textId="77777777" w:rsidR="00B54BE7" w:rsidRPr="00AC3932" w:rsidRDefault="00B54BE7" w:rsidP="00AC3932">
      <w:pPr>
        <w:spacing w:line="276" w:lineRule="auto"/>
        <w:rPr>
          <w:rFonts w:eastAsia="Calibri" w:cs="Arial"/>
          <w:szCs w:val="16"/>
        </w:rPr>
      </w:pPr>
    </w:p>
    <w:p w14:paraId="3F9FD1AE" w14:textId="62EAB4CD" w:rsidR="008858D5" w:rsidRPr="00884EB8" w:rsidRDefault="00925B84" w:rsidP="00AC3932">
      <w:pPr>
        <w:spacing w:line="276" w:lineRule="auto"/>
        <w:rPr>
          <w:rFonts w:eastAsia="Calibri" w:cs="Arial"/>
          <w:szCs w:val="16"/>
        </w:rPr>
      </w:pPr>
      <w:r>
        <w:rPr>
          <w:rFonts w:eastAsia="Calibri" w:cs="Arial"/>
          <w:szCs w:val="16"/>
        </w:rPr>
        <w:t>Across</w:t>
      </w:r>
      <w:r w:rsidR="00427BA4">
        <w:rPr>
          <w:rFonts w:eastAsia="Calibri" w:cs="Arial"/>
          <w:szCs w:val="16"/>
        </w:rPr>
        <w:t xml:space="preserve"> Planet, o</w:t>
      </w:r>
      <w:r w:rsidR="00AC3932" w:rsidRPr="00AC3932">
        <w:rPr>
          <w:rFonts w:eastAsia="Calibri" w:cs="Arial"/>
          <w:szCs w:val="16"/>
        </w:rPr>
        <w:t xml:space="preserve">perationally absolute Scope 1 and 2 emissions </w:t>
      </w:r>
      <w:r w:rsidR="001E325E">
        <w:rPr>
          <w:rFonts w:eastAsia="Calibri" w:cs="Arial"/>
          <w:szCs w:val="16"/>
        </w:rPr>
        <w:t>reduced</w:t>
      </w:r>
      <w:r w:rsidR="00AC3932" w:rsidRPr="00AC3932">
        <w:rPr>
          <w:rFonts w:eastAsia="Calibri" w:cs="Arial"/>
          <w:szCs w:val="16"/>
        </w:rPr>
        <w:t>, with emissions intensity improving year</w:t>
      </w:r>
      <w:r w:rsidR="00AC3932" w:rsidRPr="00AC3932">
        <w:rPr>
          <w:rFonts w:ascii="Cambria Math" w:eastAsia="Calibri" w:hAnsi="Cambria Math" w:cs="Cambria Math"/>
          <w:szCs w:val="16"/>
        </w:rPr>
        <w:t>‑</w:t>
      </w:r>
      <w:r w:rsidR="00AC3932" w:rsidRPr="00AC3932">
        <w:rPr>
          <w:rFonts w:eastAsia="Calibri" w:cs="Arial"/>
          <w:szCs w:val="16"/>
        </w:rPr>
        <w:t>on</w:t>
      </w:r>
      <w:r w:rsidR="00AC3932" w:rsidRPr="00AC3932">
        <w:rPr>
          <w:rFonts w:ascii="Cambria Math" w:eastAsia="Calibri" w:hAnsi="Cambria Math" w:cs="Cambria Math"/>
          <w:szCs w:val="16"/>
        </w:rPr>
        <w:t>‑</w:t>
      </w:r>
      <w:r w:rsidR="00AC3932" w:rsidRPr="00AC3932">
        <w:rPr>
          <w:rFonts w:eastAsia="Calibri" w:cs="Arial"/>
          <w:szCs w:val="16"/>
        </w:rPr>
        <w:t xml:space="preserve">year, supported by efficiency initiatives and changes in the manufacturing footprint. </w:t>
      </w:r>
      <w:r w:rsidR="00C75AA9">
        <w:rPr>
          <w:rFonts w:eastAsia="Calibri" w:cs="Arial"/>
          <w:szCs w:val="16"/>
        </w:rPr>
        <w:t>T</w:t>
      </w:r>
      <w:r w:rsidR="00AC3932" w:rsidRPr="00AC3932">
        <w:rPr>
          <w:rFonts w:eastAsia="Calibri" w:cs="Arial"/>
          <w:szCs w:val="16"/>
        </w:rPr>
        <w:t>hese initiatives</w:t>
      </w:r>
      <w:r w:rsidR="00B54BE7">
        <w:rPr>
          <w:rFonts w:eastAsia="Calibri" w:cs="Arial"/>
          <w:szCs w:val="16"/>
        </w:rPr>
        <w:t>, along</w:t>
      </w:r>
      <w:r w:rsidR="003F7D6F">
        <w:rPr>
          <w:rFonts w:eastAsia="Calibri" w:cs="Arial"/>
          <w:szCs w:val="16"/>
        </w:rPr>
        <w:t xml:space="preserve">side </w:t>
      </w:r>
      <w:r w:rsidR="00B54BE7">
        <w:rPr>
          <w:rFonts w:eastAsia="Calibri" w:cs="Arial"/>
          <w:szCs w:val="16"/>
        </w:rPr>
        <w:t xml:space="preserve">the </w:t>
      </w:r>
      <w:r w:rsidR="003F7D6F">
        <w:rPr>
          <w:rFonts w:eastAsia="Calibri" w:cs="Arial"/>
          <w:szCs w:val="16"/>
        </w:rPr>
        <w:t xml:space="preserve">progress made in </w:t>
      </w:r>
      <w:r w:rsidR="00552A4C">
        <w:rPr>
          <w:rFonts w:eastAsia="Calibri" w:cs="Arial"/>
          <w:szCs w:val="16"/>
        </w:rPr>
        <w:t>S</w:t>
      </w:r>
      <w:r w:rsidR="00B54BE7">
        <w:rPr>
          <w:rFonts w:eastAsia="Calibri" w:cs="Arial"/>
          <w:szCs w:val="16"/>
        </w:rPr>
        <w:t xml:space="preserve">cope 3 </w:t>
      </w:r>
      <w:r w:rsidR="006B0AC8">
        <w:rPr>
          <w:rFonts w:eastAsia="Calibri" w:cs="Arial"/>
          <w:szCs w:val="16"/>
        </w:rPr>
        <w:t xml:space="preserve">emissions </w:t>
      </w:r>
      <w:r w:rsidR="003F7D6F">
        <w:rPr>
          <w:rFonts w:eastAsia="Calibri" w:cs="Arial"/>
          <w:szCs w:val="16"/>
        </w:rPr>
        <w:t>reporting</w:t>
      </w:r>
      <w:r w:rsidR="00B54BE7">
        <w:rPr>
          <w:rFonts w:eastAsia="Calibri" w:cs="Arial"/>
          <w:szCs w:val="16"/>
        </w:rPr>
        <w:t>,</w:t>
      </w:r>
      <w:r w:rsidR="00AC3932" w:rsidRPr="00AC3932">
        <w:rPr>
          <w:rFonts w:eastAsia="Calibri" w:cs="Arial"/>
          <w:szCs w:val="16"/>
        </w:rPr>
        <w:t xml:space="preserve"> underline the Group’s </w:t>
      </w:r>
      <w:r w:rsidR="006B0AC8">
        <w:rPr>
          <w:rFonts w:eastAsia="Calibri" w:cs="Arial"/>
          <w:szCs w:val="16"/>
        </w:rPr>
        <w:t xml:space="preserve">continued focus on </w:t>
      </w:r>
      <w:r w:rsidR="00AC3932" w:rsidRPr="00AC3932">
        <w:rPr>
          <w:rFonts w:eastAsia="Calibri" w:cs="Arial"/>
          <w:szCs w:val="16"/>
        </w:rPr>
        <w:t xml:space="preserve">sustainability </w:t>
      </w:r>
      <w:r w:rsidR="006B0AC8">
        <w:rPr>
          <w:rFonts w:eastAsia="Calibri" w:cs="Arial"/>
          <w:szCs w:val="16"/>
        </w:rPr>
        <w:t xml:space="preserve">within </w:t>
      </w:r>
      <w:r w:rsidR="00AC3932" w:rsidRPr="00AC3932">
        <w:rPr>
          <w:rFonts w:eastAsia="Calibri" w:cs="Arial"/>
          <w:szCs w:val="16"/>
        </w:rPr>
        <w:t>product development and operational decision</w:t>
      </w:r>
      <w:r w:rsidR="00AC3932" w:rsidRPr="00AC3932">
        <w:rPr>
          <w:rFonts w:ascii="Cambria Math" w:eastAsia="Calibri" w:hAnsi="Cambria Math" w:cs="Cambria Math"/>
          <w:szCs w:val="16"/>
        </w:rPr>
        <w:t>‑</w:t>
      </w:r>
      <w:r w:rsidR="00AC3932" w:rsidRPr="00AC3932">
        <w:rPr>
          <w:rFonts w:eastAsia="Calibri" w:cs="Arial"/>
          <w:szCs w:val="16"/>
        </w:rPr>
        <w:t>making, supporting long</w:t>
      </w:r>
      <w:r w:rsidR="00AC3932" w:rsidRPr="00AC3932">
        <w:rPr>
          <w:rFonts w:ascii="Cambria Math" w:eastAsia="Calibri" w:hAnsi="Cambria Math" w:cs="Cambria Math"/>
          <w:szCs w:val="16"/>
        </w:rPr>
        <w:t>‑</w:t>
      </w:r>
      <w:r w:rsidR="00AC3932" w:rsidRPr="00AC3932">
        <w:rPr>
          <w:rFonts w:eastAsia="Calibri" w:cs="Arial"/>
          <w:szCs w:val="16"/>
        </w:rPr>
        <w:t>term resilience and competitiveness.</w:t>
      </w:r>
    </w:p>
    <w:p w14:paraId="1ECA462D" w14:textId="77777777" w:rsidR="008858D5" w:rsidRPr="00B8452B" w:rsidRDefault="008858D5" w:rsidP="008858D5">
      <w:pPr>
        <w:spacing w:line="276" w:lineRule="auto"/>
        <w:rPr>
          <w:rFonts w:eastAsia="Calibri" w:cs="Arial"/>
          <w:szCs w:val="16"/>
        </w:rPr>
      </w:pPr>
    </w:p>
    <w:p w14:paraId="31EB61E1" w14:textId="77777777" w:rsidR="008858D5" w:rsidRPr="00CA325D" w:rsidRDefault="008858D5" w:rsidP="00327FAA">
      <w:pPr>
        <w:pStyle w:val="Heading2"/>
        <w:rPr>
          <w:rFonts w:eastAsia="MS Mincho" w:cs="Arial"/>
          <w:szCs w:val="16"/>
        </w:rPr>
      </w:pPr>
      <w:r w:rsidRPr="00327FAA">
        <w:rPr>
          <w:sz w:val="16"/>
          <w:szCs w:val="16"/>
        </w:rPr>
        <w:t>Detailed financial review</w:t>
      </w:r>
    </w:p>
    <w:p w14:paraId="394834BC" w14:textId="59554DDB" w:rsidR="008858D5" w:rsidRPr="00B8452B" w:rsidRDefault="0064613A" w:rsidP="008858D5">
      <w:pPr>
        <w:rPr>
          <w:rFonts w:eastAsia="MS Mincho" w:cs="Arial"/>
          <w:szCs w:val="16"/>
        </w:rPr>
      </w:pPr>
      <w:r w:rsidRPr="0064613A">
        <w:rPr>
          <w:rFonts w:eastAsia="MS Mincho" w:cs="Arial"/>
          <w:szCs w:val="16"/>
        </w:rPr>
        <w:t>The Group’s financial results for continuing operations for the year are summarised below. The prior year has been re</w:t>
      </w:r>
      <w:r w:rsidR="00124B73">
        <w:rPr>
          <w:rFonts w:eastAsia="MS Mincho" w:cs="Arial"/>
          <w:szCs w:val="16"/>
        </w:rPr>
        <w:t>-</w:t>
      </w:r>
      <w:r w:rsidRPr="0064613A">
        <w:rPr>
          <w:rFonts w:eastAsia="MS Mincho" w:cs="Arial"/>
          <w:szCs w:val="16"/>
        </w:rPr>
        <w:t>presented on a like-for-like basis for the continuing Group</w:t>
      </w:r>
      <w:r w:rsidR="00AE0861">
        <w:rPr>
          <w:rFonts w:eastAsia="MS Mincho" w:cs="Arial"/>
          <w:szCs w:val="16"/>
        </w:rPr>
        <w:t xml:space="preserve"> and restated for the change in reporting currency to GBP</w:t>
      </w:r>
      <w:r w:rsidRPr="0064613A">
        <w:rPr>
          <w:rFonts w:eastAsia="MS Mincho" w:cs="Arial"/>
          <w:szCs w:val="16"/>
        </w:rPr>
        <w:t>.</w:t>
      </w:r>
    </w:p>
    <w:tbl>
      <w:tblPr>
        <w:tblW w:w="9817" w:type="dxa"/>
        <w:tblLayout w:type="fixed"/>
        <w:tblLook w:val="04A0" w:firstRow="1" w:lastRow="0" w:firstColumn="1" w:lastColumn="0" w:noHBand="0" w:noVBand="1"/>
      </w:tblPr>
      <w:tblGrid>
        <w:gridCol w:w="2822"/>
        <w:gridCol w:w="261"/>
        <w:gridCol w:w="743"/>
        <w:gridCol w:w="287"/>
        <w:gridCol w:w="632"/>
        <w:gridCol w:w="960"/>
        <w:gridCol w:w="901"/>
        <w:gridCol w:w="236"/>
        <w:gridCol w:w="407"/>
        <w:gridCol w:w="584"/>
        <w:gridCol w:w="992"/>
        <w:gridCol w:w="992"/>
      </w:tblGrid>
      <w:tr w:rsidR="00AE3CC0" w:rsidRPr="001A0FEC" w14:paraId="1F5FD286" w14:textId="77777777">
        <w:trPr>
          <w:trHeight w:hRule="exact" w:val="20"/>
        </w:trPr>
        <w:tc>
          <w:tcPr>
            <w:tcW w:w="2822" w:type="dxa"/>
            <w:tcBorders>
              <w:top w:val="nil"/>
              <w:left w:val="nil"/>
              <w:bottom w:val="nil"/>
              <w:right w:val="nil"/>
            </w:tcBorders>
            <w:noWrap/>
            <w:vAlign w:val="bottom"/>
            <w:hideMark/>
          </w:tcPr>
          <w:p w14:paraId="442909CC" w14:textId="77777777" w:rsidR="00AE3CC0" w:rsidRDefault="00AE3CC0">
            <w:pPr>
              <w:rPr>
                <w:sz w:val="2"/>
              </w:rPr>
            </w:pPr>
            <w:bookmarkStart w:id="11" w:name="_b4ace5b2_11c3_415a_8297_004286b29ef5"/>
            <w:bookmarkStart w:id="12" w:name="_9841c717_34c2_4dff_806f_1b9783b3e767"/>
            <w:bookmarkStart w:id="13" w:name="_cc8a43eb_1644_47e3_8bb6_320eeaaf7273"/>
            <w:bookmarkEnd w:id="11"/>
            <w:bookmarkEnd w:id="12"/>
          </w:p>
        </w:tc>
        <w:tc>
          <w:tcPr>
            <w:tcW w:w="261" w:type="dxa"/>
            <w:tcBorders>
              <w:top w:val="nil"/>
              <w:left w:val="nil"/>
              <w:bottom w:val="nil"/>
              <w:right w:val="nil"/>
            </w:tcBorders>
            <w:noWrap/>
            <w:vAlign w:val="bottom"/>
            <w:hideMark/>
          </w:tcPr>
          <w:p w14:paraId="7569AB67" w14:textId="77777777" w:rsidR="00AE3CC0" w:rsidRDefault="00AE3CC0">
            <w:pPr>
              <w:rPr>
                <w:sz w:val="2"/>
              </w:rPr>
            </w:pPr>
          </w:p>
        </w:tc>
        <w:tc>
          <w:tcPr>
            <w:tcW w:w="743" w:type="dxa"/>
            <w:tcBorders>
              <w:top w:val="nil"/>
              <w:left w:val="nil"/>
              <w:bottom w:val="nil"/>
              <w:right w:val="nil"/>
            </w:tcBorders>
            <w:noWrap/>
            <w:vAlign w:val="bottom"/>
            <w:hideMark/>
          </w:tcPr>
          <w:p w14:paraId="71E17584" w14:textId="77777777" w:rsidR="00AE3CC0" w:rsidRDefault="00AE3CC0">
            <w:pPr>
              <w:rPr>
                <w:sz w:val="2"/>
              </w:rPr>
            </w:pPr>
          </w:p>
        </w:tc>
        <w:tc>
          <w:tcPr>
            <w:tcW w:w="919" w:type="dxa"/>
            <w:gridSpan w:val="2"/>
            <w:tcBorders>
              <w:top w:val="nil"/>
              <w:left w:val="nil"/>
              <w:bottom w:val="nil"/>
              <w:right w:val="nil"/>
            </w:tcBorders>
            <w:vAlign w:val="center"/>
            <w:hideMark/>
          </w:tcPr>
          <w:p w14:paraId="716646C1" w14:textId="77777777" w:rsidR="00AE3CC0" w:rsidRDefault="00AE3CC0">
            <w:pPr>
              <w:rPr>
                <w:sz w:val="2"/>
              </w:rPr>
            </w:pPr>
          </w:p>
        </w:tc>
        <w:tc>
          <w:tcPr>
            <w:tcW w:w="960" w:type="dxa"/>
            <w:tcBorders>
              <w:top w:val="nil"/>
              <w:left w:val="nil"/>
              <w:bottom w:val="nil"/>
              <w:right w:val="nil"/>
            </w:tcBorders>
            <w:vAlign w:val="center"/>
            <w:hideMark/>
          </w:tcPr>
          <w:p w14:paraId="7BB5596A" w14:textId="77777777" w:rsidR="00AE3CC0" w:rsidRDefault="00AE3CC0">
            <w:pPr>
              <w:rPr>
                <w:sz w:val="2"/>
              </w:rPr>
            </w:pPr>
          </w:p>
        </w:tc>
        <w:tc>
          <w:tcPr>
            <w:tcW w:w="901" w:type="dxa"/>
            <w:tcBorders>
              <w:top w:val="nil"/>
              <w:left w:val="nil"/>
              <w:bottom w:val="nil"/>
              <w:right w:val="nil"/>
            </w:tcBorders>
            <w:vAlign w:val="center"/>
            <w:hideMark/>
          </w:tcPr>
          <w:p w14:paraId="773428B9" w14:textId="77777777" w:rsidR="00AE3CC0" w:rsidRDefault="00AE3CC0">
            <w:pPr>
              <w:rPr>
                <w:sz w:val="2"/>
              </w:rPr>
            </w:pPr>
          </w:p>
        </w:tc>
        <w:tc>
          <w:tcPr>
            <w:tcW w:w="236" w:type="dxa"/>
            <w:tcBorders>
              <w:top w:val="nil"/>
              <w:left w:val="nil"/>
              <w:bottom w:val="nil"/>
              <w:right w:val="nil"/>
            </w:tcBorders>
            <w:vAlign w:val="bottom"/>
            <w:hideMark/>
          </w:tcPr>
          <w:p w14:paraId="270B2CBB" w14:textId="77777777" w:rsidR="00AE3CC0" w:rsidRDefault="00AE3CC0">
            <w:pPr>
              <w:rPr>
                <w:sz w:val="2"/>
              </w:rPr>
            </w:pPr>
          </w:p>
        </w:tc>
        <w:tc>
          <w:tcPr>
            <w:tcW w:w="991" w:type="dxa"/>
            <w:gridSpan w:val="2"/>
            <w:tcBorders>
              <w:top w:val="nil"/>
              <w:left w:val="nil"/>
              <w:bottom w:val="nil"/>
              <w:right w:val="nil"/>
            </w:tcBorders>
            <w:vAlign w:val="center"/>
            <w:hideMark/>
          </w:tcPr>
          <w:p w14:paraId="72BFCE95" w14:textId="77777777" w:rsidR="00AE3CC0" w:rsidRDefault="00AE3CC0">
            <w:pPr>
              <w:rPr>
                <w:sz w:val="2"/>
              </w:rPr>
            </w:pPr>
          </w:p>
        </w:tc>
        <w:tc>
          <w:tcPr>
            <w:tcW w:w="992" w:type="dxa"/>
            <w:tcBorders>
              <w:top w:val="nil"/>
              <w:left w:val="nil"/>
              <w:bottom w:val="nil"/>
              <w:right w:val="nil"/>
            </w:tcBorders>
            <w:vAlign w:val="center"/>
            <w:hideMark/>
          </w:tcPr>
          <w:p w14:paraId="4365235D" w14:textId="77777777" w:rsidR="00AE3CC0" w:rsidRDefault="00AE3CC0">
            <w:pPr>
              <w:rPr>
                <w:sz w:val="2"/>
              </w:rPr>
            </w:pPr>
          </w:p>
        </w:tc>
        <w:tc>
          <w:tcPr>
            <w:tcW w:w="992" w:type="dxa"/>
            <w:tcBorders>
              <w:top w:val="nil"/>
              <w:left w:val="nil"/>
              <w:bottom w:val="nil"/>
              <w:right w:val="nil"/>
            </w:tcBorders>
            <w:vAlign w:val="center"/>
            <w:hideMark/>
          </w:tcPr>
          <w:p w14:paraId="1A0A7CBB" w14:textId="77777777" w:rsidR="00AE3CC0" w:rsidRDefault="00AE3CC0">
            <w:pPr>
              <w:rPr>
                <w:sz w:val="2"/>
              </w:rPr>
            </w:pPr>
          </w:p>
        </w:tc>
      </w:tr>
      <w:tr w:rsidR="00AE3CC0" w:rsidRPr="001A0FEC" w14:paraId="3F6CFCFE" w14:textId="77777777">
        <w:trPr>
          <w:trHeight w:val="20"/>
        </w:trPr>
        <w:tc>
          <w:tcPr>
            <w:tcW w:w="2822" w:type="dxa"/>
            <w:tcBorders>
              <w:top w:val="nil"/>
              <w:left w:val="nil"/>
              <w:bottom w:val="nil"/>
              <w:right w:val="nil"/>
            </w:tcBorders>
            <w:noWrap/>
            <w:vAlign w:val="bottom"/>
            <w:hideMark/>
          </w:tcPr>
          <w:p w14:paraId="3A1C282F" w14:textId="77777777" w:rsidR="00AE3CC0" w:rsidRPr="00B8452B" w:rsidRDefault="00AE3CC0">
            <w:pPr>
              <w:rPr>
                <w:rFonts w:eastAsia="MS Mincho" w:cs="Arial"/>
                <w:szCs w:val="16"/>
              </w:rPr>
            </w:pPr>
            <w:bookmarkStart w:id="14" w:name="_9e38a00a_067d_4e8c_9c0d_227e05395185"/>
          </w:p>
        </w:tc>
        <w:tc>
          <w:tcPr>
            <w:tcW w:w="261" w:type="dxa"/>
            <w:tcBorders>
              <w:top w:val="nil"/>
              <w:left w:val="nil"/>
              <w:bottom w:val="nil"/>
              <w:right w:val="nil"/>
            </w:tcBorders>
            <w:noWrap/>
            <w:vAlign w:val="bottom"/>
            <w:hideMark/>
          </w:tcPr>
          <w:p w14:paraId="653E742E" w14:textId="77777777" w:rsidR="00AE3CC0" w:rsidRPr="00B8452B" w:rsidRDefault="00AE3CC0">
            <w:pPr>
              <w:rPr>
                <w:rFonts w:eastAsia="MS Mincho" w:cs="Arial"/>
                <w:szCs w:val="16"/>
              </w:rPr>
            </w:pPr>
          </w:p>
        </w:tc>
        <w:tc>
          <w:tcPr>
            <w:tcW w:w="743" w:type="dxa"/>
            <w:tcBorders>
              <w:top w:val="nil"/>
              <w:left w:val="nil"/>
              <w:bottom w:val="nil"/>
              <w:right w:val="nil"/>
            </w:tcBorders>
            <w:noWrap/>
            <w:vAlign w:val="bottom"/>
            <w:hideMark/>
          </w:tcPr>
          <w:p w14:paraId="27FBF223" w14:textId="77777777" w:rsidR="00AE3CC0" w:rsidRPr="00B8452B" w:rsidRDefault="00AE3CC0">
            <w:pPr>
              <w:rPr>
                <w:rFonts w:eastAsia="MS Mincho" w:cs="Arial"/>
                <w:szCs w:val="16"/>
              </w:rPr>
            </w:pPr>
          </w:p>
        </w:tc>
        <w:tc>
          <w:tcPr>
            <w:tcW w:w="919" w:type="dxa"/>
            <w:gridSpan w:val="2"/>
            <w:tcBorders>
              <w:top w:val="nil"/>
              <w:left w:val="nil"/>
              <w:bottom w:val="nil"/>
              <w:right w:val="nil"/>
            </w:tcBorders>
            <w:vAlign w:val="center"/>
            <w:hideMark/>
          </w:tcPr>
          <w:p w14:paraId="0784F200" w14:textId="77777777" w:rsidR="00AE3CC0" w:rsidRPr="00B8452B" w:rsidRDefault="00AE3CC0">
            <w:pPr>
              <w:rPr>
                <w:rFonts w:eastAsia="MS Mincho" w:cs="Arial"/>
                <w:szCs w:val="16"/>
              </w:rPr>
            </w:pPr>
          </w:p>
        </w:tc>
        <w:tc>
          <w:tcPr>
            <w:tcW w:w="960" w:type="dxa"/>
            <w:tcBorders>
              <w:top w:val="nil"/>
              <w:left w:val="nil"/>
              <w:bottom w:val="nil"/>
              <w:right w:val="nil"/>
            </w:tcBorders>
            <w:vAlign w:val="center"/>
            <w:hideMark/>
          </w:tcPr>
          <w:p w14:paraId="12448FD8" w14:textId="77777777" w:rsidR="00AE3CC0" w:rsidRPr="00B8452B" w:rsidRDefault="00AE3CC0">
            <w:pPr>
              <w:rPr>
                <w:rFonts w:eastAsia="MS Mincho" w:cs="Arial"/>
                <w:szCs w:val="16"/>
              </w:rPr>
            </w:pPr>
          </w:p>
        </w:tc>
        <w:tc>
          <w:tcPr>
            <w:tcW w:w="901" w:type="dxa"/>
            <w:tcBorders>
              <w:top w:val="nil"/>
              <w:left w:val="nil"/>
              <w:bottom w:val="nil"/>
              <w:right w:val="nil"/>
            </w:tcBorders>
            <w:vAlign w:val="center"/>
            <w:hideMark/>
          </w:tcPr>
          <w:p w14:paraId="6B4EFA87" w14:textId="77777777" w:rsidR="00AE3CC0" w:rsidRPr="00B8452B" w:rsidRDefault="00AE3CC0">
            <w:pPr>
              <w:rPr>
                <w:rFonts w:eastAsia="MS Mincho" w:cs="Arial"/>
                <w:szCs w:val="16"/>
              </w:rPr>
            </w:pPr>
          </w:p>
        </w:tc>
        <w:tc>
          <w:tcPr>
            <w:tcW w:w="236" w:type="dxa"/>
            <w:tcBorders>
              <w:top w:val="nil"/>
              <w:left w:val="nil"/>
              <w:bottom w:val="nil"/>
              <w:right w:val="nil"/>
            </w:tcBorders>
            <w:vAlign w:val="bottom"/>
            <w:hideMark/>
          </w:tcPr>
          <w:p w14:paraId="4FEDFB90" w14:textId="77777777" w:rsidR="00AE3CC0" w:rsidRPr="00B8452B" w:rsidRDefault="00AE3CC0">
            <w:pPr>
              <w:rPr>
                <w:rFonts w:eastAsia="MS Mincho" w:cs="Arial"/>
                <w:szCs w:val="16"/>
              </w:rPr>
            </w:pPr>
          </w:p>
        </w:tc>
        <w:tc>
          <w:tcPr>
            <w:tcW w:w="991" w:type="dxa"/>
            <w:gridSpan w:val="2"/>
            <w:tcBorders>
              <w:top w:val="nil"/>
              <w:left w:val="nil"/>
              <w:bottom w:val="nil"/>
              <w:right w:val="nil"/>
            </w:tcBorders>
            <w:vAlign w:val="center"/>
            <w:hideMark/>
          </w:tcPr>
          <w:p w14:paraId="77D89A27" w14:textId="77777777" w:rsidR="00AE3CC0" w:rsidRPr="00B8452B" w:rsidRDefault="00AE3CC0">
            <w:pPr>
              <w:rPr>
                <w:rFonts w:eastAsia="MS Mincho" w:cs="Arial"/>
                <w:szCs w:val="16"/>
              </w:rPr>
            </w:pPr>
          </w:p>
        </w:tc>
        <w:tc>
          <w:tcPr>
            <w:tcW w:w="992" w:type="dxa"/>
            <w:tcBorders>
              <w:top w:val="nil"/>
              <w:left w:val="nil"/>
              <w:bottom w:val="nil"/>
              <w:right w:val="nil"/>
            </w:tcBorders>
            <w:vAlign w:val="center"/>
            <w:hideMark/>
          </w:tcPr>
          <w:p w14:paraId="4B9EB803" w14:textId="77777777" w:rsidR="00AE3CC0" w:rsidRPr="00B8452B" w:rsidRDefault="00AE3CC0">
            <w:pPr>
              <w:rPr>
                <w:rFonts w:eastAsia="MS Mincho" w:cs="Arial"/>
                <w:szCs w:val="16"/>
              </w:rPr>
            </w:pPr>
          </w:p>
        </w:tc>
        <w:tc>
          <w:tcPr>
            <w:tcW w:w="992" w:type="dxa"/>
            <w:tcBorders>
              <w:top w:val="nil"/>
              <w:left w:val="nil"/>
              <w:bottom w:val="nil"/>
              <w:right w:val="nil"/>
            </w:tcBorders>
            <w:vAlign w:val="center"/>
            <w:hideMark/>
          </w:tcPr>
          <w:p w14:paraId="23063005" w14:textId="77777777" w:rsidR="00AE3CC0" w:rsidRPr="00B8452B" w:rsidRDefault="00AE3CC0">
            <w:pPr>
              <w:rPr>
                <w:rFonts w:eastAsia="MS Mincho" w:cs="Arial"/>
                <w:szCs w:val="16"/>
              </w:rPr>
            </w:pPr>
          </w:p>
        </w:tc>
      </w:tr>
      <w:tr w:rsidR="00AE3CC0" w:rsidRPr="00D0531F" w14:paraId="3F107BF7" w14:textId="77777777">
        <w:trPr>
          <w:gridAfter w:val="1"/>
          <w:wAfter w:w="992" w:type="dxa"/>
          <w:trHeight w:val="300"/>
        </w:trPr>
        <w:tc>
          <w:tcPr>
            <w:tcW w:w="2822" w:type="dxa"/>
            <w:tcBorders>
              <w:top w:val="nil"/>
              <w:left w:val="nil"/>
              <w:bottom w:val="nil"/>
              <w:right w:val="nil"/>
            </w:tcBorders>
            <w:noWrap/>
            <w:vAlign w:val="bottom"/>
            <w:hideMark/>
          </w:tcPr>
          <w:p w14:paraId="5332798F" w14:textId="77777777" w:rsidR="00AE3CC0" w:rsidRPr="00B8452B" w:rsidRDefault="00AE3CC0">
            <w:pPr>
              <w:spacing w:line="240" w:lineRule="auto"/>
              <w:rPr>
                <w:rFonts w:eastAsia="Times New Roman" w:cs="Arial"/>
                <w:szCs w:val="16"/>
                <w:lang w:eastAsia="en-GB"/>
              </w:rPr>
            </w:pPr>
          </w:p>
        </w:tc>
        <w:tc>
          <w:tcPr>
            <w:tcW w:w="261" w:type="dxa"/>
            <w:tcBorders>
              <w:top w:val="nil"/>
              <w:left w:val="nil"/>
              <w:bottom w:val="nil"/>
              <w:right w:val="nil"/>
            </w:tcBorders>
            <w:noWrap/>
            <w:vAlign w:val="bottom"/>
            <w:hideMark/>
          </w:tcPr>
          <w:p w14:paraId="526E4242" w14:textId="77777777" w:rsidR="00AE3CC0" w:rsidRPr="00B8452B" w:rsidRDefault="00AE3CC0">
            <w:pPr>
              <w:spacing w:line="240" w:lineRule="auto"/>
              <w:rPr>
                <w:rFonts w:eastAsia="Times New Roman" w:cs="Arial"/>
                <w:szCs w:val="16"/>
                <w:lang w:eastAsia="en-GB"/>
              </w:rPr>
            </w:pPr>
          </w:p>
        </w:tc>
        <w:tc>
          <w:tcPr>
            <w:tcW w:w="1030" w:type="dxa"/>
            <w:gridSpan w:val="2"/>
            <w:tcBorders>
              <w:top w:val="nil"/>
              <w:left w:val="nil"/>
              <w:bottom w:val="nil"/>
              <w:right w:val="nil"/>
            </w:tcBorders>
            <w:noWrap/>
            <w:vAlign w:val="bottom"/>
            <w:hideMark/>
          </w:tcPr>
          <w:p w14:paraId="6AF0B99D" w14:textId="77777777" w:rsidR="00AE3CC0" w:rsidRPr="00B8452B" w:rsidRDefault="00AE3CC0">
            <w:pPr>
              <w:spacing w:line="240" w:lineRule="auto"/>
              <w:rPr>
                <w:rFonts w:eastAsia="Times New Roman" w:cs="Arial"/>
                <w:szCs w:val="16"/>
                <w:lang w:eastAsia="en-GB"/>
              </w:rPr>
            </w:pPr>
          </w:p>
        </w:tc>
        <w:tc>
          <w:tcPr>
            <w:tcW w:w="2729" w:type="dxa"/>
            <w:gridSpan w:val="4"/>
            <w:tcBorders>
              <w:top w:val="nil"/>
              <w:left w:val="nil"/>
              <w:bottom w:val="single" w:sz="4" w:space="0" w:color="55565B"/>
              <w:right w:val="nil"/>
            </w:tcBorders>
            <w:vAlign w:val="center"/>
            <w:hideMark/>
          </w:tcPr>
          <w:p w14:paraId="300D9B7F" w14:textId="77777777" w:rsidR="00AE3CC0" w:rsidRPr="00D0531F" w:rsidRDefault="00AE3CC0">
            <w:pPr>
              <w:spacing w:line="240" w:lineRule="auto"/>
              <w:rPr>
                <w:rFonts w:eastAsia="Times New Roman" w:cs="Arial"/>
                <w:b/>
                <w:bCs/>
                <w:szCs w:val="16"/>
                <w:lang w:eastAsia="en-GB"/>
              </w:rPr>
            </w:pPr>
            <w:r w:rsidRPr="00D0531F">
              <w:rPr>
                <w:rFonts w:eastAsia="Times New Roman" w:cs="Arial"/>
                <w:b/>
                <w:bCs/>
                <w:szCs w:val="16"/>
                <w:lang w:eastAsia="en-GB"/>
              </w:rPr>
              <w:t xml:space="preserve">               FY2026</w:t>
            </w:r>
          </w:p>
        </w:tc>
        <w:tc>
          <w:tcPr>
            <w:tcW w:w="407" w:type="dxa"/>
            <w:tcBorders>
              <w:top w:val="nil"/>
              <w:left w:val="nil"/>
              <w:bottom w:val="nil"/>
              <w:right w:val="nil"/>
            </w:tcBorders>
            <w:noWrap/>
            <w:vAlign w:val="bottom"/>
            <w:hideMark/>
          </w:tcPr>
          <w:p w14:paraId="15131A80" w14:textId="77777777" w:rsidR="00AE3CC0" w:rsidRPr="00D0531F" w:rsidRDefault="00AE3CC0">
            <w:pPr>
              <w:spacing w:line="240" w:lineRule="auto"/>
              <w:jc w:val="center"/>
              <w:rPr>
                <w:rFonts w:eastAsia="Times New Roman" w:cs="Arial"/>
                <w:b/>
                <w:bCs/>
                <w:szCs w:val="16"/>
                <w:lang w:eastAsia="en-GB"/>
              </w:rPr>
            </w:pPr>
          </w:p>
        </w:tc>
        <w:tc>
          <w:tcPr>
            <w:tcW w:w="1576" w:type="dxa"/>
            <w:gridSpan w:val="2"/>
            <w:tcBorders>
              <w:top w:val="nil"/>
              <w:left w:val="nil"/>
              <w:bottom w:val="single" w:sz="4" w:space="0" w:color="55565B"/>
              <w:right w:val="nil"/>
            </w:tcBorders>
            <w:vAlign w:val="center"/>
            <w:hideMark/>
          </w:tcPr>
          <w:p w14:paraId="18EC5F4B" w14:textId="77777777" w:rsidR="00AE3CC0" w:rsidRPr="00D0531F" w:rsidRDefault="00AE3CC0">
            <w:pPr>
              <w:spacing w:line="240" w:lineRule="auto"/>
              <w:jc w:val="center"/>
              <w:rPr>
                <w:rFonts w:eastAsia="Times New Roman" w:cs="Arial"/>
                <w:b/>
                <w:bCs/>
                <w:szCs w:val="16"/>
                <w:lang w:eastAsia="en-GB"/>
              </w:rPr>
            </w:pPr>
            <w:r w:rsidRPr="00D0531F">
              <w:rPr>
                <w:rFonts w:eastAsia="Times New Roman" w:cs="Arial"/>
                <w:b/>
                <w:bCs/>
                <w:szCs w:val="16"/>
                <w:lang w:eastAsia="en-GB"/>
              </w:rPr>
              <w:t xml:space="preserve">         FY2025</w:t>
            </w:r>
          </w:p>
        </w:tc>
      </w:tr>
      <w:tr w:rsidR="00AE3CC0" w:rsidRPr="001A0FEC" w14:paraId="7A6A0EC8" w14:textId="77777777">
        <w:trPr>
          <w:trHeight w:val="480"/>
        </w:trPr>
        <w:tc>
          <w:tcPr>
            <w:tcW w:w="2822" w:type="dxa"/>
            <w:tcBorders>
              <w:top w:val="nil"/>
              <w:left w:val="nil"/>
              <w:bottom w:val="nil"/>
              <w:right w:val="nil"/>
            </w:tcBorders>
            <w:noWrap/>
            <w:vAlign w:val="bottom"/>
            <w:hideMark/>
          </w:tcPr>
          <w:p w14:paraId="767083A6" w14:textId="77777777" w:rsidR="00AE3CC0" w:rsidRPr="00B8452B" w:rsidRDefault="00AE3CC0">
            <w:pPr>
              <w:spacing w:line="240" w:lineRule="auto"/>
              <w:jc w:val="center"/>
              <w:rPr>
                <w:rFonts w:eastAsia="Times New Roman" w:cs="Arial"/>
                <w:b/>
                <w:szCs w:val="16"/>
                <w:lang w:eastAsia="en-GB"/>
              </w:rPr>
            </w:pPr>
          </w:p>
        </w:tc>
        <w:tc>
          <w:tcPr>
            <w:tcW w:w="261" w:type="dxa"/>
            <w:tcBorders>
              <w:top w:val="nil"/>
              <w:left w:val="nil"/>
              <w:bottom w:val="nil"/>
              <w:right w:val="nil"/>
            </w:tcBorders>
            <w:noWrap/>
            <w:vAlign w:val="bottom"/>
            <w:hideMark/>
          </w:tcPr>
          <w:p w14:paraId="55777E1A" w14:textId="77777777" w:rsidR="00AE3CC0" w:rsidRPr="00B8452B" w:rsidRDefault="00AE3CC0">
            <w:pPr>
              <w:spacing w:line="240" w:lineRule="auto"/>
              <w:rPr>
                <w:rFonts w:eastAsia="Times New Roman" w:cs="Arial"/>
                <w:szCs w:val="16"/>
                <w:lang w:eastAsia="en-GB"/>
              </w:rPr>
            </w:pPr>
          </w:p>
        </w:tc>
        <w:tc>
          <w:tcPr>
            <w:tcW w:w="743" w:type="dxa"/>
            <w:tcBorders>
              <w:top w:val="nil"/>
              <w:left w:val="nil"/>
              <w:bottom w:val="nil"/>
              <w:right w:val="nil"/>
            </w:tcBorders>
            <w:noWrap/>
            <w:vAlign w:val="bottom"/>
            <w:hideMark/>
          </w:tcPr>
          <w:p w14:paraId="642D7C97" w14:textId="77777777" w:rsidR="00AE3CC0" w:rsidRPr="00B8452B" w:rsidRDefault="00AE3CC0">
            <w:pPr>
              <w:spacing w:line="240" w:lineRule="auto"/>
              <w:rPr>
                <w:rFonts w:eastAsia="Times New Roman" w:cs="Arial"/>
                <w:szCs w:val="16"/>
                <w:lang w:eastAsia="en-GB"/>
              </w:rPr>
            </w:pPr>
          </w:p>
        </w:tc>
        <w:tc>
          <w:tcPr>
            <w:tcW w:w="919" w:type="dxa"/>
            <w:gridSpan w:val="2"/>
            <w:tcBorders>
              <w:top w:val="single" w:sz="4" w:space="0" w:color="auto"/>
              <w:left w:val="nil"/>
              <w:bottom w:val="nil"/>
              <w:right w:val="nil"/>
            </w:tcBorders>
            <w:vAlign w:val="center"/>
            <w:hideMark/>
          </w:tcPr>
          <w:p w14:paraId="4011A232" w14:textId="77777777" w:rsidR="00AE3CC0" w:rsidRPr="00D0531F" w:rsidRDefault="00AE3CC0">
            <w:pPr>
              <w:spacing w:line="240" w:lineRule="auto"/>
              <w:jc w:val="center"/>
              <w:rPr>
                <w:rFonts w:eastAsia="Times New Roman" w:cs="Arial"/>
                <w:b/>
                <w:bCs/>
                <w:szCs w:val="16"/>
                <w:lang w:eastAsia="en-GB"/>
              </w:rPr>
            </w:pPr>
            <w:r w:rsidRPr="00D0531F">
              <w:rPr>
                <w:rFonts w:eastAsia="Times New Roman" w:cs="Arial"/>
                <w:b/>
                <w:bCs/>
                <w:szCs w:val="16"/>
                <w:lang w:eastAsia="en-GB"/>
              </w:rPr>
              <w:t>Reported</w:t>
            </w:r>
          </w:p>
        </w:tc>
        <w:tc>
          <w:tcPr>
            <w:tcW w:w="960" w:type="dxa"/>
            <w:tcBorders>
              <w:top w:val="single" w:sz="4" w:space="0" w:color="auto"/>
              <w:left w:val="nil"/>
              <w:bottom w:val="nil"/>
              <w:right w:val="nil"/>
            </w:tcBorders>
            <w:vAlign w:val="center"/>
            <w:hideMark/>
          </w:tcPr>
          <w:p w14:paraId="7F881CDF" w14:textId="77777777" w:rsidR="00AE3CC0" w:rsidRPr="00D0531F" w:rsidRDefault="00AE3CC0">
            <w:pPr>
              <w:spacing w:line="240" w:lineRule="auto"/>
              <w:jc w:val="center"/>
              <w:rPr>
                <w:rFonts w:eastAsia="Times New Roman" w:cs="Arial"/>
                <w:b/>
                <w:bCs/>
                <w:szCs w:val="16"/>
                <w:lang w:eastAsia="en-GB"/>
              </w:rPr>
            </w:pPr>
            <w:r w:rsidRPr="00D0531F">
              <w:rPr>
                <w:rFonts w:eastAsia="Times New Roman" w:cs="Arial"/>
                <w:b/>
                <w:bCs/>
                <w:szCs w:val="16"/>
                <w:lang w:eastAsia="en-GB"/>
              </w:rPr>
              <w:t>Adjusting items</w:t>
            </w:r>
          </w:p>
        </w:tc>
        <w:tc>
          <w:tcPr>
            <w:tcW w:w="901" w:type="dxa"/>
            <w:tcBorders>
              <w:top w:val="single" w:sz="4" w:space="0" w:color="auto"/>
              <w:left w:val="nil"/>
              <w:bottom w:val="nil"/>
              <w:right w:val="nil"/>
            </w:tcBorders>
            <w:vAlign w:val="center"/>
            <w:hideMark/>
          </w:tcPr>
          <w:p w14:paraId="23C88682" w14:textId="77777777" w:rsidR="00AE3CC0" w:rsidRPr="00D0531F" w:rsidRDefault="00AE3CC0">
            <w:pPr>
              <w:spacing w:line="240" w:lineRule="auto"/>
              <w:jc w:val="center"/>
              <w:rPr>
                <w:rFonts w:eastAsia="Times New Roman" w:cs="Arial"/>
                <w:b/>
                <w:bCs/>
                <w:szCs w:val="16"/>
                <w:lang w:eastAsia="en-GB"/>
              </w:rPr>
            </w:pPr>
            <w:r w:rsidRPr="00D0531F">
              <w:rPr>
                <w:rFonts w:eastAsia="Times New Roman" w:cs="Arial"/>
                <w:b/>
                <w:bCs/>
                <w:szCs w:val="16"/>
                <w:lang w:eastAsia="en-GB"/>
              </w:rPr>
              <w:t xml:space="preserve">Adjusted </w:t>
            </w:r>
          </w:p>
        </w:tc>
        <w:tc>
          <w:tcPr>
            <w:tcW w:w="236" w:type="dxa"/>
            <w:tcBorders>
              <w:top w:val="nil"/>
              <w:left w:val="nil"/>
              <w:bottom w:val="nil"/>
              <w:right w:val="nil"/>
            </w:tcBorders>
            <w:vAlign w:val="bottom"/>
            <w:hideMark/>
          </w:tcPr>
          <w:p w14:paraId="5EDCE77E" w14:textId="77777777" w:rsidR="00AE3CC0" w:rsidRPr="00D0531F" w:rsidRDefault="00AE3CC0">
            <w:pPr>
              <w:spacing w:line="240" w:lineRule="auto"/>
              <w:jc w:val="center"/>
              <w:rPr>
                <w:rFonts w:eastAsia="Times New Roman" w:cs="Arial"/>
                <w:b/>
                <w:bCs/>
                <w:szCs w:val="16"/>
                <w:lang w:eastAsia="en-GB"/>
              </w:rPr>
            </w:pPr>
          </w:p>
        </w:tc>
        <w:tc>
          <w:tcPr>
            <w:tcW w:w="991" w:type="dxa"/>
            <w:gridSpan w:val="2"/>
            <w:tcBorders>
              <w:top w:val="single" w:sz="4" w:space="0" w:color="auto"/>
              <w:left w:val="nil"/>
              <w:bottom w:val="nil"/>
              <w:right w:val="nil"/>
            </w:tcBorders>
            <w:vAlign w:val="center"/>
            <w:hideMark/>
          </w:tcPr>
          <w:p w14:paraId="5BA9A470" w14:textId="77777777" w:rsidR="00AE3CC0" w:rsidRPr="00D0531F" w:rsidRDefault="00AE3CC0">
            <w:pPr>
              <w:spacing w:line="240" w:lineRule="auto"/>
              <w:jc w:val="center"/>
              <w:rPr>
                <w:rFonts w:eastAsia="Times New Roman" w:cs="Arial"/>
                <w:b/>
                <w:bCs/>
                <w:szCs w:val="16"/>
                <w:lang w:eastAsia="en-GB"/>
              </w:rPr>
            </w:pPr>
            <w:r w:rsidRPr="00D0531F">
              <w:rPr>
                <w:rFonts w:eastAsia="Times New Roman" w:cs="Arial"/>
                <w:b/>
                <w:bCs/>
                <w:szCs w:val="16"/>
                <w:lang w:eastAsia="en-GB"/>
              </w:rPr>
              <w:t>Reported</w:t>
            </w:r>
          </w:p>
        </w:tc>
        <w:tc>
          <w:tcPr>
            <w:tcW w:w="992" w:type="dxa"/>
            <w:tcBorders>
              <w:top w:val="single" w:sz="4" w:space="0" w:color="auto"/>
              <w:left w:val="nil"/>
              <w:bottom w:val="nil"/>
              <w:right w:val="nil"/>
            </w:tcBorders>
            <w:vAlign w:val="center"/>
            <w:hideMark/>
          </w:tcPr>
          <w:p w14:paraId="16164A76" w14:textId="77777777" w:rsidR="00AE3CC0" w:rsidRPr="00D0531F" w:rsidRDefault="00AE3CC0">
            <w:pPr>
              <w:spacing w:line="240" w:lineRule="auto"/>
              <w:jc w:val="center"/>
              <w:rPr>
                <w:rFonts w:eastAsia="Times New Roman" w:cs="Arial"/>
                <w:b/>
                <w:bCs/>
                <w:szCs w:val="16"/>
                <w:lang w:eastAsia="en-GB"/>
              </w:rPr>
            </w:pPr>
            <w:r w:rsidRPr="00D0531F">
              <w:rPr>
                <w:rFonts w:eastAsia="Times New Roman" w:cs="Arial"/>
                <w:b/>
                <w:bCs/>
                <w:szCs w:val="16"/>
                <w:lang w:eastAsia="en-GB"/>
              </w:rPr>
              <w:t>Adjusting items</w:t>
            </w:r>
          </w:p>
        </w:tc>
        <w:tc>
          <w:tcPr>
            <w:tcW w:w="992" w:type="dxa"/>
            <w:tcBorders>
              <w:top w:val="single" w:sz="4" w:space="0" w:color="auto"/>
              <w:left w:val="nil"/>
              <w:bottom w:val="nil"/>
              <w:right w:val="nil"/>
            </w:tcBorders>
            <w:vAlign w:val="center"/>
            <w:hideMark/>
          </w:tcPr>
          <w:p w14:paraId="70334850" w14:textId="77777777" w:rsidR="00AE3CC0" w:rsidRPr="00D0531F" w:rsidRDefault="00AE3CC0">
            <w:pPr>
              <w:spacing w:line="240" w:lineRule="auto"/>
              <w:jc w:val="center"/>
              <w:rPr>
                <w:rFonts w:eastAsia="Times New Roman" w:cs="Arial"/>
                <w:b/>
                <w:bCs/>
                <w:szCs w:val="16"/>
                <w:lang w:eastAsia="en-GB"/>
              </w:rPr>
            </w:pPr>
            <w:r w:rsidRPr="00D0531F">
              <w:rPr>
                <w:rFonts w:eastAsia="Times New Roman" w:cs="Arial"/>
                <w:b/>
                <w:bCs/>
                <w:szCs w:val="16"/>
                <w:lang w:eastAsia="en-GB"/>
              </w:rPr>
              <w:t xml:space="preserve">Adjusted </w:t>
            </w:r>
          </w:p>
        </w:tc>
      </w:tr>
      <w:tr w:rsidR="00AE3CC0" w:rsidRPr="001A0FEC" w14:paraId="60266E17" w14:textId="77777777">
        <w:trPr>
          <w:trHeight w:val="300"/>
        </w:trPr>
        <w:tc>
          <w:tcPr>
            <w:tcW w:w="2822" w:type="dxa"/>
            <w:tcBorders>
              <w:top w:val="nil"/>
              <w:left w:val="nil"/>
              <w:bottom w:val="single" w:sz="4" w:space="0" w:color="55565B"/>
              <w:right w:val="nil"/>
            </w:tcBorders>
            <w:noWrap/>
            <w:vAlign w:val="bottom"/>
            <w:hideMark/>
          </w:tcPr>
          <w:p w14:paraId="51C61A3F" w14:textId="77777777" w:rsidR="00AE3CC0" w:rsidRPr="00B6210E" w:rsidRDefault="00AE3CC0">
            <w:pPr>
              <w:spacing w:line="240" w:lineRule="auto"/>
              <w:rPr>
                <w:rFonts w:eastAsia="Times New Roman" w:cs="Arial"/>
                <w:szCs w:val="16"/>
                <w:lang w:eastAsia="en-GB"/>
              </w:rPr>
            </w:pPr>
            <w:r w:rsidRPr="00B6210E">
              <w:rPr>
                <w:rFonts w:eastAsia="Times New Roman" w:cs="Arial"/>
                <w:szCs w:val="16"/>
                <w:lang w:eastAsia="en-GB"/>
              </w:rPr>
              <w:t> </w:t>
            </w:r>
          </w:p>
        </w:tc>
        <w:tc>
          <w:tcPr>
            <w:tcW w:w="261" w:type="dxa"/>
            <w:tcBorders>
              <w:top w:val="nil"/>
              <w:left w:val="nil"/>
              <w:bottom w:val="single" w:sz="4" w:space="0" w:color="55565B"/>
              <w:right w:val="nil"/>
            </w:tcBorders>
            <w:noWrap/>
            <w:vAlign w:val="bottom"/>
            <w:hideMark/>
          </w:tcPr>
          <w:p w14:paraId="37E9CC03" w14:textId="77777777" w:rsidR="00AE3CC0" w:rsidRPr="00B6210E" w:rsidRDefault="00AE3CC0">
            <w:pPr>
              <w:spacing w:line="240" w:lineRule="auto"/>
              <w:rPr>
                <w:rFonts w:eastAsia="Times New Roman" w:cs="Arial"/>
                <w:szCs w:val="16"/>
                <w:lang w:eastAsia="en-GB"/>
              </w:rPr>
            </w:pPr>
            <w:r w:rsidRPr="00B6210E">
              <w:rPr>
                <w:rFonts w:eastAsia="Times New Roman" w:cs="Arial"/>
                <w:szCs w:val="16"/>
                <w:lang w:eastAsia="en-GB"/>
              </w:rPr>
              <w:t> </w:t>
            </w:r>
          </w:p>
        </w:tc>
        <w:tc>
          <w:tcPr>
            <w:tcW w:w="743" w:type="dxa"/>
            <w:tcBorders>
              <w:top w:val="nil"/>
              <w:left w:val="nil"/>
              <w:bottom w:val="single" w:sz="4" w:space="0" w:color="55565B"/>
              <w:right w:val="nil"/>
            </w:tcBorders>
            <w:noWrap/>
            <w:vAlign w:val="bottom"/>
            <w:hideMark/>
          </w:tcPr>
          <w:p w14:paraId="1F4462DD" w14:textId="77777777" w:rsidR="00AE3CC0" w:rsidRPr="00B6210E" w:rsidRDefault="00AE3CC0">
            <w:pPr>
              <w:spacing w:line="240" w:lineRule="auto"/>
              <w:rPr>
                <w:rFonts w:eastAsia="Times New Roman" w:cs="Arial"/>
                <w:szCs w:val="16"/>
                <w:lang w:eastAsia="en-GB"/>
              </w:rPr>
            </w:pPr>
            <w:r w:rsidRPr="00B6210E">
              <w:rPr>
                <w:rFonts w:eastAsia="Times New Roman" w:cs="Arial"/>
                <w:szCs w:val="16"/>
                <w:lang w:eastAsia="en-GB"/>
              </w:rPr>
              <w:t> </w:t>
            </w:r>
          </w:p>
        </w:tc>
        <w:tc>
          <w:tcPr>
            <w:tcW w:w="919" w:type="dxa"/>
            <w:gridSpan w:val="2"/>
            <w:tcBorders>
              <w:top w:val="nil"/>
              <w:left w:val="nil"/>
              <w:bottom w:val="single" w:sz="4" w:space="0" w:color="55565B"/>
              <w:right w:val="nil"/>
            </w:tcBorders>
            <w:vAlign w:val="center"/>
            <w:hideMark/>
          </w:tcPr>
          <w:p w14:paraId="1D916E9C"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£m</w:t>
            </w:r>
          </w:p>
        </w:tc>
        <w:tc>
          <w:tcPr>
            <w:tcW w:w="960" w:type="dxa"/>
            <w:tcBorders>
              <w:top w:val="nil"/>
              <w:left w:val="nil"/>
              <w:bottom w:val="single" w:sz="4" w:space="0" w:color="55565B"/>
              <w:right w:val="nil"/>
            </w:tcBorders>
            <w:vAlign w:val="center"/>
            <w:hideMark/>
          </w:tcPr>
          <w:p w14:paraId="6F4D2498"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£m</w:t>
            </w:r>
          </w:p>
        </w:tc>
        <w:tc>
          <w:tcPr>
            <w:tcW w:w="901" w:type="dxa"/>
            <w:tcBorders>
              <w:top w:val="nil"/>
              <w:left w:val="nil"/>
              <w:bottom w:val="single" w:sz="4" w:space="0" w:color="55565B"/>
              <w:right w:val="nil"/>
            </w:tcBorders>
            <w:vAlign w:val="center"/>
            <w:hideMark/>
          </w:tcPr>
          <w:p w14:paraId="7D81D7D2"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£m</w:t>
            </w:r>
          </w:p>
        </w:tc>
        <w:tc>
          <w:tcPr>
            <w:tcW w:w="236" w:type="dxa"/>
            <w:tcBorders>
              <w:top w:val="nil"/>
              <w:left w:val="nil"/>
              <w:bottom w:val="nil"/>
              <w:right w:val="nil"/>
            </w:tcBorders>
            <w:vAlign w:val="bottom"/>
            <w:hideMark/>
          </w:tcPr>
          <w:p w14:paraId="79419630" w14:textId="77777777" w:rsidR="00AE3CC0" w:rsidRPr="00B6210E" w:rsidRDefault="00AE3CC0">
            <w:pPr>
              <w:spacing w:line="240" w:lineRule="auto"/>
              <w:jc w:val="center"/>
              <w:rPr>
                <w:rFonts w:eastAsia="Times New Roman" w:cs="Arial"/>
                <w:b/>
                <w:bCs/>
                <w:szCs w:val="16"/>
                <w:lang w:eastAsia="en-GB"/>
              </w:rPr>
            </w:pPr>
          </w:p>
        </w:tc>
        <w:tc>
          <w:tcPr>
            <w:tcW w:w="991" w:type="dxa"/>
            <w:gridSpan w:val="2"/>
            <w:tcBorders>
              <w:top w:val="nil"/>
              <w:left w:val="nil"/>
              <w:bottom w:val="single" w:sz="4" w:space="0" w:color="55565B"/>
              <w:right w:val="nil"/>
            </w:tcBorders>
            <w:vAlign w:val="center"/>
            <w:hideMark/>
          </w:tcPr>
          <w:p w14:paraId="642B95DD"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£m</w:t>
            </w:r>
          </w:p>
        </w:tc>
        <w:tc>
          <w:tcPr>
            <w:tcW w:w="992" w:type="dxa"/>
            <w:tcBorders>
              <w:top w:val="nil"/>
              <w:left w:val="nil"/>
              <w:bottom w:val="single" w:sz="4" w:space="0" w:color="55565B"/>
              <w:right w:val="nil"/>
            </w:tcBorders>
            <w:vAlign w:val="center"/>
            <w:hideMark/>
          </w:tcPr>
          <w:p w14:paraId="772124CF"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£m</w:t>
            </w:r>
          </w:p>
        </w:tc>
        <w:tc>
          <w:tcPr>
            <w:tcW w:w="992" w:type="dxa"/>
            <w:tcBorders>
              <w:top w:val="nil"/>
              <w:left w:val="nil"/>
              <w:bottom w:val="single" w:sz="4" w:space="0" w:color="55565B"/>
              <w:right w:val="nil"/>
            </w:tcBorders>
            <w:vAlign w:val="center"/>
            <w:hideMark/>
          </w:tcPr>
          <w:p w14:paraId="4D8E1E1F"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£m</w:t>
            </w:r>
          </w:p>
        </w:tc>
      </w:tr>
      <w:tr w:rsidR="00AE3CC0" w:rsidRPr="001A0FEC" w14:paraId="766D5D12" w14:textId="77777777">
        <w:trPr>
          <w:trHeight w:val="300"/>
        </w:trPr>
        <w:tc>
          <w:tcPr>
            <w:tcW w:w="2822" w:type="dxa"/>
            <w:tcBorders>
              <w:top w:val="nil"/>
              <w:left w:val="nil"/>
              <w:bottom w:val="nil"/>
              <w:right w:val="nil"/>
            </w:tcBorders>
            <w:noWrap/>
            <w:vAlign w:val="bottom"/>
            <w:hideMark/>
          </w:tcPr>
          <w:p w14:paraId="3D5A5899" w14:textId="77777777" w:rsidR="00AE3CC0" w:rsidRPr="00B6210E" w:rsidRDefault="00AE3CC0">
            <w:pPr>
              <w:spacing w:line="240" w:lineRule="auto"/>
              <w:rPr>
                <w:rFonts w:eastAsia="Times New Roman" w:cs="Arial"/>
                <w:b/>
                <w:bCs/>
                <w:szCs w:val="16"/>
                <w:lang w:eastAsia="en-GB"/>
              </w:rPr>
            </w:pPr>
            <w:r w:rsidRPr="00B6210E">
              <w:rPr>
                <w:rFonts w:eastAsia="Times New Roman" w:cs="Arial"/>
                <w:b/>
                <w:bCs/>
                <w:szCs w:val="16"/>
                <w:lang w:eastAsia="en-GB"/>
              </w:rPr>
              <w:t>Revenue</w:t>
            </w:r>
          </w:p>
        </w:tc>
        <w:tc>
          <w:tcPr>
            <w:tcW w:w="261" w:type="dxa"/>
            <w:tcBorders>
              <w:top w:val="nil"/>
              <w:left w:val="nil"/>
              <w:bottom w:val="nil"/>
              <w:right w:val="nil"/>
            </w:tcBorders>
            <w:noWrap/>
            <w:vAlign w:val="bottom"/>
            <w:hideMark/>
          </w:tcPr>
          <w:p w14:paraId="4E05C32B" w14:textId="77777777" w:rsidR="00AE3CC0" w:rsidRPr="00B6210E" w:rsidRDefault="00AE3CC0">
            <w:pPr>
              <w:spacing w:line="240" w:lineRule="auto"/>
              <w:rPr>
                <w:rFonts w:eastAsia="Times New Roman" w:cs="Arial"/>
                <w:b/>
                <w:bCs/>
                <w:szCs w:val="16"/>
                <w:lang w:eastAsia="en-GB"/>
              </w:rPr>
            </w:pPr>
          </w:p>
        </w:tc>
        <w:tc>
          <w:tcPr>
            <w:tcW w:w="743" w:type="dxa"/>
            <w:tcBorders>
              <w:top w:val="nil"/>
              <w:left w:val="nil"/>
              <w:bottom w:val="nil"/>
              <w:right w:val="nil"/>
            </w:tcBorders>
            <w:noWrap/>
            <w:vAlign w:val="bottom"/>
            <w:hideMark/>
          </w:tcPr>
          <w:p w14:paraId="4E1D1D70" w14:textId="77777777" w:rsidR="00AE3CC0" w:rsidRPr="00B6210E" w:rsidRDefault="00AE3CC0">
            <w:pPr>
              <w:spacing w:line="240" w:lineRule="auto"/>
              <w:rPr>
                <w:rFonts w:eastAsia="Times New Roman" w:cs="Arial"/>
                <w:szCs w:val="16"/>
                <w:lang w:eastAsia="en-GB"/>
              </w:rPr>
            </w:pPr>
          </w:p>
        </w:tc>
        <w:tc>
          <w:tcPr>
            <w:tcW w:w="919" w:type="dxa"/>
            <w:gridSpan w:val="2"/>
            <w:tcBorders>
              <w:top w:val="nil"/>
              <w:left w:val="nil"/>
              <w:bottom w:val="nil"/>
              <w:right w:val="nil"/>
            </w:tcBorders>
            <w:noWrap/>
            <w:vAlign w:val="bottom"/>
          </w:tcPr>
          <w:p w14:paraId="4DFF4334"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217.9</w:t>
            </w:r>
          </w:p>
        </w:tc>
        <w:tc>
          <w:tcPr>
            <w:tcW w:w="960" w:type="dxa"/>
            <w:tcBorders>
              <w:top w:val="nil"/>
              <w:left w:val="nil"/>
              <w:bottom w:val="nil"/>
              <w:right w:val="nil"/>
            </w:tcBorders>
            <w:noWrap/>
            <w:vAlign w:val="bottom"/>
          </w:tcPr>
          <w:p w14:paraId="54C202D9" w14:textId="31C0C59E" w:rsidR="00AE3CC0" w:rsidRPr="00B6210E" w:rsidRDefault="00AD203D">
            <w:pPr>
              <w:spacing w:line="240" w:lineRule="auto"/>
              <w:jc w:val="center"/>
              <w:rPr>
                <w:rFonts w:eastAsia="Times New Roman" w:cs="Arial"/>
                <w:b/>
                <w:bCs/>
                <w:szCs w:val="16"/>
                <w:lang w:eastAsia="en-GB"/>
              </w:rPr>
            </w:pPr>
            <w:r>
              <w:rPr>
                <w:rFonts w:eastAsia="MS Mincho" w:cs="Arial"/>
                <w:b/>
                <w:szCs w:val="16"/>
              </w:rPr>
              <w:t>-</w:t>
            </w:r>
          </w:p>
        </w:tc>
        <w:tc>
          <w:tcPr>
            <w:tcW w:w="901" w:type="dxa"/>
            <w:tcBorders>
              <w:top w:val="nil"/>
              <w:left w:val="nil"/>
              <w:bottom w:val="nil"/>
              <w:right w:val="nil"/>
            </w:tcBorders>
            <w:noWrap/>
            <w:vAlign w:val="bottom"/>
          </w:tcPr>
          <w:p w14:paraId="31F41A52" w14:textId="77777777" w:rsidR="00AE3CC0" w:rsidRPr="00B6210E" w:rsidRDefault="00AE3CC0">
            <w:pPr>
              <w:spacing w:line="240" w:lineRule="auto"/>
              <w:jc w:val="center"/>
              <w:rPr>
                <w:rFonts w:eastAsia="Times New Roman" w:cs="Arial"/>
                <w:b/>
                <w:bCs/>
                <w:szCs w:val="16"/>
                <w:lang w:eastAsia="en-GB"/>
              </w:rPr>
            </w:pPr>
            <w:r w:rsidRPr="00B6210E">
              <w:rPr>
                <w:rFonts w:eastAsia="Times New Roman" w:cs="Arial"/>
                <w:b/>
                <w:bCs/>
                <w:szCs w:val="16"/>
                <w:lang w:eastAsia="en-GB"/>
              </w:rPr>
              <w:t>217.9</w:t>
            </w:r>
          </w:p>
        </w:tc>
        <w:tc>
          <w:tcPr>
            <w:tcW w:w="236" w:type="dxa"/>
            <w:tcBorders>
              <w:top w:val="nil"/>
              <w:left w:val="nil"/>
              <w:bottom w:val="nil"/>
              <w:right w:val="nil"/>
            </w:tcBorders>
            <w:vAlign w:val="bottom"/>
          </w:tcPr>
          <w:p w14:paraId="7CA28D4F" w14:textId="77777777" w:rsidR="00AE3CC0" w:rsidRPr="00B6210E" w:rsidRDefault="00AE3CC0">
            <w:pPr>
              <w:spacing w:line="240" w:lineRule="auto"/>
              <w:jc w:val="center"/>
              <w:rPr>
                <w:rFonts w:eastAsia="Times New Roman" w:cs="Arial"/>
                <w:b/>
                <w:bCs/>
                <w:szCs w:val="16"/>
                <w:lang w:eastAsia="en-GB"/>
              </w:rPr>
            </w:pPr>
          </w:p>
        </w:tc>
        <w:tc>
          <w:tcPr>
            <w:tcW w:w="991" w:type="dxa"/>
            <w:gridSpan w:val="2"/>
            <w:tcBorders>
              <w:top w:val="nil"/>
              <w:left w:val="nil"/>
              <w:bottom w:val="nil"/>
              <w:right w:val="nil"/>
            </w:tcBorders>
            <w:noWrap/>
            <w:vAlign w:val="bottom"/>
          </w:tcPr>
          <w:p w14:paraId="03140185" w14:textId="77777777" w:rsidR="00AE3CC0" w:rsidRPr="00B6210E" w:rsidRDefault="00AE3CC0">
            <w:pPr>
              <w:spacing w:line="240" w:lineRule="auto"/>
              <w:jc w:val="center"/>
              <w:rPr>
                <w:rFonts w:eastAsia="Times New Roman" w:cs="Arial"/>
                <w:b/>
                <w:bCs/>
                <w:szCs w:val="16"/>
                <w:lang w:eastAsia="en-GB"/>
              </w:rPr>
            </w:pPr>
            <w:r>
              <w:rPr>
                <w:rFonts w:cs="Arial"/>
                <w:color w:val="000000"/>
                <w:szCs w:val="16"/>
              </w:rPr>
              <w:t xml:space="preserve">225.4 </w:t>
            </w:r>
          </w:p>
        </w:tc>
        <w:tc>
          <w:tcPr>
            <w:tcW w:w="992" w:type="dxa"/>
            <w:tcBorders>
              <w:top w:val="nil"/>
              <w:left w:val="nil"/>
              <w:bottom w:val="nil"/>
              <w:right w:val="nil"/>
            </w:tcBorders>
            <w:noWrap/>
            <w:vAlign w:val="bottom"/>
          </w:tcPr>
          <w:p w14:paraId="318AFB7F" w14:textId="4B6A0DBF" w:rsidR="00AE3CC0" w:rsidRPr="00327FAA" w:rsidRDefault="00AD203D">
            <w:pPr>
              <w:spacing w:line="240" w:lineRule="auto"/>
              <w:jc w:val="center"/>
              <w:rPr>
                <w:rFonts w:eastAsia="Times New Roman" w:cs="Arial"/>
                <w:szCs w:val="16"/>
                <w:lang w:eastAsia="en-GB"/>
              </w:rPr>
            </w:pPr>
            <w:r>
              <w:rPr>
                <w:rFonts w:eastAsia="MS Mincho" w:cs="Arial"/>
                <w:szCs w:val="16"/>
              </w:rPr>
              <w:t>-</w:t>
            </w:r>
          </w:p>
        </w:tc>
        <w:tc>
          <w:tcPr>
            <w:tcW w:w="992" w:type="dxa"/>
            <w:tcBorders>
              <w:top w:val="nil"/>
              <w:left w:val="nil"/>
              <w:bottom w:val="nil"/>
              <w:right w:val="nil"/>
            </w:tcBorders>
            <w:noWrap/>
            <w:vAlign w:val="bottom"/>
          </w:tcPr>
          <w:p w14:paraId="3BDF091C" w14:textId="77777777" w:rsidR="00AE3CC0" w:rsidRPr="00B6210E" w:rsidRDefault="00AE3CC0">
            <w:pPr>
              <w:spacing w:line="240" w:lineRule="auto"/>
              <w:jc w:val="center"/>
              <w:rPr>
                <w:rFonts w:eastAsia="Times New Roman" w:cs="Arial"/>
                <w:b/>
                <w:bCs/>
                <w:szCs w:val="16"/>
                <w:lang w:eastAsia="en-GB"/>
              </w:rPr>
            </w:pPr>
            <w:r>
              <w:rPr>
                <w:rFonts w:cs="Arial"/>
                <w:color w:val="000000"/>
                <w:szCs w:val="16"/>
              </w:rPr>
              <w:t xml:space="preserve">225.4 </w:t>
            </w:r>
          </w:p>
        </w:tc>
      </w:tr>
      <w:tr w:rsidR="00AE3CC0" w:rsidRPr="001A0FEC" w14:paraId="7D23227C" w14:textId="77777777">
        <w:trPr>
          <w:trHeight w:val="300"/>
        </w:trPr>
        <w:tc>
          <w:tcPr>
            <w:tcW w:w="2822" w:type="dxa"/>
            <w:tcBorders>
              <w:top w:val="nil"/>
              <w:left w:val="nil"/>
              <w:bottom w:val="nil"/>
              <w:right w:val="nil"/>
            </w:tcBorders>
            <w:noWrap/>
            <w:vAlign w:val="bottom"/>
            <w:hideMark/>
          </w:tcPr>
          <w:p w14:paraId="5C987CF0" w14:textId="77777777" w:rsidR="00AE3CC0" w:rsidRPr="00B6210E" w:rsidRDefault="00AE3CC0">
            <w:pPr>
              <w:spacing w:line="240" w:lineRule="auto"/>
              <w:rPr>
                <w:rFonts w:eastAsia="Times New Roman" w:cs="Arial"/>
                <w:szCs w:val="16"/>
                <w:lang w:eastAsia="en-GB"/>
              </w:rPr>
            </w:pPr>
            <w:r w:rsidRPr="00B6210E">
              <w:rPr>
                <w:rFonts w:eastAsia="Times New Roman" w:cs="Arial"/>
                <w:szCs w:val="16"/>
                <w:lang w:eastAsia="en-GB"/>
              </w:rPr>
              <w:t>Gross profit</w:t>
            </w:r>
          </w:p>
        </w:tc>
        <w:tc>
          <w:tcPr>
            <w:tcW w:w="261" w:type="dxa"/>
            <w:tcBorders>
              <w:top w:val="nil"/>
              <w:left w:val="nil"/>
              <w:bottom w:val="nil"/>
              <w:right w:val="nil"/>
            </w:tcBorders>
            <w:noWrap/>
            <w:vAlign w:val="bottom"/>
            <w:hideMark/>
          </w:tcPr>
          <w:p w14:paraId="60FDF7B3" w14:textId="77777777" w:rsidR="00AE3CC0" w:rsidRPr="00B6210E" w:rsidRDefault="00AE3CC0">
            <w:pPr>
              <w:spacing w:line="240" w:lineRule="auto"/>
              <w:rPr>
                <w:rFonts w:eastAsia="Times New Roman" w:cs="Arial"/>
                <w:szCs w:val="16"/>
                <w:lang w:eastAsia="en-GB"/>
              </w:rPr>
            </w:pPr>
          </w:p>
        </w:tc>
        <w:tc>
          <w:tcPr>
            <w:tcW w:w="743" w:type="dxa"/>
            <w:tcBorders>
              <w:top w:val="nil"/>
              <w:left w:val="nil"/>
              <w:bottom w:val="nil"/>
              <w:right w:val="nil"/>
            </w:tcBorders>
            <w:noWrap/>
            <w:vAlign w:val="bottom"/>
            <w:hideMark/>
          </w:tcPr>
          <w:p w14:paraId="0A14792E" w14:textId="77777777" w:rsidR="00AE3CC0" w:rsidRPr="00B6210E" w:rsidRDefault="00AE3CC0">
            <w:pPr>
              <w:spacing w:line="240" w:lineRule="auto"/>
              <w:rPr>
                <w:rFonts w:eastAsia="Times New Roman" w:cs="Arial"/>
                <w:szCs w:val="16"/>
                <w:lang w:eastAsia="en-GB"/>
              </w:rPr>
            </w:pPr>
          </w:p>
        </w:tc>
        <w:tc>
          <w:tcPr>
            <w:tcW w:w="919" w:type="dxa"/>
            <w:gridSpan w:val="2"/>
            <w:tcBorders>
              <w:top w:val="nil"/>
              <w:left w:val="nil"/>
              <w:bottom w:val="nil"/>
              <w:right w:val="nil"/>
            </w:tcBorders>
            <w:noWrap/>
            <w:vAlign w:val="bottom"/>
          </w:tcPr>
          <w:p w14:paraId="4E798372" w14:textId="77777777" w:rsidR="00AE3CC0" w:rsidRPr="00B6210E" w:rsidRDefault="00AE3CC0">
            <w:pPr>
              <w:spacing w:line="240" w:lineRule="auto"/>
              <w:jc w:val="center"/>
              <w:rPr>
                <w:rFonts w:eastAsia="Times New Roman" w:cs="Arial"/>
                <w:szCs w:val="16"/>
                <w:lang w:eastAsia="en-GB"/>
              </w:rPr>
            </w:pPr>
            <w:r w:rsidRPr="00B6210E">
              <w:rPr>
                <w:rFonts w:eastAsia="Times New Roman" w:cs="Arial"/>
                <w:szCs w:val="16"/>
                <w:lang w:eastAsia="en-GB"/>
              </w:rPr>
              <w:t>41.1</w:t>
            </w:r>
          </w:p>
        </w:tc>
        <w:tc>
          <w:tcPr>
            <w:tcW w:w="960" w:type="dxa"/>
            <w:tcBorders>
              <w:top w:val="nil"/>
              <w:left w:val="nil"/>
              <w:bottom w:val="nil"/>
              <w:right w:val="nil"/>
            </w:tcBorders>
            <w:noWrap/>
            <w:vAlign w:val="bottom"/>
          </w:tcPr>
          <w:p w14:paraId="26B48CEC" w14:textId="77777777" w:rsidR="00AE3CC0" w:rsidRPr="00B6210E" w:rsidRDefault="00AE3CC0">
            <w:pPr>
              <w:spacing w:line="240" w:lineRule="auto"/>
              <w:jc w:val="center"/>
              <w:rPr>
                <w:rFonts w:eastAsia="Times New Roman" w:cs="Arial"/>
                <w:szCs w:val="16"/>
                <w:lang w:eastAsia="en-GB"/>
              </w:rPr>
            </w:pPr>
            <w:r w:rsidRPr="00B6210E">
              <w:rPr>
                <w:rFonts w:eastAsia="Times New Roman" w:cs="Arial"/>
                <w:szCs w:val="16"/>
                <w:lang w:eastAsia="en-GB"/>
              </w:rPr>
              <w:t>0.8</w:t>
            </w:r>
          </w:p>
        </w:tc>
        <w:tc>
          <w:tcPr>
            <w:tcW w:w="901" w:type="dxa"/>
            <w:tcBorders>
              <w:top w:val="nil"/>
              <w:left w:val="nil"/>
              <w:bottom w:val="nil"/>
              <w:right w:val="nil"/>
            </w:tcBorders>
            <w:noWrap/>
            <w:vAlign w:val="bottom"/>
          </w:tcPr>
          <w:p w14:paraId="778F11C6" w14:textId="77777777" w:rsidR="00AE3CC0" w:rsidRPr="00B6210E" w:rsidRDefault="00AE3CC0">
            <w:pPr>
              <w:spacing w:line="240" w:lineRule="auto"/>
              <w:jc w:val="center"/>
              <w:rPr>
                <w:rFonts w:eastAsia="Times New Roman" w:cs="Arial"/>
                <w:szCs w:val="16"/>
                <w:lang w:eastAsia="en-GB"/>
              </w:rPr>
            </w:pPr>
            <w:r w:rsidRPr="00B6210E">
              <w:rPr>
                <w:rFonts w:eastAsia="Times New Roman" w:cs="Arial"/>
                <w:szCs w:val="16"/>
                <w:lang w:eastAsia="en-GB"/>
              </w:rPr>
              <w:t>41.9</w:t>
            </w:r>
          </w:p>
        </w:tc>
        <w:tc>
          <w:tcPr>
            <w:tcW w:w="236" w:type="dxa"/>
            <w:tcBorders>
              <w:top w:val="nil"/>
              <w:left w:val="nil"/>
              <w:bottom w:val="nil"/>
              <w:right w:val="nil"/>
            </w:tcBorders>
            <w:noWrap/>
            <w:vAlign w:val="bottom"/>
          </w:tcPr>
          <w:p w14:paraId="46A9C32E" w14:textId="77777777" w:rsidR="00AE3CC0" w:rsidRPr="00B6210E" w:rsidRDefault="00AE3CC0">
            <w:pPr>
              <w:spacing w:line="240" w:lineRule="auto"/>
              <w:jc w:val="center"/>
              <w:rPr>
                <w:rFonts w:eastAsia="Times New Roman" w:cs="Arial"/>
                <w:szCs w:val="16"/>
                <w:lang w:eastAsia="en-GB"/>
              </w:rPr>
            </w:pPr>
          </w:p>
        </w:tc>
        <w:tc>
          <w:tcPr>
            <w:tcW w:w="991" w:type="dxa"/>
            <w:gridSpan w:val="2"/>
            <w:tcBorders>
              <w:top w:val="nil"/>
              <w:left w:val="nil"/>
              <w:bottom w:val="nil"/>
              <w:right w:val="nil"/>
            </w:tcBorders>
            <w:noWrap/>
            <w:vAlign w:val="bottom"/>
          </w:tcPr>
          <w:p w14:paraId="79B18510" w14:textId="77777777" w:rsidR="00AE3CC0" w:rsidRPr="00910E05" w:rsidRDefault="00AE3CC0">
            <w:pPr>
              <w:spacing w:line="240" w:lineRule="auto"/>
              <w:jc w:val="center"/>
              <w:rPr>
                <w:rFonts w:eastAsia="Times New Roman" w:cs="Arial"/>
                <w:b/>
                <w:bCs/>
                <w:szCs w:val="16"/>
                <w:lang w:eastAsia="en-GB"/>
              </w:rPr>
            </w:pPr>
            <w:r>
              <w:rPr>
                <w:rFonts w:cs="Arial"/>
                <w:color w:val="000000"/>
                <w:szCs w:val="16"/>
              </w:rPr>
              <w:t xml:space="preserve">48.4 </w:t>
            </w:r>
          </w:p>
        </w:tc>
        <w:tc>
          <w:tcPr>
            <w:tcW w:w="992" w:type="dxa"/>
            <w:tcBorders>
              <w:top w:val="nil"/>
              <w:left w:val="nil"/>
              <w:bottom w:val="nil"/>
              <w:right w:val="nil"/>
            </w:tcBorders>
            <w:noWrap/>
            <w:vAlign w:val="bottom"/>
          </w:tcPr>
          <w:p w14:paraId="2A4AB059" w14:textId="77777777" w:rsidR="00AE3CC0" w:rsidRPr="00910E05" w:rsidRDefault="00AE3CC0">
            <w:pPr>
              <w:spacing w:line="240" w:lineRule="auto"/>
              <w:jc w:val="center"/>
              <w:rPr>
                <w:rFonts w:eastAsia="Times New Roman" w:cs="Arial"/>
                <w:b/>
                <w:bCs/>
                <w:szCs w:val="16"/>
                <w:lang w:eastAsia="en-GB"/>
              </w:rPr>
            </w:pPr>
            <w:r>
              <w:rPr>
                <w:rFonts w:cs="Arial"/>
                <w:color w:val="000000"/>
                <w:szCs w:val="16"/>
              </w:rPr>
              <w:t xml:space="preserve">1.1 </w:t>
            </w:r>
          </w:p>
        </w:tc>
        <w:tc>
          <w:tcPr>
            <w:tcW w:w="992" w:type="dxa"/>
            <w:tcBorders>
              <w:top w:val="nil"/>
              <w:left w:val="nil"/>
              <w:bottom w:val="nil"/>
              <w:right w:val="nil"/>
            </w:tcBorders>
            <w:noWrap/>
            <w:vAlign w:val="bottom"/>
          </w:tcPr>
          <w:p w14:paraId="0E5C11CA" w14:textId="77777777" w:rsidR="00AE3CC0" w:rsidRPr="00910E05" w:rsidRDefault="00AE3CC0">
            <w:pPr>
              <w:spacing w:line="240" w:lineRule="auto"/>
              <w:jc w:val="center"/>
              <w:rPr>
                <w:rFonts w:eastAsia="Times New Roman" w:cs="Arial"/>
                <w:b/>
                <w:bCs/>
                <w:szCs w:val="16"/>
                <w:lang w:eastAsia="en-GB"/>
              </w:rPr>
            </w:pPr>
            <w:r>
              <w:rPr>
                <w:rFonts w:cs="Arial"/>
                <w:color w:val="000000"/>
                <w:szCs w:val="16"/>
              </w:rPr>
              <w:t xml:space="preserve">49.5 </w:t>
            </w:r>
          </w:p>
        </w:tc>
      </w:tr>
      <w:tr w:rsidR="00AE3CC0" w:rsidRPr="001A0FEC" w14:paraId="5BAEA728" w14:textId="77777777">
        <w:trPr>
          <w:trHeight w:val="300"/>
        </w:trPr>
        <w:tc>
          <w:tcPr>
            <w:tcW w:w="2822" w:type="dxa"/>
            <w:tcBorders>
              <w:top w:val="nil"/>
              <w:left w:val="nil"/>
              <w:bottom w:val="nil"/>
              <w:right w:val="nil"/>
            </w:tcBorders>
            <w:noWrap/>
            <w:vAlign w:val="bottom"/>
            <w:hideMark/>
          </w:tcPr>
          <w:p w14:paraId="47EEE06A" w14:textId="77777777" w:rsidR="00AE3CC0" w:rsidRPr="00B6210E" w:rsidRDefault="00AE3CC0">
            <w:pPr>
              <w:spacing w:line="240" w:lineRule="auto"/>
              <w:rPr>
                <w:rFonts w:eastAsia="Times New Roman" w:cs="Arial"/>
                <w:szCs w:val="16"/>
                <w:lang w:eastAsia="en-GB"/>
              </w:rPr>
            </w:pPr>
            <w:r w:rsidRPr="00B6210E">
              <w:rPr>
                <w:rFonts w:eastAsia="Times New Roman" w:cs="Arial"/>
                <w:szCs w:val="16"/>
                <w:lang w:eastAsia="en-GB"/>
              </w:rPr>
              <w:t>Overheads</w:t>
            </w:r>
          </w:p>
        </w:tc>
        <w:tc>
          <w:tcPr>
            <w:tcW w:w="261" w:type="dxa"/>
            <w:tcBorders>
              <w:top w:val="nil"/>
              <w:left w:val="nil"/>
              <w:bottom w:val="nil"/>
              <w:right w:val="nil"/>
            </w:tcBorders>
            <w:noWrap/>
            <w:vAlign w:val="bottom"/>
            <w:hideMark/>
          </w:tcPr>
          <w:p w14:paraId="3224159B" w14:textId="77777777" w:rsidR="00AE3CC0" w:rsidRPr="00B6210E" w:rsidRDefault="00AE3CC0">
            <w:pPr>
              <w:spacing w:line="240" w:lineRule="auto"/>
              <w:rPr>
                <w:rFonts w:eastAsia="Times New Roman" w:cs="Arial"/>
                <w:szCs w:val="16"/>
                <w:lang w:eastAsia="en-GB"/>
              </w:rPr>
            </w:pPr>
          </w:p>
        </w:tc>
        <w:tc>
          <w:tcPr>
            <w:tcW w:w="743" w:type="dxa"/>
            <w:tcBorders>
              <w:top w:val="nil"/>
              <w:left w:val="nil"/>
              <w:bottom w:val="nil"/>
              <w:right w:val="nil"/>
            </w:tcBorders>
            <w:noWrap/>
            <w:vAlign w:val="bottom"/>
            <w:hideMark/>
          </w:tcPr>
          <w:p w14:paraId="2D5D9FA5" w14:textId="77777777" w:rsidR="00AE3CC0" w:rsidRPr="00B6210E" w:rsidRDefault="00AE3CC0">
            <w:pPr>
              <w:spacing w:line="240" w:lineRule="auto"/>
              <w:rPr>
                <w:rFonts w:eastAsia="Times New Roman" w:cs="Arial"/>
                <w:szCs w:val="16"/>
                <w:lang w:eastAsia="en-GB"/>
              </w:rPr>
            </w:pPr>
          </w:p>
        </w:tc>
        <w:tc>
          <w:tcPr>
            <w:tcW w:w="919" w:type="dxa"/>
            <w:gridSpan w:val="2"/>
            <w:tcBorders>
              <w:top w:val="nil"/>
              <w:left w:val="nil"/>
              <w:bottom w:val="single" w:sz="4" w:space="0" w:color="auto"/>
              <w:right w:val="nil"/>
            </w:tcBorders>
            <w:noWrap/>
            <w:vAlign w:val="bottom"/>
          </w:tcPr>
          <w:p w14:paraId="7BC24997" w14:textId="555945CF" w:rsidR="00AE3CC0" w:rsidRPr="00B6210E" w:rsidRDefault="00AE3CC0">
            <w:pPr>
              <w:spacing w:line="240" w:lineRule="auto"/>
              <w:jc w:val="center"/>
              <w:rPr>
                <w:rFonts w:eastAsia="Times New Roman" w:cs="Arial"/>
                <w:szCs w:val="16"/>
                <w:lang w:eastAsia="en-GB"/>
              </w:rPr>
            </w:pPr>
            <w:r w:rsidRPr="00B6210E">
              <w:rPr>
                <w:rFonts w:eastAsia="Times New Roman" w:cs="Arial"/>
                <w:szCs w:val="16"/>
                <w:lang w:eastAsia="en-GB"/>
              </w:rPr>
              <w:t>(</w:t>
            </w:r>
            <w:r w:rsidR="00EA2CA6">
              <w:rPr>
                <w:rFonts w:eastAsia="Times New Roman" w:cs="Arial"/>
                <w:szCs w:val="16"/>
                <w:lang w:eastAsia="en-GB"/>
              </w:rPr>
              <w:t>33.6</w:t>
            </w:r>
            <w:r w:rsidRPr="00B6210E">
              <w:rPr>
                <w:rFonts w:eastAsia="Times New Roman" w:cs="Arial"/>
                <w:szCs w:val="16"/>
                <w:lang w:eastAsia="en-GB"/>
              </w:rPr>
              <w:t>)</w:t>
            </w:r>
          </w:p>
        </w:tc>
        <w:tc>
          <w:tcPr>
            <w:tcW w:w="960" w:type="dxa"/>
            <w:tcBorders>
              <w:top w:val="nil"/>
              <w:left w:val="nil"/>
              <w:bottom w:val="single" w:sz="4" w:space="0" w:color="auto"/>
              <w:right w:val="nil"/>
            </w:tcBorders>
            <w:noWrap/>
            <w:vAlign w:val="bottom"/>
          </w:tcPr>
          <w:p w14:paraId="678E1F16" w14:textId="5CD7F55B" w:rsidR="00AE3CC0" w:rsidRPr="00B6210E" w:rsidRDefault="00984D51">
            <w:pPr>
              <w:spacing w:line="240" w:lineRule="auto"/>
              <w:jc w:val="center"/>
              <w:rPr>
                <w:rFonts w:eastAsia="Times New Roman" w:cs="Arial"/>
                <w:szCs w:val="16"/>
                <w:lang w:eastAsia="en-GB"/>
              </w:rPr>
            </w:pPr>
            <w:r>
              <w:rPr>
                <w:rFonts w:eastAsia="Times New Roman" w:cs="Arial"/>
                <w:szCs w:val="16"/>
                <w:lang w:eastAsia="en-GB"/>
              </w:rPr>
              <w:t>1.3</w:t>
            </w:r>
          </w:p>
        </w:tc>
        <w:tc>
          <w:tcPr>
            <w:tcW w:w="901" w:type="dxa"/>
            <w:tcBorders>
              <w:top w:val="nil"/>
              <w:left w:val="nil"/>
              <w:bottom w:val="single" w:sz="4" w:space="0" w:color="auto"/>
              <w:right w:val="nil"/>
            </w:tcBorders>
            <w:noWrap/>
            <w:vAlign w:val="bottom"/>
          </w:tcPr>
          <w:p w14:paraId="524B8B4C" w14:textId="63EC981F" w:rsidR="00AE3CC0" w:rsidRPr="00B6210E" w:rsidRDefault="00AE3CC0">
            <w:pPr>
              <w:spacing w:line="240" w:lineRule="auto"/>
              <w:jc w:val="center"/>
              <w:rPr>
                <w:rFonts w:eastAsia="Times New Roman" w:cs="Arial"/>
                <w:szCs w:val="16"/>
                <w:lang w:eastAsia="en-GB"/>
              </w:rPr>
            </w:pPr>
            <w:r w:rsidRPr="00B6210E">
              <w:rPr>
                <w:rFonts w:eastAsia="Times New Roman" w:cs="Arial"/>
                <w:szCs w:val="16"/>
                <w:lang w:eastAsia="en-GB"/>
              </w:rPr>
              <w:t>(32.</w:t>
            </w:r>
            <w:r w:rsidRPr="00B6210E" w:rsidDel="00332EA6">
              <w:rPr>
                <w:rFonts w:eastAsia="Times New Roman" w:cs="Arial"/>
                <w:szCs w:val="16"/>
                <w:lang w:eastAsia="en-GB"/>
              </w:rPr>
              <w:t>3</w:t>
            </w:r>
            <w:r w:rsidRPr="00B6210E">
              <w:rPr>
                <w:rFonts w:eastAsia="Times New Roman" w:cs="Arial"/>
                <w:szCs w:val="16"/>
                <w:lang w:eastAsia="en-GB"/>
              </w:rPr>
              <w:t>)</w:t>
            </w:r>
          </w:p>
        </w:tc>
        <w:tc>
          <w:tcPr>
            <w:tcW w:w="236" w:type="dxa"/>
            <w:tcBorders>
              <w:top w:val="nil"/>
              <w:left w:val="nil"/>
              <w:bottom w:val="nil"/>
              <w:right w:val="nil"/>
            </w:tcBorders>
            <w:noWrap/>
            <w:vAlign w:val="bottom"/>
          </w:tcPr>
          <w:p w14:paraId="372BC990" w14:textId="77777777" w:rsidR="00AE3CC0" w:rsidRPr="00B6210E" w:rsidRDefault="00AE3CC0">
            <w:pPr>
              <w:spacing w:line="240" w:lineRule="auto"/>
              <w:jc w:val="center"/>
              <w:rPr>
                <w:rFonts w:eastAsia="Times New Roman" w:cs="Arial"/>
                <w:szCs w:val="16"/>
                <w:lang w:eastAsia="en-GB"/>
              </w:rPr>
            </w:pPr>
          </w:p>
        </w:tc>
        <w:tc>
          <w:tcPr>
            <w:tcW w:w="991" w:type="dxa"/>
            <w:gridSpan w:val="2"/>
            <w:tcBorders>
              <w:top w:val="nil"/>
              <w:left w:val="nil"/>
              <w:bottom w:val="nil"/>
              <w:right w:val="nil"/>
            </w:tcBorders>
            <w:noWrap/>
            <w:vAlign w:val="bottom"/>
          </w:tcPr>
          <w:p w14:paraId="25E062D2" w14:textId="66749E11" w:rsidR="00AE3CC0" w:rsidRPr="00910E05" w:rsidRDefault="00AE3CC0">
            <w:pPr>
              <w:spacing w:line="240" w:lineRule="auto"/>
              <w:jc w:val="center"/>
              <w:rPr>
                <w:rFonts w:eastAsia="Times New Roman" w:cs="Arial"/>
                <w:b/>
                <w:bCs/>
                <w:szCs w:val="16"/>
                <w:lang w:eastAsia="en-GB"/>
              </w:rPr>
            </w:pPr>
            <w:r>
              <w:rPr>
                <w:rFonts w:cs="Arial"/>
                <w:color w:val="000000"/>
                <w:szCs w:val="16"/>
              </w:rPr>
              <w:t>(38.</w:t>
            </w:r>
            <w:r w:rsidR="00111FEF">
              <w:rPr>
                <w:rFonts w:cs="Arial"/>
                <w:color w:val="000000"/>
                <w:szCs w:val="16"/>
              </w:rPr>
              <w:t>1</w:t>
            </w:r>
            <w:r>
              <w:rPr>
                <w:rFonts w:cs="Arial"/>
                <w:color w:val="000000"/>
                <w:szCs w:val="16"/>
              </w:rPr>
              <w:t>)</w:t>
            </w:r>
          </w:p>
        </w:tc>
        <w:tc>
          <w:tcPr>
            <w:tcW w:w="992" w:type="dxa"/>
            <w:tcBorders>
              <w:top w:val="nil"/>
              <w:left w:val="nil"/>
              <w:bottom w:val="nil"/>
              <w:right w:val="nil"/>
            </w:tcBorders>
            <w:noWrap/>
            <w:vAlign w:val="bottom"/>
          </w:tcPr>
          <w:p w14:paraId="2C3BCD09" w14:textId="77777777" w:rsidR="00AE3CC0" w:rsidRPr="00910E05" w:rsidRDefault="00AE3CC0">
            <w:pPr>
              <w:spacing w:line="240" w:lineRule="auto"/>
              <w:jc w:val="center"/>
              <w:rPr>
                <w:rFonts w:eastAsia="Times New Roman" w:cs="Arial"/>
                <w:b/>
                <w:bCs/>
                <w:szCs w:val="16"/>
                <w:lang w:eastAsia="en-GB"/>
              </w:rPr>
            </w:pPr>
            <w:r>
              <w:rPr>
                <w:rFonts w:cs="Arial"/>
                <w:color w:val="000000"/>
                <w:szCs w:val="16"/>
              </w:rPr>
              <w:t xml:space="preserve">4.6 </w:t>
            </w:r>
          </w:p>
        </w:tc>
        <w:tc>
          <w:tcPr>
            <w:tcW w:w="992" w:type="dxa"/>
            <w:tcBorders>
              <w:top w:val="nil"/>
              <w:left w:val="nil"/>
              <w:bottom w:val="nil"/>
              <w:right w:val="nil"/>
            </w:tcBorders>
            <w:noWrap/>
            <w:vAlign w:val="bottom"/>
          </w:tcPr>
          <w:p w14:paraId="0D359555" w14:textId="22E0CF2A" w:rsidR="00AE3CC0" w:rsidRPr="00910E05" w:rsidRDefault="00AE3CC0">
            <w:pPr>
              <w:spacing w:line="240" w:lineRule="auto"/>
              <w:jc w:val="center"/>
              <w:rPr>
                <w:rFonts w:eastAsia="Times New Roman" w:cs="Arial"/>
                <w:b/>
                <w:bCs/>
                <w:szCs w:val="16"/>
                <w:lang w:eastAsia="en-GB"/>
              </w:rPr>
            </w:pPr>
            <w:r>
              <w:rPr>
                <w:rFonts w:cs="Arial"/>
                <w:color w:val="000000"/>
                <w:szCs w:val="16"/>
              </w:rPr>
              <w:t>(33.</w:t>
            </w:r>
            <w:r w:rsidR="004C5703">
              <w:rPr>
                <w:rFonts w:cs="Arial"/>
                <w:color w:val="000000"/>
                <w:szCs w:val="16"/>
              </w:rPr>
              <w:t>5</w:t>
            </w:r>
            <w:r>
              <w:rPr>
                <w:rFonts w:cs="Arial"/>
                <w:color w:val="000000"/>
                <w:szCs w:val="16"/>
              </w:rPr>
              <w:t>)</w:t>
            </w:r>
          </w:p>
        </w:tc>
      </w:tr>
      <w:tr w:rsidR="00AE3CC0" w:rsidRPr="001A0FEC" w14:paraId="2E8C15D4" w14:textId="77777777">
        <w:trPr>
          <w:trHeight w:val="300"/>
        </w:trPr>
        <w:tc>
          <w:tcPr>
            <w:tcW w:w="2822" w:type="dxa"/>
            <w:tcBorders>
              <w:top w:val="single" w:sz="4" w:space="0" w:color="auto"/>
              <w:left w:val="nil"/>
              <w:bottom w:val="nil"/>
              <w:right w:val="nil"/>
            </w:tcBorders>
            <w:noWrap/>
            <w:vAlign w:val="bottom"/>
            <w:hideMark/>
          </w:tcPr>
          <w:p w14:paraId="564F9C18" w14:textId="77777777" w:rsidR="00AE3CC0" w:rsidRPr="00B6210E" w:rsidRDefault="00AE3CC0">
            <w:pPr>
              <w:spacing w:line="240" w:lineRule="auto"/>
              <w:rPr>
                <w:rFonts w:eastAsia="Times New Roman" w:cs="Arial"/>
                <w:b/>
                <w:bCs/>
                <w:szCs w:val="16"/>
                <w:lang w:eastAsia="en-GB"/>
              </w:rPr>
            </w:pPr>
            <w:r w:rsidRPr="00B6210E">
              <w:rPr>
                <w:rFonts w:eastAsia="Times New Roman" w:cs="Arial"/>
                <w:b/>
                <w:bCs/>
                <w:szCs w:val="16"/>
                <w:lang w:eastAsia="en-GB"/>
              </w:rPr>
              <w:t>Operating profit</w:t>
            </w:r>
          </w:p>
        </w:tc>
        <w:tc>
          <w:tcPr>
            <w:tcW w:w="261" w:type="dxa"/>
            <w:tcBorders>
              <w:top w:val="single" w:sz="4" w:space="0" w:color="auto"/>
              <w:left w:val="nil"/>
              <w:bottom w:val="nil"/>
              <w:right w:val="nil"/>
            </w:tcBorders>
            <w:noWrap/>
            <w:vAlign w:val="bottom"/>
            <w:hideMark/>
          </w:tcPr>
          <w:p w14:paraId="47243A82" w14:textId="77777777" w:rsidR="00AE3CC0" w:rsidRPr="00B6210E" w:rsidRDefault="00AE3CC0">
            <w:pPr>
              <w:spacing w:line="240" w:lineRule="auto"/>
              <w:rPr>
                <w:rFonts w:eastAsia="Times New Roman" w:cs="Arial"/>
                <w:b/>
                <w:bCs/>
                <w:szCs w:val="16"/>
                <w:lang w:eastAsia="en-GB"/>
              </w:rPr>
            </w:pPr>
            <w:r w:rsidRPr="00B6210E">
              <w:rPr>
                <w:rFonts w:eastAsia="Times New Roman" w:cs="Arial"/>
                <w:b/>
                <w:bCs/>
                <w:szCs w:val="16"/>
                <w:lang w:eastAsia="en-GB"/>
              </w:rPr>
              <w:t> </w:t>
            </w:r>
          </w:p>
        </w:tc>
        <w:tc>
          <w:tcPr>
            <w:tcW w:w="743" w:type="dxa"/>
            <w:tcBorders>
              <w:top w:val="single" w:sz="4" w:space="0" w:color="auto"/>
              <w:left w:val="nil"/>
              <w:bottom w:val="nil"/>
              <w:right w:val="nil"/>
            </w:tcBorders>
            <w:noWrap/>
            <w:vAlign w:val="bottom"/>
            <w:hideMark/>
          </w:tcPr>
          <w:p w14:paraId="53E55562" w14:textId="77777777" w:rsidR="00AE3CC0" w:rsidRPr="00B6210E" w:rsidRDefault="00AE3CC0">
            <w:pPr>
              <w:spacing w:line="240" w:lineRule="auto"/>
              <w:rPr>
                <w:rFonts w:eastAsia="Times New Roman" w:cs="Arial"/>
                <w:b/>
                <w:bCs/>
                <w:szCs w:val="16"/>
                <w:lang w:eastAsia="en-GB"/>
              </w:rPr>
            </w:pPr>
            <w:r w:rsidRPr="00B6210E">
              <w:rPr>
                <w:rFonts w:eastAsia="Times New Roman" w:cs="Arial"/>
                <w:b/>
                <w:bCs/>
                <w:szCs w:val="16"/>
                <w:lang w:eastAsia="en-GB"/>
              </w:rPr>
              <w:t> </w:t>
            </w:r>
          </w:p>
        </w:tc>
        <w:tc>
          <w:tcPr>
            <w:tcW w:w="919" w:type="dxa"/>
            <w:gridSpan w:val="2"/>
            <w:tcBorders>
              <w:top w:val="nil"/>
              <w:left w:val="nil"/>
              <w:bottom w:val="nil"/>
              <w:right w:val="nil"/>
            </w:tcBorders>
            <w:noWrap/>
            <w:vAlign w:val="bottom"/>
          </w:tcPr>
          <w:p w14:paraId="2009675F" w14:textId="1454FA32" w:rsidR="00AE3CC0" w:rsidRPr="006C3284" w:rsidRDefault="00EA2CA6">
            <w:pPr>
              <w:spacing w:line="240" w:lineRule="auto"/>
              <w:jc w:val="center"/>
              <w:rPr>
                <w:rFonts w:eastAsia="Times New Roman" w:cs="Arial"/>
                <w:b/>
                <w:bCs/>
                <w:szCs w:val="16"/>
                <w:lang w:eastAsia="en-GB"/>
              </w:rPr>
            </w:pPr>
            <w:r>
              <w:rPr>
                <w:rFonts w:eastAsia="Times New Roman" w:cs="Arial"/>
                <w:b/>
                <w:bCs/>
                <w:szCs w:val="16"/>
                <w:lang w:eastAsia="en-GB"/>
              </w:rPr>
              <w:t>7.5</w:t>
            </w:r>
          </w:p>
        </w:tc>
        <w:tc>
          <w:tcPr>
            <w:tcW w:w="960" w:type="dxa"/>
            <w:tcBorders>
              <w:top w:val="nil"/>
              <w:left w:val="nil"/>
              <w:bottom w:val="nil"/>
              <w:right w:val="nil"/>
            </w:tcBorders>
            <w:noWrap/>
            <w:vAlign w:val="bottom"/>
          </w:tcPr>
          <w:p w14:paraId="23CF6807" w14:textId="1B0F0810" w:rsidR="00AE3CC0" w:rsidRPr="006C3284" w:rsidRDefault="00984D51">
            <w:pPr>
              <w:spacing w:line="240" w:lineRule="auto"/>
              <w:jc w:val="center"/>
              <w:rPr>
                <w:rFonts w:eastAsia="Times New Roman" w:cs="Arial"/>
                <w:b/>
                <w:bCs/>
                <w:szCs w:val="16"/>
                <w:lang w:eastAsia="en-GB"/>
              </w:rPr>
            </w:pPr>
            <w:r>
              <w:rPr>
                <w:rFonts w:eastAsia="Times New Roman" w:cs="Arial"/>
                <w:b/>
                <w:bCs/>
                <w:szCs w:val="16"/>
                <w:lang w:eastAsia="en-GB"/>
              </w:rPr>
              <w:t>2.1</w:t>
            </w:r>
          </w:p>
        </w:tc>
        <w:tc>
          <w:tcPr>
            <w:tcW w:w="901" w:type="dxa"/>
            <w:tcBorders>
              <w:top w:val="nil"/>
              <w:left w:val="nil"/>
              <w:bottom w:val="nil"/>
              <w:right w:val="nil"/>
            </w:tcBorders>
            <w:noWrap/>
            <w:vAlign w:val="bottom"/>
          </w:tcPr>
          <w:p w14:paraId="66D69714" w14:textId="2AB5149F" w:rsidR="00AE3CC0" w:rsidRPr="006C3284" w:rsidRDefault="00AE3CC0">
            <w:pPr>
              <w:spacing w:line="240" w:lineRule="auto"/>
              <w:jc w:val="center"/>
              <w:rPr>
                <w:rFonts w:eastAsia="Times New Roman" w:cs="Arial"/>
                <w:b/>
                <w:bCs/>
                <w:szCs w:val="16"/>
                <w:lang w:eastAsia="en-GB"/>
              </w:rPr>
            </w:pPr>
            <w:r w:rsidRPr="006C3284">
              <w:rPr>
                <w:rFonts w:eastAsia="Times New Roman" w:cs="Arial"/>
                <w:b/>
                <w:bCs/>
                <w:szCs w:val="16"/>
                <w:lang w:eastAsia="en-GB"/>
              </w:rPr>
              <w:t>9.</w:t>
            </w:r>
            <w:r w:rsidRPr="006C3284" w:rsidDel="001F0852">
              <w:rPr>
                <w:rFonts w:eastAsia="Times New Roman" w:cs="Arial"/>
                <w:b/>
                <w:bCs/>
                <w:szCs w:val="16"/>
                <w:lang w:eastAsia="en-GB"/>
              </w:rPr>
              <w:t>6</w:t>
            </w:r>
          </w:p>
        </w:tc>
        <w:tc>
          <w:tcPr>
            <w:tcW w:w="236" w:type="dxa"/>
            <w:tcBorders>
              <w:top w:val="nil"/>
              <w:left w:val="nil"/>
              <w:bottom w:val="nil"/>
              <w:right w:val="nil"/>
            </w:tcBorders>
            <w:noWrap/>
            <w:vAlign w:val="bottom"/>
          </w:tcPr>
          <w:p w14:paraId="516EBF7E" w14:textId="77777777" w:rsidR="00AE3CC0" w:rsidRPr="00B6210E" w:rsidRDefault="00AE3CC0">
            <w:pPr>
              <w:spacing w:line="240" w:lineRule="auto"/>
              <w:jc w:val="center"/>
              <w:rPr>
                <w:rFonts w:eastAsia="Times New Roman" w:cs="Arial"/>
                <w:szCs w:val="16"/>
                <w:lang w:eastAsia="en-GB"/>
              </w:rPr>
            </w:pPr>
          </w:p>
        </w:tc>
        <w:tc>
          <w:tcPr>
            <w:tcW w:w="991" w:type="dxa"/>
            <w:gridSpan w:val="2"/>
            <w:tcBorders>
              <w:top w:val="single" w:sz="4" w:space="0" w:color="auto"/>
              <w:left w:val="nil"/>
              <w:bottom w:val="nil"/>
              <w:right w:val="nil"/>
            </w:tcBorders>
            <w:noWrap/>
            <w:vAlign w:val="bottom"/>
          </w:tcPr>
          <w:p w14:paraId="20B52DD3" w14:textId="257841B2" w:rsidR="00AE3CC0" w:rsidRPr="00B6210E" w:rsidRDefault="00AE3CC0">
            <w:pPr>
              <w:spacing w:line="240" w:lineRule="auto"/>
              <w:jc w:val="center"/>
              <w:rPr>
                <w:rFonts w:eastAsia="Times New Roman" w:cs="Arial"/>
                <w:szCs w:val="16"/>
                <w:lang w:eastAsia="en-GB"/>
              </w:rPr>
            </w:pPr>
            <w:r>
              <w:rPr>
                <w:rFonts w:cs="Arial"/>
                <w:b/>
                <w:bCs/>
                <w:color w:val="000000"/>
                <w:szCs w:val="16"/>
              </w:rPr>
              <w:t>10.</w:t>
            </w:r>
            <w:r w:rsidR="00A171E4">
              <w:rPr>
                <w:rFonts w:cs="Arial"/>
                <w:b/>
                <w:bCs/>
                <w:color w:val="000000"/>
                <w:szCs w:val="16"/>
              </w:rPr>
              <w:t>3</w:t>
            </w:r>
            <w:r>
              <w:rPr>
                <w:rFonts w:cs="Arial"/>
                <w:b/>
                <w:bCs/>
                <w:color w:val="000000"/>
                <w:szCs w:val="16"/>
              </w:rPr>
              <w:t xml:space="preserve"> </w:t>
            </w:r>
          </w:p>
        </w:tc>
        <w:tc>
          <w:tcPr>
            <w:tcW w:w="992" w:type="dxa"/>
            <w:tcBorders>
              <w:top w:val="single" w:sz="4" w:space="0" w:color="auto"/>
              <w:left w:val="nil"/>
              <w:bottom w:val="nil"/>
              <w:right w:val="nil"/>
            </w:tcBorders>
            <w:noWrap/>
            <w:vAlign w:val="bottom"/>
          </w:tcPr>
          <w:p w14:paraId="61ABC474" w14:textId="77777777" w:rsidR="00AE3CC0" w:rsidRPr="00B6210E" w:rsidRDefault="00AE3CC0">
            <w:pPr>
              <w:spacing w:line="240" w:lineRule="auto"/>
              <w:jc w:val="center"/>
              <w:rPr>
                <w:rFonts w:eastAsia="Times New Roman" w:cs="Arial"/>
                <w:szCs w:val="16"/>
                <w:lang w:eastAsia="en-GB"/>
              </w:rPr>
            </w:pPr>
            <w:r>
              <w:rPr>
                <w:rFonts w:cs="Arial"/>
                <w:b/>
                <w:bCs/>
                <w:color w:val="000000"/>
                <w:szCs w:val="16"/>
              </w:rPr>
              <w:t xml:space="preserve">5.7 </w:t>
            </w:r>
          </w:p>
        </w:tc>
        <w:tc>
          <w:tcPr>
            <w:tcW w:w="992" w:type="dxa"/>
            <w:tcBorders>
              <w:top w:val="single" w:sz="4" w:space="0" w:color="auto"/>
              <w:left w:val="nil"/>
              <w:bottom w:val="nil"/>
              <w:right w:val="nil"/>
            </w:tcBorders>
            <w:noWrap/>
            <w:vAlign w:val="bottom"/>
          </w:tcPr>
          <w:p w14:paraId="159C76F3" w14:textId="117D0F6D" w:rsidR="00AE3CC0" w:rsidRPr="00B6210E" w:rsidRDefault="00AE3CC0">
            <w:pPr>
              <w:spacing w:line="240" w:lineRule="auto"/>
              <w:jc w:val="center"/>
              <w:rPr>
                <w:rFonts w:eastAsia="Times New Roman" w:cs="Arial"/>
                <w:szCs w:val="16"/>
                <w:lang w:eastAsia="en-GB"/>
              </w:rPr>
            </w:pPr>
            <w:r>
              <w:rPr>
                <w:rFonts w:cs="Arial"/>
                <w:b/>
                <w:bCs/>
                <w:color w:val="000000"/>
                <w:szCs w:val="16"/>
              </w:rPr>
              <w:t>1</w:t>
            </w:r>
            <w:r w:rsidR="004C5703">
              <w:rPr>
                <w:rFonts w:cs="Arial"/>
                <w:b/>
                <w:bCs/>
                <w:color w:val="000000"/>
                <w:szCs w:val="16"/>
              </w:rPr>
              <w:t>6.0</w:t>
            </w:r>
            <w:r>
              <w:rPr>
                <w:rFonts w:cs="Arial"/>
                <w:b/>
                <w:bCs/>
                <w:color w:val="000000"/>
                <w:szCs w:val="16"/>
              </w:rPr>
              <w:t xml:space="preserve"> </w:t>
            </w:r>
          </w:p>
        </w:tc>
      </w:tr>
      <w:tr w:rsidR="00AE3CC0" w:rsidRPr="001A0FEC" w14:paraId="0F6ABE23" w14:textId="77777777">
        <w:trPr>
          <w:trHeight w:val="300"/>
        </w:trPr>
        <w:tc>
          <w:tcPr>
            <w:tcW w:w="3083" w:type="dxa"/>
            <w:gridSpan w:val="2"/>
            <w:tcBorders>
              <w:top w:val="nil"/>
              <w:left w:val="nil"/>
              <w:bottom w:val="nil"/>
              <w:right w:val="nil"/>
            </w:tcBorders>
            <w:noWrap/>
            <w:vAlign w:val="bottom"/>
            <w:hideMark/>
          </w:tcPr>
          <w:p w14:paraId="4F2E3FC7" w14:textId="77777777" w:rsidR="00AE3CC0" w:rsidRPr="002E510D" w:rsidRDefault="00AE3CC0">
            <w:pPr>
              <w:spacing w:line="240" w:lineRule="auto"/>
              <w:rPr>
                <w:rFonts w:eastAsia="Times New Roman" w:cs="Arial"/>
                <w:szCs w:val="16"/>
                <w:lang w:eastAsia="en-GB"/>
              </w:rPr>
            </w:pPr>
            <w:r w:rsidRPr="002E510D">
              <w:rPr>
                <w:rFonts w:eastAsia="Times New Roman" w:cs="Arial"/>
                <w:szCs w:val="16"/>
                <w:lang w:eastAsia="en-GB"/>
              </w:rPr>
              <w:t>Net finance costs</w:t>
            </w:r>
          </w:p>
        </w:tc>
        <w:tc>
          <w:tcPr>
            <w:tcW w:w="743" w:type="dxa"/>
            <w:tcBorders>
              <w:top w:val="nil"/>
              <w:left w:val="nil"/>
              <w:bottom w:val="nil"/>
              <w:right w:val="nil"/>
            </w:tcBorders>
            <w:noWrap/>
            <w:vAlign w:val="bottom"/>
            <w:hideMark/>
          </w:tcPr>
          <w:p w14:paraId="3C51A65C" w14:textId="77777777" w:rsidR="00AE3CC0" w:rsidRPr="002E510D" w:rsidRDefault="00AE3CC0">
            <w:pPr>
              <w:spacing w:line="240" w:lineRule="auto"/>
              <w:rPr>
                <w:rFonts w:eastAsia="Times New Roman" w:cs="Arial"/>
                <w:szCs w:val="16"/>
                <w:lang w:eastAsia="en-GB"/>
              </w:rPr>
            </w:pPr>
          </w:p>
        </w:tc>
        <w:tc>
          <w:tcPr>
            <w:tcW w:w="919" w:type="dxa"/>
            <w:gridSpan w:val="2"/>
            <w:tcBorders>
              <w:top w:val="nil"/>
              <w:left w:val="nil"/>
              <w:bottom w:val="single" w:sz="4" w:space="0" w:color="auto"/>
              <w:right w:val="nil"/>
            </w:tcBorders>
            <w:noWrap/>
            <w:vAlign w:val="bottom"/>
          </w:tcPr>
          <w:p w14:paraId="2367F4EF" w14:textId="77777777" w:rsidR="00AE3CC0" w:rsidRPr="002E510D" w:rsidRDefault="00AE3CC0">
            <w:pPr>
              <w:spacing w:line="240" w:lineRule="auto"/>
              <w:jc w:val="center"/>
              <w:rPr>
                <w:rFonts w:eastAsia="Times New Roman" w:cs="Arial"/>
                <w:szCs w:val="16"/>
                <w:lang w:eastAsia="en-GB"/>
              </w:rPr>
            </w:pPr>
            <w:r w:rsidRPr="002E510D">
              <w:rPr>
                <w:rFonts w:eastAsia="Times New Roman" w:cs="Arial"/>
                <w:szCs w:val="16"/>
                <w:lang w:eastAsia="en-GB"/>
              </w:rPr>
              <w:t>(1.2)</w:t>
            </w:r>
          </w:p>
        </w:tc>
        <w:tc>
          <w:tcPr>
            <w:tcW w:w="960" w:type="dxa"/>
            <w:tcBorders>
              <w:top w:val="nil"/>
              <w:left w:val="nil"/>
              <w:bottom w:val="single" w:sz="4" w:space="0" w:color="auto"/>
              <w:right w:val="nil"/>
            </w:tcBorders>
            <w:noWrap/>
            <w:vAlign w:val="bottom"/>
          </w:tcPr>
          <w:p w14:paraId="662C42AC" w14:textId="77777777" w:rsidR="00AE3CC0" w:rsidRPr="002E510D" w:rsidRDefault="00AE3CC0">
            <w:pPr>
              <w:spacing w:line="240" w:lineRule="auto"/>
              <w:jc w:val="center"/>
              <w:rPr>
                <w:rFonts w:eastAsia="Times New Roman" w:cs="Arial"/>
                <w:szCs w:val="16"/>
                <w:lang w:eastAsia="en-GB"/>
              </w:rPr>
            </w:pPr>
            <w:r w:rsidRPr="002E510D">
              <w:rPr>
                <w:rFonts w:eastAsia="Times New Roman" w:cs="Arial"/>
                <w:szCs w:val="16"/>
                <w:lang w:eastAsia="en-GB"/>
              </w:rPr>
              <w:t>0.2</w:t>
            </w:r>
          </w:p>
        </w:tc>
        <w:tc>
          <w:tcPr>
            <w:tcW w:w="901" w:type="dxa"/>
            <w:tcBorders>
              <w:top w:val="nil"/>
              <w:left w:val="nil"/>
              <w:bottom w:val="single" w:sz="4" w:space="0" w:color="auto"/>
              <w:right w:val="nil"/>
            </w:tcBorders>
            <w:noWrap/>
            <w:vAlign w:val="bottom"/>
          </w:tcPr>
          <w:p w14:paraId="4B06B61F" w14:textId="77777777" w:rsidR="00AE3CC0" w:rsidRPr="002E510D" w:rsidRDefault="00AE3CC0">
            <w:pPr>
              <w:spacing w:line="240" w:lineRule="auto"/>
              <w:jc w:val="center"/>
              <w:rPr>
                <w:rFonts w:eastAsia="Times New Roman" w:cs="Arial"/>
                <w:szCs w:val="16"/>
                <w:lang w:eastAsia="en-GB"/>
              </w:rPr>
            </w:pPr>
            <w:r w:rsidRPr="002E510D">
              <w:rPr>
                <w:rFonts w:eastAsia="Times New Roman" w:cs="Arial"/>
                <w:szCs w:val="16"/>
                <w:lang w:eastAsia="en-GB"/>
              </w:rPr>
              <w:t>(1.0)</w:t>
            </w:r>
          </w:p>
        </w:tc>
        <w:tc>
          <w:tcPr>
            <w:tcW w:w="236" w:type="dxa"/>
            <w:tcBorders>
              <w:top w:val="nil"/>
              <w:left w:val="nil"/>
              <w:bottom w:val="nil"/>
              <w:right w:val="nil"/>
            </w:tcBorders>
            <w:noWrap/>
            <w:vAlign w:val="bottom"/>
          </w:tcPr>
          <w:p w14:paraId="5B85A3D8" w14:textId="77777777" w:rsidR="00AE3CC0" w:rsidRPr="00B8452B" w:rsidRDefault="00AE3CC0">
            <w:pPr>
              <w:spacing w:line="240" w:lineRule="auto"/>
              <w:jc w:val="center"/>
              <w:rPr>
                <w:rFonts w:eastAsia="Times New Roman" w:cs="Arial"/>
                <w:szCs w:val="16"/>
                <w:lang w:eastAsia="en-GB"/>
              </w:rPr>
            </w:pPr>
          </w:p>
        </w:tc>
        <w:tc>
          <w:tcPr>
            <w:tcW w:w="991" w:type="dxa"/>
            <w:gridSpan w:val="2"/>
            <w:tcBorders>
              <w:top w:val="nil"/>
              <w:left w:val="nil"/>
              <w:bottom w:val="single" w:sz="4" w:space="0" w:color="auto"/>
              <w:right w:val="nil"/>
            </w:tcBorders>
            <w:noWrap/>
            <w:vAlign w:val="bottom"/>
          </w:tcPr>
          <w:p w14:paraId="30EB747B" w14:textId="77777777" w:rsidR="00AE3CC0" w:rsidRPr="00B8452B" w:rsidRDefault="00AE3CC0">
            <w:pPr>
              <w:spacing w:line="240" w:lineRule="auto"/>
              <w:jc w:val="center"/>
              <w:rPr>
                <w:rFonts w:eastAsia="Times New Roman" w:cs="Arial"/>
                <w:szCs w:val="16"/>
                <w:lang w:eastAsia="en-GB"/>
              </w:rPr>
            </w:pPr>
            <w:r w:rsidRPr="00282C57">
              <w:rPr>
                <w:rFonts w:eastAsia="Times New Roman" w:cs="Arial"/>
                <w:szCs w:val="16"/>
                <w:lang w:eastAsia="en-GB"/>
              </w:rPr>
              <w:t>(1.3)</w:t>
            </w:r>
          </w:p>
        </w:tc>
        <w:tc>
          <w:tcPr>
            <w:tcW w:w="992" w:type="dxa"/>
            <w:tcBorders>
              <w:top w:val="nil"/>
              <w:left w:val="nil"/>
              <w:bottom w:val="nil"/>
              <w:right w:val="nil"/>
            </w:tcBorders>
            <w:noWrap/>
            <w:vAlign w:val="bottom"/>
          </w:tcPr>
          <w:p w14:paraId="53E05272" w14:textId="77777777" w:rsidR="00AE3CC0" w:rsidRPr="00B8452B" w:rsidRDefault="00AE3CC0">
            <w:pPr>
              <w:spacing w:line="240" w:lineRule="auto"/>
              <w:jc w:val="center"/>
              <w:rPr>
                <w:rFonts w:eastAsia="Times New Roman" w:cs="Arial"/>
                <w:szCs w:val="16"/>
                <w:lang w:eastAsia="en-GB"/>
              </w:rPr>
            </w:pPr>
            <w:r>
              <w:rPr>
                <w:rFonts w:cs="Arial"/>
                <w:color w:val="000000"/>
                <w:szCs w:val="16"/>
              </w:rPr>
              <w:t>0.2</w:t>
            </w:r>
          </w:p>
        </w:tc>
        <w:tc>
          <w:tcPr>
            <w:tcW w:w="992" w:type="dxa"/>
            <w:tcBorders>
              <w:top w:val="nil"/>
              <w:left w:val="nil"/>
              <w:bottom w:val="nil"/>
              <w:right w:val="nil"/>
            </w:tcBorders>
            <w:noWrap/>
            <w:vAlign w:val="bottom"/>
          </w:tcPr>
          <w:p w14:paraId="5FC7CF5B" w14:textId="77777777" w:rsidR="00AE3CC0" w:rsidRPr="00B8452B" w:rsidRDefault="00AE3CC0">
            <w:pPr>
              <w:spacing w:line="240" w:lineRule="auto"/>
              <w:jc w:val="center"/>
              <w:rPr>
                <w:rFonts w:eastAsia="Times New Roman" w:cs="Arial"/>
                <w:szCs w:val="16"/>
                <w:lang w:eastAsia="en-GB"/>
              </w:rPr>
            </w:pPr>
            <w:r>
              <w:rPr>
                <w:rFonts w:cs="Arial"/>
                <w:color w:val="000000"/>
                <w:szCs w:val="16"/>
              </w:rPr>
              <w:t>(1.1)</w:t>
            </w:r>
          </w:p>
        </w:tc>
      </w:tr>
      <w:tr w:rsidR="00AE3CC0" w:rsidRPr="001A0FEC" w14:paraId="5853CBDF" w14:textId="77777777">
        <w:trPr>
          <w:trHeight w:val="300"/>
        </w:trPr>
        <w:tc>
          <w:tcPr>
            <w:tcW w:w="2822" w:type="dxa"/>
            <w:tcBorders>
              <w:top w:val="single" w:sz="4" w:space="0" w:color="auto"/>
              <w:left w:val="nil"/>
              <w:bottom w:val="nil"/>
              <w:right w:val="nil"/>
            </w:tcBorders>
            <w:noWrap/>
            <w:vAlign w:val="bottom"/>
            <w:hideMark/>
          </w:tcPr>
          <w:p w14:paraId="0D0D03A8" w14:textId="77777777" w:rsidR="00AE3CC0" w:rsidRPr="002E510D" w:rsidRDefault="00AE3CC0">
            <w:pPr>
              <w:spacing w:line="240" w:lineRule="auto"/>
              <w:rPr>
                <w:rFonts w:eastAsia="Times New Roman" w:cs="Arial"/>
                <w:b/>
                <w:bCs/>
                <w:szCs w:val="16"/>
                <w:lang w:eastAsia="en-GB"/>
              </w:rPr>
            </w:pPr>
            <w:r>
              <w:rPr>
                <w:rFonts w:eastAsia="Times New Roman" w:cs="Arial"/>
                <w:b/>
                <w:bCs/>
                <w:szCs w:val="16"/>
                <w:lang w:eastAsia="en-GB"/>
              </w:rPr>
              <w:t>P</w:t>
            </w:r>
            <w:r w:rsidRPr="002E510D">
              <w:rPr>
                <w:rFonts w:eastAsia="Times New Roman" w:cs="Arial"/>
                <w:b/>
                <w:bCs/>
                <w:szCs w:val="16"/>
                <w:lang w:eastAsia="en-GB"/>
              </w:rPr>
              <w:t>rofit before tax</w:t>
            </w:r>
          </w:p>
        </w:tc>
        <w:tc>
          <w:tcPr>
            <w:tcW w:w="261" w:type="dxa"/>
            <w:tcBorders>
              <w:top w:val="single" w:sz="4" w:space="0" w:color="auto"/>
              <w:left w:val="nil"/>
              <w:bottom w:val="nil"/>
              <w:right w:val="nil"/>
            </w:tcBorders>
            <w:noWrap/>
            <w:vAlign w:val="bottom"/>
            <w:hideMark/>
          </w:tcPr>
          <w:p w14:paraId="47520DB0" w14:textId="77777777" w:rsidR="00AE3CC0" w:rsidRPr="002E510D" w:rsidRDefault="00AE3CC0">
            <w:pPr>
              <w:spacing w:line="240" w:lineRule="auto"/>
              <w:rPr>
                <w:rFonts w:eastAsia="Times New Roman" w:cs="Arial"/>
                <w:b/>
                <w:bCs/>
                <w:szCs w:val="16"/>
                <w:lang w:eastAsia="en-GB"/>
              </w:rPr>
            </w:pPr>
            <w:r w:rsidRPr="002E510D">
              <w:rPr>
                <w:rFonts w:eastAsia="Times New Roman" w:cs="Arial"/>
                <w:b/>
                <w:bCs/>
                <w:szCs w:val="16"/>
                <w:lang w:eastAsia="en-GB"/>
              </w:rPr>
              <w:t> </w:t>
            </w:r>
          </w:p>
        </w:tc>
        <w:tc>
          <w:tcPr>
            <w:tcW w:w="743" w:type="dxa"/>
            <w:tcBorders>
              <w:top w:val="single" w:sz="4" w:space="0" w:color="auto"/>
              <w:left w:val="nil"/>
              <w:bottom w:val="nil"/>
              <w:right w:val="nil"/>
            </w:tcBorders>
            <w:noWrap/>
            <w:vAlign w:val="bottom"/>
            <w:hideMark/>
          </w:tcPr>
          <w:p w14:paraId="31E3E19E" w14:textId="77777777" w:rsidR="00AE3CC0" w:rsidRPr="002E510D" w:rsidRDefault="00AE3CC0">
            <w:pPr>
              <w:spacing w:line="240" w:lineRule="auto"/>
              <w:rPr>
                <w:rFonts w:eastAsia="Times New Roman" w:cs="Arial"/>
                <w:b/>
                <w:bCs/>
                <w:szCs w:val="16"/>
                <w:lang w:eastAsia="en-GB"/>
              </w:rPr>
            </w:pPr>
            <w:r w:rsidRPr="002E510D">
              <w:rPr>
                <w:rFonts w:eastAsia="Times New Roman" w:cs="Arial"/>
                <w:b/>
                <w:bCs/>
                <w:szCs w:val="16"/>
                <w:lang w:eastAsia="en-GB"/>
              </w:rPr>
              <w:t> </w:t>
            </w:r>
          </w:p>
        </w:tc>
        <w:tc>
          <w:tcPr>
            <w:tcW w:w="919" w:type="dxa"/>
            <w:gridSpan w:val="2"/>
            <w:tcBorders>
              <w:top w:val="nil"/>
              <w:left w:val="nil"/>
              <w:bottom w:val="nil"/>
              <w:right w:val="nil"/>
            </w:tcBorders>
            <w:noWrap/>
            <w:vAlign w:val="bottom"/>
          </w:tcPr>
          <w:p w14:paraId="0E534B95" w14:textId="0B12E9C5" w:rsidR="00AE3CC0" w:rsidRPr="005B0EAC" w:rsidRDefault="00EA2CA6">
            <w:pPr>
              <w:spacing w:line="240" w:lineRule="auto"/>
              <w:jc w:val="center"/>
              <w:rPr>
                <w:rFonts w:eastAsia="Times New Roman" w:cs="Arial"/>
                <w:b/>
                <w:szCs w:val="16"/>
                <w:lang w:eastAsia="en-GB"/>
              </w:rPr>
            </w:pPr>
            <w:r>
              <w:rPr>
                <w:rFonts w:eastAsia="Times New Roman" w:cs="Arial"/>
                <w:b/>
                <w:bCs/>
                <w:szCs w:val="16"/>
                <w:lang w:eastAsia="en-GB"/>
              </w:rPr>
              <w:t>6.3</w:t>
            </w:r>
          </w:p>
        </w:tc>
        <w:tc>
          <w:tcPr>
            <w:tcW w:w="960" w:type="dxa"/>
            <w:tcBorders>
              <w:top w:val="nil"/>
              <w:left w:val="nil"/>
              <w:bottom w:val="nil"/>
              <w:right w:val="nil"/>
            </w:tcBorders>
            <w:noWrap/>
            <w:vAlign w:val="bottom"/>
          </w:tcPr>
          <w:p w14:paraId="2C875D29" w14:textId="6F9EE66E" w:rsidR="00AE3CC0" w:rsidRPr="005B0EAC" w:rsidRDefault="00984D51">
            <w:pPr>
              <w:spacing w:line="240" w:lineRule="auto"/>
              <w:jc w:val="center"/>
              <w:rPr>
                <w:rFonts w:eastAsia="Times New Roman" w:cs="Arial"/>
                <w:b/>
                <w:szCs w:val="16"/>
                <w:lang w:eastAsia="en-GB"/>
              </w:rPr>
            </w:pPr>
            <w:r>
              <w:rPr>
                <w:rFonts w:eastAsia="Times New Roman" w:cs="Arial"/>
                <w:b/>
                <w:bCs/>
                <w:szCs w:val="16"/>
                <w:lang w:eastAsia="en-GB"/>
              </w:rPr>
              <w:t>2.3</w:t>
            </w:r>
          </w:p>
        </w:tc>
        <w:tc>
          <w:tcPr>
            <w:tcW w:w="901" w:type="dxa"/>
            <w:tcBorders>
              <w:top w:val="nil"/>
              <w:left w:val="nil"/>
              <w:bottom w:val="nil"/>
              <w:right w:val="nil"/>
            </w:tcBorders>
            <w:noWrap/>
            <w:vAlign w:val="bottom"/>
          </w:tcPr>
          <w:p w14:paraId="600DB30D" w14:textId="3DFB0F2F" w:rsidR="00AE3CC0" w:rsidRPr="005B0EAC" w:rsidRDefault="00AE3CC0">
            <w:pPr>
              <w:spacing w:line="240" w:lineRule="auto"/>
              <w:jc w:val="center"/>
              <w:rPr>
                <w:rFonts w:eastAsia="Times New Roman" w:cs="Arial"/>
                <w:b/>
                <w:szCs w:val="16"/>
                <w:lang w:eastAsia="en-GB"/>
              </w:rPr>
            </w:pPr>
            <w:r w:rsidRPr="005B0EAC">
              <w:rPr>
                <w:rFonts w:eastAsia="Times New Roman" w:cs="Arial"/>
                <w:b/>
                <w:szCs w:val="16"/>
                <w:lang w:eastAsia="en-GB"/>
              </w:rPr>
              <w:t>8.</w:t>
            </w:r>
            <w:r w:rsidDel="001F0852">
              <w:rPr>
                <w:rFonts w:eastAsia="Times New Roman" w:cs="Arial"/>
                <w:b/>
                <w:szCs w:val="16"/>
                <w:lang w:eastAsia="en-GB"/>
              </w:rPr>
              <w:t>6</w:t>
            </w:r>
          </w:p>
        </w:tc>
        <w:tc>
          <w:tcPr>
            <w:tcW w:w="236" w:type="dxa"/>
            <w:tcBorders>
              <w:top w:val="nil"/>
              <w:left w:val="nil"/>
              <w:bottom w:val="nil"/>
              <w:right w:val="nil"/>
            </w:tcBorders>
            <w:noWrap/>
            <w:vAlign w:val="bottom"/>
          </w:tcPr>
          <w:p w14:paraId="089AECAB" w14:textId="77777777" w:rsidR="00AE3CC0" w:rsidRPr="00B8452B" w:rsidRDefault="00AE3CC0">
            <w:pPr>
              <w:spacing w:line="240" w:lineRule="auto"/>
              <w:jc w:val="center"/>
              <w:rPr>
                <w:rFonts w:eastAsia="Times New Roman" w:cs="Arial"/>
                <w:szCs w:val="16"/>
                <w:lang w:eastAsia="en-GB"/>
              </w:rPr>
            </w:pPr>
          </w:p>
        </w:tc>
        <w:tc>
          <w:tcPr>
            <w:tcW w:w="991" w:type="dxa"/>
            <w:gridSpan w:val="2"/>
            <w:tcBorders>
              <w:top w:val="single" w:sz="4" w:space="0" w:color="auto"/>
              <w:left w:val="nil"/>
              <w:bottom w:val="nil"/>
              <w:right w:val="nil"/>
            </w:tcBorders>
            <w:noWrap/>
            <w:vAlign w:val="bottom"/>
          </w:tcPr>
          <w:p w14:paraId="3A7601A9" w14:textId="05C58033" w:rsidR="00AE3CC0" w:rsidRPr="00B8452B" w:rsidRDefault="00A171E4">
            <w:pPr>
              <w:spacing w:line="240" w:lineRule="auto"/>
              <w:jc w:val="center"/>
              <w:rPr>
                <w:rFonts w:eastAsia="Times New Roman" w:cs="Arial"/>
                <w:szCs w:val="16"/>
                <w:lang w:eastAsia="en-GB"/>
              </w:rPr>
            </w:pPr>
            <w:r>
              <w:rPr>
                <w:rFonts w:cs="Arial"/>
                <w:b/>
                <w:bCs/>
                <w:color w:val="000000"/>
                <w:szCs w:val="16"/>
              </w:rPr>
              <w:t>9.0</w:t>
            </w:r>
            <w:r w:rsidR="00AE3CC0">
              <w:rPr>
                <w:rFonts w:cs="Arial"/>
                <w:b/>
                <w:bCs/>
                <w:color w:val="000000"/>
                <w:szCs w:val="16"/>
              </w:rPr>
              <w:t xml:space="preserve"> </w:t>
            </w:r>
          </w:p>
        </w:tc>
        <w:tc>
          <w:tcPr>
            <w:tcW w:w="992" w:type="dxa"/>
            <w:tcBorders>
              <w:top w:val="single" w:sz="4" w:space="0" w:color="auto"/>
              <w:left w:val="nil"/>
              <w:bottom w:val="nil"/>
              <w:right w:val="nil"/>
            </w:tcBorders>
            <w:noWrap/>
            <w:vAlign w:val="bottom"/>
          </w:tcPr>
          <w:p w14:paraId="5C2A8A4F" w14:textId="77777777" w:rsidR="00AE3CC0" w:rsidRPr="00B8452B" w:rsidRDefault="00AE3CC0">
            <w:pPr>
              <w:spacing w:line="240" w:lineRule="auto"/>
              <w:jc w:val="center"/>
              <w:rPr>
                <w:rFonts w:eastAsia="Times New Roman" w:cs="Arial"/>
                <w:szCs w:val="16"/>
                <w:lang w:eastAsia="en-GB"/>
              </w:rPr>
            </w:pPr>
            <w:r>
              <w:rPr>
                <w:rFonts w:cs="Arial"/>
                <w:b/>
                <w:bCs/>
                <w:color w:val="000000"/>
                <w:szCs w:val="16"/>
              </w:rPr>
              <w:t xml:space="preserve">5.9 </w:t>
            </w:r>
          </w:p>
        </w:tc>
        <w:tc>
          <w:tcPr>
            <w:tcW w:w="992" w:type="dxa"/>
            <w:tcBorders>
              <w:top w:val="single" w:sz="4" w:space="0" w:color="auto"/>
              <w:left w:val="nil"/>
              <w:bottom w:val="nil"/>
              <w:right w:val="nil"/>
            </w:tcBorders>
            <w:noWrap/>
            <w:vAlign w:val="bottom"/>
          </w:tcPr>
          <w:p w14:paraId="6708D156" w14:textId="04D3CF77" w:rsidR="00AE3CC0" w:rsidRPr="00B8452B" w:rsidRDefault="00AE3CC0">
            <w:pPr>
              <w:spacing w:line="240" w:lineRule="auto"/>
              <w:jc w:val="center"/>
              <w:rPr>
                <w:rFonts w:eastAsia="Times New Roman" w:cs="Arial"/>
                <w:szCs w:val="16"/>
                <w:lang w:eastAsia="en-GB"/>
              </w:rPr>
            </w:pPr>
            <w:r>
              <w:rPr>
                <w:rFonts w:cs="Arial"/>
                <w:b/>
                <w:bCs/>
                <w:color w:val="000000"/>
                <w:szCs w:val="16"/>
              </w:rPr>
              <w:t>14.</w:t>
            </w:r>
            <w:r w:rsidR="004C5703">
              <w:rPr>
                <w:rFonts w:cs="Arial"/>
                <w:b/>
                <w:bCs/>
                <w:color w:val="000000"/>
                <w:szCs w:val="16"/>
              </w:rPr>
              <w:t xml:space="preserve">9 </w:t>
            </w:r>
          </w:p>
        </w:tc>
      </w:tr>
      <w:tr w:rsidR="00AE3CC0" w:rsidRPr="001A0FEC" w14:paraId="7981A978" w14:textId="77777777">
        <w:trPr>
          <w:trHeight w:val="300"/>
        </w:trPr>
        <w:tc>
          <w:tcPr>
            <w:tcW w:w="2822" w:type="dxa"/>
            <w:tcBorders>
              <w:top w:val="nil"/>
              <w:left w:val="nil"/>
              <w:bottom w:val="nil"/>
              <w:right w:val="nil"/>
            </w:tcBorders>
            <w:noWrap/>
            <w:vAlign w:val="bottom"/>
            <w:hideMark/>
          </w:tcPr>
          <w:p w14:paraId="21C11EFA" w14:textId="77777777" w:rsidR="00AE3CC0" w:rsidRPr="002E510D" w:rsidRDefault="00AE3CC0">
            <w:pPr>
              <w:spacing w:line="240" w:lineRule="auto"/>
              <w:rPr>
                <w:rFonts w:eastAsia="Times New Roman" w:cs="Arial"/>
                <w:szCs w:val="16"/>
                <w:lang w:eastAsia="en-GB"/>
              </w:rPr>
            </w:pPr>
            <w:r w:rsidRPr="002E510D">
              <w:rPr>
                <w:rFonts w:eastAsia="Times New Roman" w:cs="Arial"/>
                <w:szCs w:val="16"/>
                <w:lang w:eastAsia="en-GB"/>
              </w:rPr>
              <w:t>Tax</w:t>
            </w:r>
          </w:p>
        </w:tc>
        <w:tc>
          <w:tcPr>
            <w:tcW w:w="261" w:type="dxa"/>
            <w:tcBorders>
              <w:top w:val="nil"/>
              <w:left w:val="nil"/>
              <w:bottom w:val="nil"/>
              <w:right w:val="nil"/>
            </w:tcBorders>
            <w:noWrap/>
            <w:vAlign w:val="bottom"/>
            <w:hideMark/>
          </w:tcPr>
          <w:p w14:paraId="08CE250E" w14:textId="77777777" w:rsidR="00AE3CC0" w:rsidRPr="002E510D" w:rsidRDefault="00AE3CC0">
            <w:pPr>
              <w:spacing w:line="240" w:lineRule="auto"/>
              <w:rPr>
                <w:rFonts w:eastAsia="Times New Roman" w:cs="Arial"/>
                <w:szCs w:val="16"/>
                <w:lang w:eastAsia="en-GB"/>
              </w:rPr>
            </w:pPr>
          </w:p>
        </w:tc>
        <w:tc>
          <w:tcPr>
            <w:tcW w:w="743" w:type="dxa"/>
            <w:tcBorders>
              <w:top w:val="nil"/>
              <w:left w:val="nil"/>
              <w:bottom w:val="nil"/>
              <w:right w:val="nil"/>
            </w:tcBorders>
            <w:noWrap/>
            <w:vAlign w:val="bottom"/>
            <w:hideMark/>
          </w:tcPr>
          <w:p w14:paraId="67704175" w14:textId="77777777" w:rsidR="00AE3CC0" w:rsidRPr="002E510D" w:rsidRDefault="00AE3CC0">
            <w:pPr>
              <w:spacing w:line="240" w:lineRule="auto"/>
              <w:rPr>
                <w:rFonts w:eastAsia="Times New Roman" w:cs="Arial"/>
                <w:szCs w:val="16"/>
                <w:lang w:eastAsia="en-GB"/>
              </w:rPr>
            </w:pPr>
          </w:p>
        </w:tc>
        <w:tc>
          <w:tcPr>
            <w:tcW w:w="919" w:type="dxa"/>
            <w:gridSpan w:val="2"/>
            <w:tcBorders>
              <w:top w:val="nil"/>
              <w:left w:val="nil"/>
              <w:bottom w:val="nil"/>
              <w:right w:val="nil"/>
            </w:tcBorders>
            <w:noWrap/>
            <w:vAlign w:val="bottom"/>
          </w:tcPr>
          <w:p w14:paraId="588C0842" w14:textId="77777777" w:rsidR="00AE3CC0" w:rsidRPr="002E510D" w:rsidRDefault="00AE3CC0">
            <w:pPr>
              <w:spacing w:line="240" w:lineRule="auto"/>
              <w:jc w:val="center"/>
              <w:rPr>
                <w:rFonts w:eastAsia="Times New Roman" w:cs="Arial"/>
                <w:szCs w:val="16"/>
                <w:lang w:eastAsia="en-GB"/>
              </w:rPr>
            </w:pPr>
            <w:r w:rsidRPr="002E510D">
              <w:rPr>
                <w:rFonts w:eastAsia="Times New Roman" w:cs="Arial"/>
                <w:szCs w:val="16"/>
                <w:lang w:eastAsia="en-GB"/>
              </w:rPr>
              <w:t>(1.0)</w:t>
            </w:r>
          </w:p>
        </w:tc>
        <w:tc>
          <w:tcPr>
            <w:tcW w:w="960" w:type="dxa"/>
            <w:tcBorders>
              <w:top w:val="nil"/>
              <w:left w:val="nil"/>
              <w:bottom w:val="nil"/>
              <w:right w:val="nil"/>
            </w:tcBorders>
            <w:noWrap/>
            <w:vAlign w:val="bottom"/>
          </w:tcPr>
          <w:p w14:paraId="0F25B541" w14:textId="77777777" w:rsidR="00AE3CC0" w:rsidRPr="002E510D" w:rsidRDefault="00AE3CC0">
            <w:pPr>
              <w:spacing w:line="240" w:lineRule="auto"/>
              <w:jc w:val="center"/>
              <w:rPr>
                <w:rFonts w:eastAsia="Times New Roman" w:cs="Arial"/>
                <w:szCs w:val="16"/>
                <w:lang w:eastAsia="en-GB"/>
              </w:rPr>
            </w:pPr>
            <w:r w:rsidRPr="002E510D">
              <w:rPr>
                <w:rFonts w:eastAsia="Times New Roman" w:cs="Arial"/>
                <w:szCs w:val="16"/>
                <w:lang w:eastAsia="en-GB"/>
              </w:rPr>
              <w:t>(0.3)</w:t>
            </w:r>
          </w:p>
        </w:tc>
        <w:tc>
          <w:tcPr>
            <w:tcW w:w="901" w:type="dxa"/>
            <w:tcBorders>
              <w:top w:val="nil"/>
              <w:left w:val="nil"/>
              <w:bottom w:val="nil"/>
              <w:right w:val="nil"/>
            </w:tcBorders>
            <w:noWrap/>
            <w:vAlign w:val="bottom"/>
          </w:tcPr>
          <w:p w14:paraId="34A739F5" w14:textId="77777777" w:rsidR="00AE3CC0" w:rsidRPr="002E510D" w:rsidRDefault="00AE3CC0">
            <w:pPr>
              <w:spacing w:line="240" w:lineRule="auto"/>
              <w:jc w:val="center"/>
              <w:rPr>
                <w:rFonts w:eastAsia="Times New Roman" w:cs="Arial"/>
                <w:szCs w:val="16"/>
                <w:lang w:eastAsia="en-GB"/>
              </w:rPr>
            </w:pPr>
            <w:r w:rsidRPr="002E510D">
              <w:rPr>
                <w:rFonts w:eastAsia="Times New Roman" w:cs="Arial"/>
                <w:szCs w:val="16"/>
                <w:lang w:eastAsia="en-GB"/>
              </w:rPr>
              <w:t>(1.3)</w:t>
            </w:r>
          </w:p>
        </w:tc>
        <w:tc>
          <w:tcPr>
            <w:tcW w:w="236" w:type="dxa"/>
            <w:tcBorders>
              <w:top w:val="nil"/>
              <w:left w:val="nil"/>
              <w:bottom w:val="nil"/>
              <w:right w:val="nil"/>
            </w:tcBorders>
            <w:noWrap/>
            <w:vAlign w:val="bottom"/>
          </w:tcPr>
          <w:p w14:paraId="0E674074" w14:textId="77777777" w:rsidR="00AE3CC0" w:rsidRPr="00B8452B" w:rsidRDefault="00AE3CC0">
            <w:pPr>
              <w:spacing w:line="240" w:lineRule="auto"/>
              <w:jc w:val="center"/>
              <w:rPr>
                <w:rFonts w:eastAsia="Times New Roman" w:cs="Arial"/>
                <w:szCs w:val="16"/>
                <w:lang w:eastAsia="en-GB"/>
              </w:rPr>
            </w:pPr>
          </w:p>
        </w:tc>
        <w:tc>
          <w:tcPr>
            <w:tcW w:w="991" w:type="dxa"/>
            <w:gridSpan w:val="2"/>
            <w:tcBorders>
              <w:top w:val="nil"/>
              <w:left w:val="nil"/>
              <w:bottom w:val="nil"/>
              <w:right w:val="nil"/>
            </w:tcBorders>
            <w:noWrap/>
            <w:vAlign w:val="bottom"/>
          </w:tcPr>
          <w:p w14:paraId="2A204A74" w14:textId="6382566A" w:rsidR="00AE3CC0" w:rsidRPr="00B8452B" w:rsidRDefault="00AE3CC0">
            <w:pPr>
              <w:spacing w:line="240" w:lineRule="auto"/>
              <w:jc w:val="center"/>
              <w:rPr>
                <w:rFonts w:eastAsia="Times New Roman" w:cs="Arial"/>
                <w:szCs w:val="16"/>
                <w:lang w:eastAsia="en-GB"/>
              </w:rPr>
            </w:pPr>
            <w:r>
              <w:rPr>
                <w:rFonts w:cs="Arial"/>
                <w:color w:val="000000"/>
                <w:szCs w:val="16"/>
              </w:rPr>
              <w:t>(4.</w:t>
            </w:r>
            <w:r w:rsidR="00742832">
              <w:rPr>
                <w:rFonts w:cs="Arial"/>
                <w:color w:val="000000"/>
                <w:szCs w:val="16"/>
              </w:rPr>
              <w:t>6</w:t>
            </w:r>
            <w:r>
              <w:rPr>
                <w:rFonts w:cs="Arial"/>
                <w:color w:val="000000"/>
                <w:szCs w:val="16"/>
              </w:rPr>
              <w:t>)</w:t>
            </w:r>
          </w:p>
        </w:tc>
        <w:tc>
          <w:tcPr>
            <w:tcW w:w="992" w:type="dxa"/>
            <w:tcBorders>
              <w:top w:val="nil"/>
              <w:left w:val="nil"/>
              <w:bottom w:val="nil"/>
              <w:right w:val="nil"/>
            </w:tcBorders>
            <w:noWrap/>
            <w:vAlign w:val="bottom"/>
          </w:tcPr>
          <w:p w14:paraId="33D51357" w14:textId="77777777" w:rsidR="00AE3CC0" w:rsidRPr="00B8452B" w:rsidRDefault="00AE3CC0">
            <w:pPr>
              <w:spacing w:line="240" w:lineRule="auto"/>
              <w:jc w:val="center"/>
              <w:rPr>
                <w:rFonts w:eastAsia="Times New Roman" w:cs="Arial"/>
                <w:szCs w:val="16"/>
                <w:lang w:eastAsia="en-GB"/>
              </w:rPr>
            </w:pPr>
            <w:r>
              <w:rPr>
                <w:rFonts w:cs="Arial"/>
                <w:color w:val="000000"/>
                <w:szCs w:val="16"/>
              </w:rPr>
              <w:t>(0.1)</w:t>
            </w:r>
          </w:p>
        </w:tc>
        <w:tc>
          <w:tcPr>
            <w:tcW w:w="992" w:type="dxa"/>
            <w:tcBorders>
              <w:top w:val="nil"/>
              <w:left w:val="nil"/>
              <w:bottom w:val="nil"/>
              <w:right w:val="nil"/>
            </w:tcBorders>
            <w:noWrap/>
            <w:vAlign w:val="bottom"/>
          </w:tcPr>
          <w:p w14:paraId="1053CA39" w14:textId="1A3A0045" w:rsidR="00AE3CC0" w:rsidRPr="00B8452B" w:rsidRDefault="00AE3CC0">
            <w:pPr>
              <w:spacing w:line="240" w:lineRule="auto"/>
              <w:jc w:val="center"/>
              <w:rPr>
                <w:rFonts w:eastAsia="Times New Roman" w:cs="Arial"/>
                <w:szCs w:val="16"/>
                <w:lang w:eastAsia="en-GB"/>
              </w:rPr>
            </w:pPr>
            <w:r>
              <w:rPr>
                <w:rFonts w:cs="Arial"/>
                <w:color w:val="000000"/>
                <w:szCs w:val="16"/>
              </w:rPr>
              <w:t>(4.</w:t>
            </w:r>
            <w:r w:rsidR="00742832">
              <w:rPr>
                <w:rFonts w:cs="Arial"/>
                <w:color w:val="000000"/>
                <w:szCs w:val="16"/>
              </w:rPr>
              <w:t>7</w:t>
            </w:r>
            <w:r>
              <w:rPr>
                <w:rFonts w:cs="Arial"/>
                <w:color w:val="000000"/>
                <w:szCs w:val="16"/>
              </w:rPr>
              <w:t>)</w:t>
            </w:r>
          </w:p>
        </w:tc>
      </w:tr>
      <w:tr w:rsidR="00AE3CC0" w:rsidRPr="001A0FEC" w14:paraId="0A2C693D" w14:textId="77777777">
        <w:trPr>
          <w:trHeight w:val="300"/>
        </w:trPr>
        <w:tc>
          <w:tcPr>
            <w:tcW w:w="2822" w:type="dxa"/>
            <w:tcBorders>
              <w:top w:val="single" w:sz="4" w:space="0" w:color="auto"/>
              <w:left w:val="nil"/>
              <w:bottom w:val="single" w:sz="8" w:space="0" w:color="auto"/>
              <w:right w:val="nil"/>
            </w:tcBorders>
            <w:noWrap/>
            <w:vAlign w:val="bottom"/>
            <w:hideMark/>
          </w:tcPr>
          <w:p w14:paraId="7E4F6CB5" w14:textId="77777777" w:rsidR="00AE3CC0" w:rsidRPr="002E510D" w:rsidRDefault="00AE3CC0">
            <w:pPr>
              <w:spacing w:line="240" w:lineRule="auto"/>
              <w:rPr>
                <w:rFonts w:eastAsia="Times New Roman" w:cs="Arial"/>
                <w:b/>
                <w:bCs/>
                <w:szCs w:val="16"/>
                <w:lang w:eastAsia="en-GB"/>
              </w:rPr>
            </w:pPr>
            <w:r>
              <w:rPr>
                <w:rFonts w:eastAsia="Times New Roman" w:cs="Arial"/>
                <w:b/>
                <w:bCs/>
                <w:szCs w:val="16"/>
                <w:lang w:eastAsia="en-GB"/>
              </w:rPr>
              <w:t>P</w:t>
            </w:r>
            <w:r w:rsidRPr="002E510D">
              <w:rPr>
                <w:rFonts w:eastAsia="Times New Roman" w:cs="Arial"/>
                <w:b/>
                <w:bCs/>
                <w:szCs w:val="16"/>
                <w:lang w:eastAsia="en-GB"/>
              </w:rPr>
              <w:t>rofit after tax</w:t>
            </w:r>
          </w:p>
        </w:tc>
        <w:tc>
          <w:tcPr>
            <w:tcW w:w="261" w:type="dxa"/>
            <w:tcBorders>
              <w:top w:val="single" w:sz="4" w:space="0" w:color="auto"/>
              <w:left w:val="nil"/>
              <w:bottom w:val="single" w:sz="8" w:space="0" w:color="auto"/>
              <w:right w:val="nil"/>
            </w:tcBorders>
            <w:noWrap/>
            <w:vAlign w:val="bottom"/>
            <w:hideMark/>
          </w:tcPr>
          <w:p w14:paraId="480A4F5E" w14:textId="77777777" w:rsidR="00AE3CC0" w:rsidRPr="002E510D" w:rsidRDefault="00AE3CC0">
            <w:pPr>
              <w:spacing w:line="240" w:lineRule="auto"/>
              <w:rPr>
                <w:rFonts w:eastAsia="Times New Roman" w:cs="Arial"/>
                <w:b/>
                <w:bCs/>
                <w:szCs w:val="16"/>
                <w:lang w:eastAsia="en-GB"/>
              </w:rPr>
            </w:pPr>
            <w:r w:rsidRPr="002E510D">
              <w:rPr>
                <w:rFonts w:eastAsia="Times New Roman" w:cs="Arial"/>
                <w:b/>
                <w:bCs/>
                <w:szCs w:val="16"/>
                <w:lang w:eastAsia="en-GB"/>
              </w:rPr>
              <w:t> </w:t>
            </w:r>
          </w:p>
        </w:tc>
        <w:tc>
          <w:tcPr>
            <w:tcW w:w="743" w:type="dxa"/>
            <w:tcBorders>
              <w:top w:val="single" w:sz="4" w:space="0" w:color="auto"/>
              <w:left w:val="nil"/>
              <w:bottom w:val="single" w:sz="8" w:space="0" w:color="auto"/>
              <w:right w:val="nil"/>
            </w:tcBorders>
            <w:noWrap/>
            <w:vAlign w:val="bottom"/>
            <w:hideMark/>
          </w:tcPr>
          <w:p w14:paraId="4E93AD7A" w14:textId="77777777" w:rsidR="00AE3CC0" w:rsidRPr="002E510D" w:rsidRDefault="00AE3CC0">
            <w:pPr>
              <w:spacing w:line="240" w:lineRule="auto"/>
              <w:rPr>
                <w:rFonts w:eastAsia="Times New Roman" w:cs="Arial"/>
                <w:b/>
                <w:bCs/>
                <w:szCs w:val="16"/>
                <w:lang w:eastAsia="en-GB"/>
              </w:rPr>
            </w:pPr>
            <w:r w:rsidRPr="002E510D">
              <w:rPr>
                <w:rFonts w:eastAsia="Times New Roman" w:cs="Arial"/>
                <w:b/>
                <w:bCs/>
                <w:szCs w:val="16"/>
                <w:lang w:eastAsia="en-GB"/>
              </w:rPr>
              <w:t> </w:t>
            </w:r>
          </w:p>
        </w:tc>
        <w:tc>
          <w:tcPr>
            <w:tcW w:w="919" w:type="dxa"/>
            <w:gridSpan w:val="2"/>
            <w:tcBorders>
              <w:top w:val="single" w:sz="4" w:space="0" w:color="auto"/>
              <w:left w:val="nil"/>
              <w:bottom w:val="single" w:sz="8" w:space="0" w:color="auto"/>
              <w:right w:val="nil"/>
            </w:tcBorders>
            <w:noWrap/>
            <w:vAlign w:val="bottom"/>
          </w:tcPr>
          <w:p w14:paraId="1273037B" w14:textId="484F7F1D" w:rsidR="00AE3CC0" w:rsidRPr="002E510D" w:rsidRDefault="00EA2CA6">
            <w:pPr>
              <w:spacing w:line="240" w:lineRule="auto"/>
              <w:jc w:val="center"/>
              <w:rPr>
                <w:rFonts w:eastAsia="Times New Roman" w:cs="Arial"/>
                <w:b/>
                <w:bCs/>
                <w:szCs w:val="16"/>
                <w:lang w:eastAsia="en-GB"/>
              </w:rPr>
            </w:pPr>
            <w:r>
              <w:rPr>
                <w:rFonts w:eastAsia="Times New Roman" w:cs="Arial"/>
                <w:b/>
                <w:bCs/>
                <w:szCs w:val="16"/>
                <w:lang w:eastAsia="en-GB"/>
              </w:rPr>
              <w:t>5.3</w:t>
            </w:r>
          </w:p>
        </w:tc>
        <w:tc>
          <w:tcPr>
            <w:tcW w:w="960" w:type="dxa"/>
            <w:tcBorders>
              <w:top w:val="single" w:sz="4" w:space="0" w:color="auto"/>
              <w:left w:val="nil"/>
              <w:bottom w:val="single" w:sz="8" w:space="0" w:color="auto"/>
              <w:right w:val="nil"/>
            </w:tcBorders>
            <w:noWrap/>
            <w:vAlign w:val="bottom"/>
          </w:tcPr>
          <w:p w14:paraId="61593736" w14:textId="2CCC675C" w:rsidR="00AE3CC0" w:rsidRPr="002E510D" w:rsidRDefault="00984D51">
            <w:pPr>
              <w:spacing w:line="240" w:lineRule="auto"/>
              <w:jc w:val="center"/>
              <w:rPr>
                <w:rFonts w:eastAsia="Times New Roman" w:cs="Arial"/>
                <w:b/>
                <w:bCs/>
                <w:szCs w:val="16"/>
                <w:lang w:eastAsia="en-GB"/>
              </w:rPr>
            </w:pPr>
            <w:r>
              <w:rPr>
                <w:rFonts w:eastAsia="Times New Roman" w:cs="Arial"/>
                <w:b/>
                <w:bCs/>
                <w:szCs w:val="16"/>
                <w:lang w:eastAsia="en-GB"/>
              </w:rPr>
              <w:t>2.0</w:t>
            </w:r>
          </w:p>
        </w:tc>
        <w:tc>
          <w:tcPr>
            <w:tcW w:w="901" w:type="dxa"/>
            <w:tcBorders>
              <w:top w:val="single" w:sz="4" w:space="0" w:color="auto"/>
              <w:left w:val="nil"/>
              <w:bottom w:val="single" w:sz="8" w:space="0" w:color="auto"/>
              <w:right w:val="nil"/>
            </w:tcBorders>
            <w:noWrap/>
            <w:vAlign w:val="bottom"/>
          </w:tcPr>
          <w:p w14:paraId="36A7EEEE" w14:textId="38A5F682" w:rsidR="00AE3CC0" w:rsidRPr="002E510D" w:rsidRDefault="00AE3CC0">
            <w:pPr>
              <w:spacing w:line="240" w:lineRule="auto"/>
              <w:jc w:val="center"/>
              <w:rPr>
                <w:rFonts w:eastAsia="Times New Roman" w:cs="Arial"/>
                <w:b/>
                <w:bCs/>
                <w:szCs w:val="16"/>
                <w:lang w:eastAsia="en-GB"/>
              </w:rPr>
            </w:pPr>
            <w:r w:rsidRPr="002E510D">
              <w:rPr>
                <w:rFonts w:eastAsia="Times New Roman" w:cs="Arial"/>
                <w:b/>
                <w:bCs/>
                <w:szCs w:val="16"/>
                <w:lang w:eastAsia="en-GB"/>
              </w:rPr>
              <w:t>7.</w:t>
            </w:r>
            <w:r w:rsidRPr="002E510D" w:rsidDel="00C53607">
              <w:rPr>
                <w:rFonts w:eastAsia="Times New Roman" w:cs="Arial"/>
                <w:b/>
                <w:bCs/>
                <w:szCs w:val="16"/>
                <w:lang w:eastAsia="en-GB"/>
              </w:rPr>
              <w:t>3</w:t>
            </w:r>
          </w:p>
        </w:tc>
        <w:tc>
          <w:tcPr>
            <w:tcW w:w="236" w:type="dxa"/>
            <w:tcBorders>
              <w:top w:val="nil"/>
              <w:left w:val="nil"/>
              <w:bottom w:val="nil"/>
              <w:right w:val="nil"/>
            </w:tcBorders>
            <w:noWrap/>
            <w:vAlign w:val="bottom"/>
          </w:tcPr>
          <w:p w14:paraId="6385F1E8" w14:textId="77777777" w:rsidR="00AE3CC0" w:rsidRPr="00B8452B" w:rsidRDefault="00AE3CC0">
            <w:pPr>
              <w:spacing w:line="240" w:lineRule="auto"/>
              <w:jc w:val="center"/>
              <w:rPr>
                <w:rFonts w:eastAsia="Times New Roman" w:cs="Arial"/>
                <w:b/>
                <w:szCs w:val="16"/>
                <w:lang w:eastAsia="en-GB"/>
              </w:rPr>
            </w:pPr>
          </w:p>
        </w:tc>
        <w:tc>
          <w:tcPr>
            <w:tcW w:w="991" w:type="dxa"/>
            <w:gridSpan w:val="2"/>
            <w:tcBorders>
              <w:top w:val="single" w:sz="4" w:space="0" w:color="auto"/>
              <w:left w:val="nil"/>
              <w:bottom w:val="single" w:sz="4" w:space="0" w:color="auto"/>
              <w:right w:val="nil"/>
            </w:tcBorders>
            <w:noWrap/>
            <w:vAlign w:val="bottom"/>
          </w:tcPr>
          <w:p w14:paraId="249E3C22" w14:textId="4CCABEC7" w:rsidR="00AE3CC0" w:rsidRPr="00B8452B" w:rsidRDefault="00AE3CC0">
            <w:pPr>
              <w:spacing w:line="240" w:lineRule="auto"/>
              <w:jc w:val="center"/>
              <w:rPr>
                <w:rFonts w:eastAsia="Times New Roman" w:cs="Arial"/>
                <w:b/>
                <w:szCs w:val="16"/>
                <w:lang w:eastAsia="en-GB"/>
              </w:rPr>
            </w:pPr>
            <w:r>
              <w:rPr>
                <w:rFonts w:cs="Arial"/>
                <w:b/>
                <w:bCs/>
                <w:color w:val="000000"/>
                <w:szCs w:val="16"/>
              </w:rPr>
              <w:t>4.</w:t>
            </w:r>
            <w:r w:rsidR="005B6F9D">
              <w:rPr>
                <w:rFonts w:cs="Arial"/>
                <w:b/>
                <w:bCs/>
                <w:color w:val="000000"/>
                <w:szCs w:val="16"/>
              </w:rPr>
              <w:t xml:space="preserve">4 </w:t>
            </w:r>
          </w:p>
        </w:tc>
        <w:tc>
          <w:tcPr>
            <w:tcW w:w="992" w:type="dxa"/>
            <w:tcBorders>
              <w:top w:val="single" w:sz="4" w:space="0" w:color="auto"/>
              <w:left w:val="nil"/>
              <w:bottom w:val="single" w:sz="4" w:space="0" w:color="auto"/>
              <w:right w:val="nil"/>
            </w:tcBorders>
            <w:noWrap/>
            <w:vAlign w:val="bottom"/>
          </w:tcPr>
          <w:p w14:paraId="65759893" w14:textId="77777777" w:rsidR="00AE3CC0" w:rsidRPr="00B8452B" w:rsidRDefault="00AE3CC0">
            <w:pPr>
              <w:spacing w:line="240" w:lineRule="auto"/>
              <w:jc w:val="center"/>
              <w:rPr>
                <w:rFonts w:eastAsia="Times New Roman" w:cs="Arial"/>
                <w:b/>
                <w:szCs w:val="16"/>
                <w:lang w:eastAsia="en-GB"/>
              </w:rPr>
            </w:pPr>
            <w:r>
              <w:rPr>
                <w:rFonts w:cs="Arial"/>
                <w:b/>
                <w:bCs/>
                <w:color w:val="000000"/>
                <w:szCs w:val="16"/>
              </w:rPr>
              <w:t xml:space="preserve">5.8 </w:t>
            </w:r>
          </w:p>
        </w:tc>
        <w:tc>
          <w:tcPr>
            <w:tcW w:w="992" w:type="dxa"/>
            <w:tcBorders>
              <w:top w:val="single" w:sz="4" w:space="0" w:color="auto"/>
              <w:left w:val="nil"/>
              <w:bottom w:val="single" w:sz="4" w:space="0" w:color="auto"/>
              <w:right w:val="nil"/>
            </w:tcBorders>
            <w:noWrap/>
            <w:vAlign w:val="bottom"/>
          </w:tcPr>
          <w:p w14:paraId="6B6B3064" w14:textId="1905BB20" w:rsidR="00AE3CC0" w:rsidRPr="00B8452B" w:rsidRDefault="00AE3CC0">
            <w:pPr>
              <w:spacing w:line="240" w:lineRule="auto"/>
              <w:jc w:val="center"/>
              <w:rPr>
                <w:rFonts w:eastAsia="Times New Roman" w:cs="Arial"/>
                <w:b/>
                <w:szCs w:val="16"/>
                <w:lang w:eastAsia="en-GB"/>
              </w:rPr>
            </w:pPr>
            <w:r>
              <w:rPr>
                <w:rFonts w:cs="Arial"/>
                <w:b/>
                <w:bCs/>
                <w:color w:val="000000"/>
                <w:szCs w:val="16"/>
              </w:rPr>
              <w:t>10.</w:t>
            </w:r>
            <w:r w:rsidR="004C5703">
              <w:rPr>
                <w:rFonts w:cs="Arial"/>
                <w:b/>
                <w:bCs/>
                <w:color w:val="000000"/>
                <w:szCs w:val="16"/>
              </w:rPr>
              <w:t>2</w:t>
            </w:r>
            <w:r w:rsidR="00742832">
              <w:rPr>
                <w:rFonts w:cs="Arial"/>
                <w:b/>
                <w:bCs/>
                <w:color w:val="000000"/>
                <w:szCs w:val="16"/>
              </w:rPr>
              <w:t xml:space="preserve"> </w:t>
            </w:r>
          </w:p>
        </w:tc>
      </w:tr>
      <w:tr w:rsidR="00AE3CC0" w:rsidRPr="001A0FEC" w14:paraId="54DA7A0D" w14:textId="77777777">
        <w:trPr>
          <w:trHeight w:val="300"/>
        </w:trPr>
        <w:tc>
          <w:tcPr>
            <w:tcW w:w="2822" w:type="dxa"/>
            <w:tcBorders>
              <w:top w:val="nil"/>
              <w:left w:val="nil"/>
              <w:bottom w:val="nil"/>
              <w:right w:val="nil"/>
            </w:tcBorders>
            <w:noWrap/>
            <w:vAlign w:val="bottom"/>
            <w:hideMark/>
          </w:tcPr>
          <w:p w14:paraId="64CDF4D7" w14:textId="77777777" w:rsidR="00AE3CC0" w:rsidRPr="00B8452B" w:rsidRDefault="00AE3CC0">
            <w:pPr>
              <w:spacing w:line="240" w:lineRule="auto"/>
              <w:jc w:val="center"/>
              <w:rPr>
                <w:rFonts w:eastAsia="Times New Roman" w:cs="Arial"/>
                <w:b/>
                <w:szCs w:val="16"/>
                <w:lang w:eastAsia="en-GB"/>
              </w:rPr>
            </w:pPr>
          </w:p>
        </w:tc>
        <w:tc>
          <w:tcPr>
            <w:tcW w:w="261" w:type="dxa"/>
            <w:tcBorders>
              <w:top w:val="nil"/>
              <w:left w:val="nil"/>
              <w:bottom w:val="nil"/>
              <w:right w:val="nil"/>
            </w:tcBorders>
            <w:noWrap/>
            <w:vAlign w:val="bottom"/>
            <w:hideMark/>
          </w:tcPr>
          <w:p w14:paraId="4C36D856" w14:textId="77777777" w:rsidR="00AE3CC0" w:rsidRPr="00B8452B" w:rsidRDefault="00AE3CC0">
            <w:pPr>
              <w:spacing w:line="240" w:lineRule="auto"/>
              <w:rPr>
                <w:rFonts w:eastAsia="Times New Roman" w:cs="Arial"/>
                <w:szCs w:val="16"/>
                <w:lang w:eastAsia="en-GB"/>
              </w:rPr>
            </w:pPr>
          </w:p>
        </w:tc>
        <w:tc>
          <w:tcPr>
            <w:tcW w:w="743" w:type="dxa"/>
            <w:tcBorders>
              <w:top w:val="nil"/>
              <w:left w:val="nil"/>
              <w:bottom w:val="nil"/>
              <w:right w:val="nil"/>
            </w:tcBorders>
            <w:noWrap/>
            <w:vAlign w:val="bottom"/>
            <w:hideMark/>
          </w:tcPr>
          <w:p w14:paraId="6F163B39" w14:textId="77777777" w:rsidR="00AE3CC0" w:rsidRPr="00B8452B" w:rsidRDefault="00AE3CC0">
            <w:pPr>
              <w:spacing w:line="240" w:lineRule="auto"/>
              <w:rPr>
                <w:rFonts w:eastAsia="Times New Roman" w:cs="Arial"/>
                <w:szCs w:val="16"/>
                <w:lang w:eastAsia="en-GB"/>
              </w:rPr>
            </w:pPr>
          </w:p>
        </w:tc>
        <w:tc>
          <w:tcPr>
            <w:tcW w:w="919" w:type="dxa"/>
            <w:gridSpan w:val="2"/>
            <w:tcBorders>
              <w:top w:val="nil"/>
              <w:left w:val="nil"/>
              <w:bottom w:val="nil"/>
              <w:right w:val="nil"/>
            </w:tcBorders>
            <w:noWrap/>
            <w:vAlign w:val="bottom"/>
            <w:hideMark/>
          </w:tcPr>
          <w:p w14:paraId="42EAEDB2" w14:textId="77777777" w:rsidR="00AE3CC0" w:rsidRPr="00B8452B" w:rsidRDefault="00AE3CC0">
            <w:pPr>
              <w:spacing w:line="240" w:lineRule="auto"/>
              <w:rPr>
                <w:rFonts w:eastAsia="Times New Roman" w:cs="Arial"/>
                <w:szCs w:val="16"/>
                <w:lang w:eastAsia="en-GB"/>
              </w:rPr>
            </w:pPr>
          </w:p>
        </w:tc>
        <w:tc>
          <w:tcPr>
            <w:tcW w:w="960" w:type="dxa"/>
            <w:tcBorders>
              <w:top w:val="nil"/>
              <w:left w:val="nil"/>
              <w:bottom w:val="nil"/>
              <w:right w:val="nil"/>
            </w:tcBorders>
            <w:noWrap/>
            <w:vAlign w:val="bottom"/>
            <w:hideMark/>
          </w:tcPr>
          <w:p w14:paraId="49ADA665" w14:textId="77777777" w:rsidR="00AE3CC0" w:rsidRPr="00B8452B" w:rsidRDefault="00AE3CC0">
            <w:pPr>
              <w:spacing w:line="240" w:lineRule="auto"/>
              <w:rPr>
                <w:rFonts w:eastAsia="Times New Roman" w:cs="Arial"/>
                <w:szCs w:val="16"/>
                <w:lang w:eastAsia="en-GB"/>
              </w:rPr>
            </w:pPr>
          </w:p>
        </w:tc>
        <w:tc>
          <w:tcPr>
            <w:tcW w:w="901" w:type="dxa"/>
            <w:tcBorders>
              <w:top w:val="nil"/>
              <w:left w:val="nil"/>
              <w:bottom w:val="nil"/>
              <w:right w:val="nil"/>
            </w:tcBorders>
            <w:noWrap/>
            <w:vAlign w:val="bottom"/>
            <w:hideMark/>
          </w:tcPr>
          <w:p w14:paraId="25D55DA4" w14:textId="77777777" w:rsidR="00AE3CC0" w:rsidRPr="00B8452B" w:rsidRDefault="00AE3CC0">
            <w:pPr>
              <w:spacing w:line="240" w:lineRule="auto"/>
              <w:rPr>
                <w:rFonts w:eastAsia="Times New Roman" w:cs="Arial"/>
                <w:szCs w:val="16"/>
                <w:lang w:eastAsia="en-GB"/>
              </w:rPr>
            </w:pPr>
          </w:p>
        </w:tc>
        <w:tc>
          <w:tcPr>
            <w:tcW w:w="236" w:type="dxa"/>
            <w:tcBorders>
              <w:top w:val="nil"/>
              <w:left w:val="nil"/>
              <w:bottom w:val="nil"/>
              <w:right w:val="nil"/>
            </w:tcBorders>
            <w:noWrap/>
            <w:vAlign w:val="bottom"/>
            <w:hideMark/>
          </w:tcPr>
          <w:p w14:paraId="0576141B" w14:textId="77777777" w:rsidR="00AE3CC0" w:rsidRPr="00B8452B" w:rsidRDefault="00AE3CC0">
            <w:pPr>
              <w:spacing w:line="240" w:lineRule="auto"/>
              <w:rPr>
                <w:rFonts w:eastAsia="Times New Roman" w:cs="Arial"/>
                <w:szCs w:val="16"/>
                <w:lang w:eastAsia="en-GB"/>
              </w:rPr>
            </w:pPr>
          </w:p>
        </w:tc>
        <w:tc>
          <w:tcPr>
            <w:tcW w:w="991" w:type="dxa"/>
            <w:gridSpan w:val="2"/>
            <w:tcBorders>
              <w:top w:val="nil"/>
              <w:left w:val="nil"/>
              <w:bottom w:val="nil"/>
              <w:right w:val="nil"/>
            </w:tcBorders>
            <w:noWrap/>
            <w:vAlign w:val="bottom"/>
            <w:hideMark/>
          </w:tcPr>
          <w:p w14:paraId="1DEDF3C7" w14:textId="77777777" w:rsidR="00AE3CC0" w:rsidRPr="00B8452B" w:rsidRDefault="00AE3CC0">
            <w:pPr>
              <w:spacing w:line="240" w:lineRule="auto"/>
              <w:rPr>
                <w:rFonts w:eastAsia="Times New Roman" w:cs="Arial"/>
                <w:szCs w:val="16"/>
                <w:lang w:eastAsia="en-GB"/>
              </w:rPr>
            </w:pPr>
          </w:p>
        </w:tc>
        <w:tc>
          <w:tcPr>
            <w:tcW w:w="992" w:type="dxa"/>
            <w:tcBorders>
              <w:top w:val="nil"/>
              <w:left w:val="nil"/>
              <w:bottom w:val="nil"/>
              <w:right w:val="nil"/>
            </w:tcBorders>
            <w:noWrap/>
            <w:vAlign w:val="bottom"/>
            <w:hideMark/>
          </w:tcPr>
          <w:p w14:paraId="4CADD3F6" w14:textId="77777777" w:rsidR="00AE3CC0" w:rsidRPr="00B8452B" w:rsidRDefault="00AE3CC0">
            <w:pPr>
              <w:spacing w:line="240" w:lineRule="auto"/>
              <w:rPr>
                <w:rFonts w:eastAsia="Times New Roman" w:cs="Arial"/>
                <w:szCs w:val="16"/>
                <w:lang w:eastAsia="en-GB"/>
              </w:rPr>
            </w:pPr>
          </w:p>
        </w:tc>
        <w:tc>
          <w:tcPr>
            <w:tcW w:w="992" w:type="dxa"/>
            <w:tcBorders>
              <w:top w:val="nil"/>
              <w:left w:val="nil"/>
              <w:bottom w:val="nil"/>
              <w:right w:val="nil"/>
            </w:tcBorders>
            <w:noWrap/>
            <w:vAlign w:val="bottom"/>
            <w:hideMark/>
          </w:tcPr>
          <w:p w14:paraId="43A966D3" w14:textId="77777777" w:rsidR="00AE3CC0" w:rsidRPr="00B8452B" w:rsidRDefault="00AE3CC0">
            <w:pPr>
              <w:spacing w:line="240" w:lineRule="auto"/>
              <w:rPr>
                <w:rFonts w:eastAsia="Times New Roman" w:cs="Arial"/>
                <w:szCs w:val="16"/>
                <w:lang w:eastAsia="en-GB"/>
              </w:rPr>
            </w:pPr>
          </w:p>
        </w:tc>
      </w:tr>
      <w:tr w:rsidR="00AE3CC0" w:rsidRPr="001A0FEC" w14:paraId="5B540A78" w14:textId="77777777">
        <w:trPr>
          <w:trHeight w:val="300"/>
        </w:trPr>
        <w:tc>
          <w:tcPr>
            <w:tcW w:w="2822" w:type="dxa"/>
            <w:tcBorders>
              <w:top w:val="nil"/>
              <w:left w:val="nil"/>
              <w:bottom w:val="nil"/>
              <w:right w:val="nil"/>
            </w:tcBorders>
            <w:noWrap/>
            <w:vAlign w:val="bottom"/>
            <w:hideMark/>
          </w:tcPr>
          <w:p w14:paraId="5C8936E9" w14:textId="77777777" w:rsidR="00AE3CC0" w:rsidRPr="006533BA" w:rsidRDefault="00AE3CC0">
            <w:pPr>
              <w:spacing w:line="240" w:lineRule="auto"/>
              <w:rPr>
                <w:rFonts w:eastAsia="Times New Roman" w:cs="Arial"/>
                <w:b/>
                <w:bCs/>
                <w:szCs w:val="16"/>
                <w:lang w:eastAsia="en-GB"/>
              </w:rPr>
            </w:pPr>
            <w:r w:rsidRPr="006533BA">
              <w:rPr>
                <w:rFonts w:eastAsia="Times New Roman" w:cs="Arial"/>
                <w:b/>
                <w:bCs/>
                <w:szCs w:val="16"/>
                <w:lang w:eastAsia="en-GB"/>
              </w:rPr>
              <w:t>Operating profit</w:t>
            </w:r>
          </w:p>
        </w:tc>
        <w:tc>
          <w:tcPr>
            <w:tcW w:w="261" w:type="dxa"/>
            <w:tcBorders>
              <w:top w:val="nil"/>
              <w:left w:val="nil"/>
              <w:bottom w:val="nil"/>
              <w:right w:val="nil"/>
            </w:tcBorders>
            <w:noWrap/>
            <w:vAlign w:val="bottom"/>
            <w:hideMark/>
          </w:tcPr>
          <w:p w14:paraId="170C81F5" w14:textId="77777777" w:rsidR="00AE3CC0" w:rsidRPr="006533BA" w:rsidRDefault="00AE3CC0">
            <w:pPr>
              <w:spacing w:line="240" w:lineRule="auto"/>
              <w:rPr>
                <w:rFonts w:eastAsia="Times New Roman" w:cs="Arial"/>
                <w:b/>
                <w:bCs/>
                <w:szCs w:val="16"/>
                <w:lang w:eastAsia="en-GB"/>
              </w:rPr>
            </w:pPr>
          </w:p>
        </w:tc>
        <w:tc>
          <w:tcPr>
            <w:tcW w:w="743" w:type="dxa"/>
            <w:tcBorders>
              <w:top w:val="nil"/>
              <w:left w:val="nil"/>
              <w:bottom w:val="nil"/>
              <w:right w:val="nil"/>
            </w:tcBorders>
            <w:noWrap/>
            <w:vAlign w:val="bottom"/>
            <w:hideMark/>
          </w:tcPr>
          <w:p w14:paraId="55E24A67" w14:textId="77777777" w:rsidR="00AE3CC0" w:rsidRPr="006533BA" w:rsidRDefault="00AE3CC0">
            <w:pPr>
              <w:spacing w:line="240" w:lineRule="auto"/>
              <w:rPr>
                <w:rFonts w:eastAsia="Times New Roman" w:cs="Arial"/>
                <w:szCs w:val="16"/>
                <w:lang w:eastAsia="en-GB"/>
              </w:rPr>
            </w:pPr>
          </w:p>
        </w:tc>
        <w:tc>
          <w:tcPr>
            <w:tcW w:w="919" w:type="dxa"/>
            <w:gridSpan w:val="2"/>
            <w:tcBorders>
              <w:top w:val="nil"/>
              <w:left w:val="nil"/>
              <w:bottom w:val="nil"/>
              <w:right w:val="nil"/>
            </w:tcBorders>
            <w:noWrap/>
            <w:vAlign w:val="bottom"/>
            <w:hideMark/>
          </w:tcPr>
          <w:p w14:paraId="654D264F" w14:textId="2C58386D" w:rsidR="00AE3CC0" w:rsidRPr="006533BA" w:rsidRDefault="00EA2CA6">
            <w:pPr>
              <w:spacing w:line="240" w:lineRule="auto"/>
              <w:jc w:val="center"/>
              <w:rPr>
                <w:rFonts w:eastAsia="Times New Roman" w:cs="Arial"/>
                <w:szCs w:val="16"/>
                <w:lang w:eastAsia="en-GB"/>
              </w:rPr>
            </w:pPr>
            <w:r>
              <w:rPr>
                <w:rFonts w:cs="Arial"/>
                <w:color w:val="000000"/>
                <w:szCs w:val="16"/>
              </w:rPr>
              <w:t>7.5</w:t>
            </w:r>
            <w:r w:rsidR="00AE3CC0" w:rsidRPr="006533BA">
              <w:rPr>
                <w:rFonts w:cs="Arial"/>
                <w:color w:val="000000"/>
                <w:szCs w:val="16"/>
              </w:rPr>
              <w:t xml:space="preserve"> </w:t>
            </w:r>
          </w:p>
        </w:tc>
        <w:tc>
          <w:tcPr>
            <w:tcW w:w="960" w:type="dxa"/>
            <w:tcBorders>
              <w:top w:val="nil"/>
              <w:left w:val="nil"/>
              <w:bottom w:val="nil"/>
              <w:right w:val="nil"/>
            </w:tcBorders>
            <w:noWrap/>
            <w:vAlign w:val="bottom"/>
            <w:hideMark/>
          </w:tcPr>
          <w:p w14:paraId="5BC39D2F" w14:textId="4F7983D7" w:rsidR="00AE3CC0" w:rsidRPr="00B8452B" w:rsidRDefault="00B7664F">
            <w:pPr>
              <w:spacing w:line="240" w:lineRule="auto"/>
              <w:jc w:val="center"/>
              <w:rPr>
                <w:rFonts w:eastAsia="Times New Roman" w:cs="Arial"/>
                <w:szCs w:val="16"/>
                <w:lang w:eastAsia="en-GB"/>
              </w:rPr>
            </w:pPr>
            <w:r>
              <w:rPr>
                <w:rFonts w:cs="Arial"/>
                <w:color w:val="000000"/>
                <w:szCs w:val="16"/>
              </w:rPr>
              <w:t>2.1</w:t>
            </w:r>
          </w:p>
        </w:tc>
        <w:tc>
          <w:tcPr>
            <w:tcW w:w="901" w:type="dxa"/>
            <w:tcBorders>
              <w:top w:val="nil"/>
              <w:left w:val="nil"/>
              <w:bottom w:val="nil"/>
              <w:right w:val="nil"/>
            </w:tcBorders>
            <w:noWrap/>
            <w:vAlign w:val="bottom"/>
            <w:hideMark/>
          </w:tcPr>
          <w:p w14:paraId="7A71F0E8" w14:textId="03C3AB92" w:rsidR="00AE3CC0" w:rsidRPr="00B8452B" w:rsidRDefault="00AE3CC0">
            <w:pPr>
              <w:spacing w:line="240" w:lineRule="auto"/>
              <w:jc w:val="center"/>
              <w:rPr>
                <w:rFonts w:eastAsia="Times New Roman" w:cs="Arial"/>
                <w:szCs w:val="16"/>
                <w:lang w:eastAsia="en-GB"/>
              </w:rPr>
            </w:pPr>
            <w:r>
              <w:rPr>
                <w:rFonts w:cs="Arial"/>
                <w:color w:val="000000"/>
                <w:szCs w:val="16"/>
              </w:rPr>
              <w:t>9.</w:t>
            </w:r>
            <w:r w:rsidDel="00C53607">
              <w:rPr>
                <w:rFonts w:cs="Arial"/>
                <w:color w:val="000000"/>
                <w:szCs w:val="16"/>
              </w:rPr>
              <w:t xml:space="preserve">6 </w:t>
            </w:r>
          </w:p>
        </w:tc>
        <w:tc>
          <w:tcPr>
            <w:tcW w:w="236" w:type="dxa"/>
            <w:tcBorders>
              <w:top w:val="nil"/>
              <w:left w:val="nil"/>
              <w:bottom w:val="nil"/>
              <w:right w:val="nil"/>
            </w:tcBorders>
            <w:noWrap/>
            <w:vAlign w:val="bottom"/>
            <w:hideMark/>
          </w:tcPr>
          <w:p w14:paraId="0033F683" w14:textId="77777777" w:rsidR="00AE3CC0" w:rsidRPr="00B8452B" w:rsidRDefault="00AE3CC0">
            <w:pPr>
              <w:spacing w:line="240" w:lineRule="auto"/>
              <w:jc w:val="center"/>
              <w:rPr>
                <w:rFonts w:eastAsia="Times New Roman" w:cs="Arial"/>
                <w:szCs w:val="16"/>
                <w:lang w:eastAsia="en-GB"/>
              </w:rPr>
            </w:pPr>
          </w:p>
        </w:tc>
        <w:tc>
          <w:tcPr>
            <w:tcW w:w="991" w:type="dxa"/>
            <w:gridSpan w:val="2"/>
            <w:tcBorders>
              <w:top w:val="nil"/>
              <w:left w:val="nil"/>
              <w:bottom w:val="nil"/>
              <w:right w:val="nil"/>
            </w:tcBorders>
            <w:noWrap/>
            <w:vAlign w:val="bottom"/>
            <w:hideMark/>
          </w:tcPr>
          <w:p w14:paraId="6484A760" w14:textId="0BE88482" w:rsidR="00AE3CC0" w:rsidRPr="00B8452B" w:rsidRDefault="00AE3CC0">
            <w:pPr>
              <w:spacing w:line="240" w:lineRule="auto"/>
              <w:jc w:val="center"/>
              <w:rPr>
                <w:rFonts w:eastAsia="Times New Roman" w:cs="Arial"/>
                <w:szCs w:val="16"/>
                <w:lang w:eastAsia="en-GB"/>
              </w:rPr>
            </w:pPr>
            <w:r w:rsidRPr="006533BA">
              <w:rPr>
                <w:rFonts w:cs="Arial"/>
                <w:color w:val="000000"/>
                <w:szCs w:val="16"/>
              </w:rPr>
              <w:t>10.</w:t>
            </w:r>
            <w:r w:rsidR="005B6F9D">
              <w:rPr>
                <w:rFonts w:cs="Arial"/>
                <w:color w:val="000000"/>
                <w:szCs w:val="16"/>
              </w:rPr>
              <w:t>3</w:t>
            </w:r>
            <w:r w:rsidRPr="006533BA">
              <w:rPr>
                <w:rFonts w:cs="Arial"/>
                <w:color w:val="000000"/>
                <w:szCs w:val="16"/>
              </w:rPr>
              <w:t xml:space="preserve"> </w:t>
            </w:r>
          </w:p>
        </w:tc>
        <w:tc>
          <w:tcPr>
            <w:tcW w:w="992" w:type="dxa"/>
            <w:tcBorders>
              <w:top w:val="nil"/>
              <w:left w:val="nil"/>
              <w:bottom w:val="nil"/>
              <w:right w:val="nil"/>
            </w:tcBorders>
            <w:noWrap/>
            <w:vAlign w:val="bottom"/>
            <w:hideMark/>
          </w:tcPr>
          <w:p w14:paraId="5015F906" w14:textId="77777777" w:rsidR="00AE3CC0" w:rsidRPr="00B8452B" w:rsidRDefault="00AE3CC0">
            <w:pPr>
              <w:spacing w:line="240" w:lineRule="auto"/>
              <w:jc w:val="center"/>
              <w:rPr>
                <w:rFonts w:eastAsia="Times New Roman" w:cs="Arial"/>
                <w:szCs w:val="16"/>
                <w:lang w:eastAsia="en-GB"/>
              </w:rPr>
            </w:pPr>
            <w:r w:rsidRPr="006533BA">
              <w:rPr>
                <w:rFonts w:cs="Arial"/>
                <w:color w:val="000000"/>
                <w:szCs w:val="16"/>
              </w:rPr>
              <w:t xml:space="preserve">5.7 </w:t>
            </w:r>
          </w:p>
        </w:tc>
        <w:tc>
          <w:tcPr>
            <w:tcW w:w="992" w:type="dxa"/>
            <w:tcBorders>
              <w:top w:val="nil"/>
              <w:left w:val="nil"/>
              <w:bottom w:val="nil"/>
              <w:right w:val="nil"/>
            </w:tcBorders>
            <w:noWrap/>
            <w:vAlign w:val="bottom"/>
            <w:hideMark/>
          </w:tcPr>
          <w:p w14:paraId="75FF39A9" w14:textId="72302672" w:rsidR="00AE3CC0" w:rsidRPr="00B8452B" w:rsidRDefault="00AE3CC0">
            <w:pPr>
              <w:spacing w:line="240" w:lineRule="auto"/>
              <w:jc w:val="center"/>
              <w:rPr>
                <w:rFonts w:eastAsia="Times New Roman" w:cs="Arial"/>
                <w:szCs w:val="16"/>
                <w:lang w:eastAsia="en-GB"/>
              </w:rPr>
            </w:pPr>
            <w:r w:rsidRPr="006533BA">
              <w:rPr>
                <w:rFonts w:cs="Arial"/>
                <w:color w:val="000000"/>
                <w:szCs w:val="16"/>
              </w:rPr>
              <w:t>1</w:t>
            </w:r>
            <w:r w:rsidR="004C5703">
              <w:rPr>
                <w:rFonts w:cs="Arial"/>
                <w:color w:val="000000"/>
                <w:szCs w:val="16"/>
              </w:rPr>
              <w:t>6.0</w:t>
            </w:r>
            <w:r w:rsidRPr="006533BA">
              <w:rPr>
                <w:rFonts w:cs="Arial"/>
                <w:color w:val="000000"/>
                <w:szCs w:val="16"/>
              </w:rPr>
              <w:t xml:space="preserve"> </w:t>
            </w:r>
          </w:p>
        </w:tc>
      </w:tr>
      <w:tr w:rsidR="00AE3CC0" w:rsidRPr="001A0FEC" w14:paraId="43FB6933" w14:textId="77777777">
        <w:trPr>
          <w:trHeight w:val="300"/>
        </w:trPr>
        <w:tc>
          <w:tcPr>
            <w:tcW w:w="3826" w:type="dxa"/>
            <w:gridSpan w:val="3"/>
            <w:tcBorders>
              <w:top w:val="nil"/>
              <w:left w:val="nil"/>
              <w:bottom w:val="nil"/>
              <w:right w:val="nil"/>
            </w:tcBorders>
            <w:noWrap/>
            <w:vAlign w:val="bottom"/>
            <w:hideMark/>
          </w:tcPr>
          <w:p w14:paraId="30BF0D66" w14:textId="2BAB47D1" w:rsidR="00AE3CC0" w:rsidRPr="007546A7" w:rsidRDefault="00AE3CC0">
            <w:pPr>
              <w:spacing w:line="240" w:lineRule="auto"/>
              <w:rPr>
                <w:rFonts w:eastAsia="Times New Roman" w:cs="Arial"/>
                <w:szCs w:val="16"/>
                <w:lang w:eastAsia="en-GB"/>
              </w:rPr>
            </w:pPr>
            <w:r w:rsidRPr="007546A7">
              <w:rPr>
                <w:rFonts w:eastAsia="Times New Roman" w:cs="Arial"/>
                <w:szCs w:val="16"/>
                <w:lang w:eastAsia="en-GB"/>
              </w:rPr>
              <w:t xml:space="preserve">Depreciation and impairment </w:t>
            </w:r>
            <w:r w:rsidR="00EB148E">
              <w:rPr>
                <w:rFonts w:eastAsia="Times New Roman" w:cs="Arial"/>
                <w:szCs w:val="16"/>
                <w:lang w:eastAsia="en-GB"/>
              </w:rPr>
              <w:t>of PPE and software</w:t>
            </w:r>
          </w:p>
        </w:tc>
        <w:tc>
          <w:tcPr>
            <w:tcW w:w="919" w:type="dxa"/>
            <w:gridSpan w:val="2"/>
            <w:tcBorders>
              <w:top w:val="nil"/>
              <w:left w:val="nil"/>
              <w:bottom w:val="nil"/>
              <w:right w:val="nil"/>
            </w:tcBorders>
            <w:noWrap/>
            <w:vAlign w:val="bottom"/>
            <w:hideMark/>
          </w:tcPr>
          <w:p w14:paraId="2C71C0B2" w14:textId="0499B910" w:rsidR="00AE3CC0" w:rsidRPr="007546A7" w:rsidRDefault="00AE3CC0">
            <w:pPr>
              <w:spacing w:line="240" w:lineRule="auto"/>
              <w:jc w:val="center"/>
              <w:rPr>
                <w:rFonts w:eastAsia="Times New Roman" w:cs="Arial"/>
                <w:szCs w:val="16"/>
                <w:lang w:eastAsia="en-GB"/>
              </w:rPr>
            </w:pPr>
            <w:r w:rsidRPr="007546A7">
              <w:rPr>
                <w:rFonts w:eastAsia="Times New Roman" w:cs="Arial"/>
                <w:szCs w:val="16"/>
                <w:lang w:eastAsia="en-GB"/>
              </w:rPr>
              <w:t>5.</w:t>
            </w:r>
            <w:r w:rsidR="00C53607">
              <w:rPr>
                <w:rFonts w:eastAsia="Times New Roman" w:cs="Arial"/>
                <w:szCs w:val="16"/>
                <w:lang w:eastAsia="en-GB"/>
              </w:rPr>
              <w:t>3</w:t>
            </w:r>
          </w:p>
        </w:tc>
        <w:tc>
          <w:tcPr>
            <w:tcW w:w="960" w:type="dxa"/>
            <w:tcBorders>
              <w:top w:val="nil"/>
              <w:left w:val="nil"/>
              <w:bottom w:val="nil"/>
              <w:right w:val="nil"/>
            </w:tcBorders>
            <w:noWrap/>
            <w:vAlign w:val="bottom"/>
            <w:hideMark/>
          </w:tcPr>
          <w:p w14:paraId="22FA40D0" w14:textId="3E9E3FF0" w:rsidR="00AE3CC0" w:rsidRPr="007546A7" w:rsidRDefault="00AD203D">
            <w:pPr>
              <w:spacing w:line="240" w:lineRule="auto"/>
              <w:jc w:val="center"/>
              <w:rPr>
                <w:rFonts w:eastAsia="Times New Roman" w:cs="Arial"/>
                <w:szCs w:val="16"/>
                <w:lang w:eastAsia="en-GB"/>
              </w:rPr>
            </w:pPr>
            <w:r>
              <w:rPr>
                <w:rFonts w:eastAsia="MS Mincho" w:cs="Arial"/>
                <w:szCs w:val="16"/>
              </w:rPr>
              <w:t>-</w:t>
            </w:r>
          </w:p>
        </w:tc>
        <w:tc>
          <w:tcPr>
            <w:tcW w:w="901" w:type="dxa"/>
            <w:tcBorders>
              <w:top w:val="nil"/>
              <w:left w:val="nil"/>
              <w:bottom w:val="nil"/>
              <w:right w:val="nil"/>
            </w:tcBorders>
            <w:noWrap/>
            <w:vAlign w:val="bottom"/>
            <w:hideMark/>
          </w:tcPr>
          <w:p w14:paraId="75951E5C" w14:textId="185D570F" w:rsidR="00AE3CC0" w:rsidRPr="007546A7" w:rsidRDefault="00AE3CC0">
            <w:pPr>
              <w:spacing w:line="240" w:lineRule="auto"/>
              <w:jc w:val="center"/>
              <w:rPr>
                <w:rFonts w:eastAsia="Times New Roman" w:cs="Arial"/>
                <w:szCs w:val="16"/>
                <w:lang w:eastAsia="en-GB"/>
              </w:rPr>
            </w:pPr>
            <w:r w:rsidRPr="007546A7">
              <w:rPr>
                <w:rFonts w:eastAsia="Times New Roman" w:cs="Arial"/>
                <w:szCs w:val="16"/>
                <w:lang w:eastAsia="en-GB"/>
              </w:rPr>
              <w:t>5.</w:t>
            </w:r>
            <w:r w:rsidR="00C53607">
              <w:rPr>
                <w:rFonts w:eastAsia="Times New Roman" w:cs="Arial"/>
                <w:szCs w:val="16"/>
                <w:lang w:eastAsia="en-GB"/>
              </w:rPr>
              <w:t>3</w:t>
            </w:r>
          </w:p>
        </w:tc>
        <w:tc>
          <w:tcPr>
            <w:tcW w:w="236" w:type="dxa"/>
            <w:tcBorders>
              <w:top w:val="nil"/>
              <w:left w:val="nil"/>
              <w:bottom w:val="nil"/>
              <w:right w:val="nil"/>
            </w:tcBorders>
            <w:noWrap/>
            <w:vAlign w:val="bottom"/>
            <w:hideMark/>
          </w:tcPr>
          <w:p w14:paraId="74BAB577" w14:textId="77777777" w:rsidR="00AE3CC0" w:rsidRPr="00B8452B" w:rsidRDefault="00AE3CC0">
            <w:pPr>
              <w:spacing w:line="240" w:lineRule="auto"/>
              <w:jc w:val="center"/>
              <w:rPr>
                <w:rFonts w:eastAsia="Times New Roman" w:cs="Arial"/>
                <w:szCs w:val="16"/>
                <w:lang w:eastAsia="en-GB"/>
              </w:rPr>
            </w:pPr>
          </w:p>
        </w:tc>
        <w:tc>
          <w:tcPr>
            <w:tcW w:w="991" w:type="dxa"/>
            <w:gridSpan w:val="2"/>
            <w:tcBorders>
              <w:top w:val="nil"/>
              <w:left w:val="nil"/>
              <w:bottom w:val="nil"/>
              <w:right w:val="nil"/>
            </w:tcBorders>
            <w:noWrap/>
            <w:vAlign w:val="bottom"/>
          </w:tcPr>
          <w:p w14:paraId="39D094C9" w14:textId="4FE18F6C" w:rsidR="00AE3CC0" w:rsidRPr="0032388C" w:rsidRDefault="00AE3CC0">
            <w:pPr>
              <w:spacing w:line="240" w:lineRule="auto"/>
              <w:jc w:val="center"/>
              <w:rPr>
                <w:rFonts w:eastAsia="Times New Roman" w:cs="Arial"/>
                <w:szCs w:val="16"/>
                <w:lang w:eastAsia="en-GB"/>
              </w:rPr>
            </w:pPr>
            <w:r w:rsidRPr="0032388C">
              <w:rPr>
                <w:rFonts w:eastAsia="Times New Roman" w:cs="Arial"/>
                <w:szCs w:val="16"/>
                <w:lang w:eastAsia="en-GB"/>
              </w:rPr>
              <w:t>4.</w:t>
            </w:r>
            <w:r w:rsidR="00742832">
              <w:rPr>
                <w:rFonts w:eastAsia="Times New Roman" w:cs="Arial"/>
                <w:szCs w:val="16"/>
                <w:lang w:eastAsia="en-GB"/>
              </w:rPr>
              <w:t>4</w:t>
            </w:r>
          </w:p>
        </w:tc>
        <w:tc>
          <w:tcPr>
            <w:tcW w:w="992" w:type="dxa"/>
            <w:tcBorders>
              <w:top w:val="nil"/>
              <w:left w:val="nil"/>
              <w:bottom w:val="nil"/>
              <w:right w:val="nil"/>
            </w:tcBorders>
            <w:noWrap/>
            <w:vAlign w:val="bottom"/>
          </w:tcPr>
          <w:p w14:paraId="11E8B4EB" w14:textId="77777777" w:rsidR="00AE3CC0" w:rsidRPr="0032388C" w:rsidRDefault="00AE3CC0">
            <w:pPr>
              <w:spacing w:line="240" w:lineRule="auto"/>
              <w:jc w:val="center"/>
              <w:rPr>
                <w:rFonts w:eastAsia="Times New Roman" w:cs="Arial"/>
                <w:szCs w:val="16"/>
                <w:lang w:eastAsia="en-GB"/>
              </w:rPr>
            </w:pPr>
            <w:r w:rsidRPr="0032388C">
              <w:rPr>
                <w:rFonts w:eastAsia="Times New Roman" w:cs="Arial"/>
                <w:szCs w:val="16"/>
                <w:lang w:eastAsia="en-GB"/>
              </w:rPr>
              <w:t>(0.6)</w:t>
            </w:r>
          </w:p>
        </w:tc>
        <w:tc>
          <w:tcPr>
            <w:tcW w:w="992" w:type="dxa"/>
            <w:tcBorders>
              <w:top w:val="nil"/>
              <w:left w:val="nil"/>
              <w:bottom w:val="nil"/>
              <w:right w:val="nil"/>
            </w:tcBorders>
            <w:noWrap/>
            <w:vAlign w:val="bottom"/>
          </w:tcPr>
          <w:p w14:paraId="2771634E" w14:textId="1B480C2F" w:rsidR="00AE3CC0" w:rsidRPr="0032388C" w:rsidRDefault="00AE3CC0">
            <w:pPr>
              <w:spacing w:line="240" w:lineRule="auto"/>
              <w:jc w:val="center"/>
              <w:rPr>
                <w:rFonts w:eastAsia="Times New Roman" w:cs="Arial"/>
                <w:szCs w:val="16"/>
                <w:lang w:eastAsia="en-GB"/>
              </w:rPr>
            </w:pPr>
            <w:r w:rsidRPr="0032388C">
              <w:rPr>
                <w:rFonts w:eastAsia="Times New Roman" w:cs="Arial"/>
                <w:szCs w:val="16"/>
                <w:lang w:eastAsia="en-GB"/>
              </w:rPr>
              <w:t>3.</w:t>
            </w:r>
            <w:r w:rsidR="00742832">
              <w:rPr>
                <w:rFonts w:eastAsia="Times New Roman" w:cs="Arial"/>
                <w:szCs w:val="16"/>
                <w:lang w:eastAsia="en-GB"/>
              </w:rPr>
              <w:t>8</w:t>
            </w:r>
          </w:p>
        </w:tc>
      </w:tr>
      <w:tr w:rsidR="00AE3CC0" w:rsidRPr="001A0FEC" w14:paraId="5C2727EC" w14:textId="77777777">
        <w:trPr>
          <w:trHeight w:val="300"/>
        </w:trPr>
        <w:tc>
          <w:tcPr>
            <w:tcW w:w="3826" w:type="dxa"/>
            <w:gridSpan w:val="3"/>
            <w:tcBorders>
              <w:top w:val="nil"/>
              <w:left w:val="nil"/>
              <w:bottom w:val="nil"/>
              <w:right w:val="nil"/>
            </w:tcBorders>
            <w:noWrap/>
            <w:vAlign w:val="bottom"/>
            <w:hideMark/>
          </w:tcPr>
          <w:p w14:paraId="1EFF9668" w14:textId="33CAD5C8" w:rsidR="00AE3CC0" w:rsidRPr="007546A7" w:rsidRDefault="00AE3CC0">
            <w:pPr>
              <w:spacing w:line="240" w:lineRule="auto"/>
              <w:rPr>
                <w:rFonts w:eastAsia="Times New Roman" w:cs="Arial"/>
                <w:szCs w:val="16"/>
                <w:lang w:eastAsia="en-GB"/>
              </w:rPr>
            </w:pPr>
            <w:r w:rsidRPr="007546A7">
              <w:rPr>
                <w:rFonts w:eastAsia="Times New Roman" w:cs="Arial"/>
                <w:szCs w:val="16"/>
                <w:lang w:eastAsia="en-GB"/>
              </w:rPr>
              <w:t>Depreciation of right-of-use assets</w:t>
            </w:r>
          </w:p>
        </w:tc>
        <w:tc>
          <w:tcPr>
            <w:tcW w:w="919" w:type="dxa"/>
            <w:gridSpan w:val="2"/>
            <w:tcBorders>
              <w:top w:val="nil"/>
              <w:left w:val="nil"/>
              <w:bottom w:val="nil"/>
              <w:right w:val="nil"/>
            </w:tcBorders>
            <w:noWrap/>
            <w:vAlign w:val="bottom"/>
            <w:hideMark/>
          </w:tcPr>
          <w:p w14:paraId="4E39D531" w14:textId="77777777" w:rsidR="00AE3CC0" w:rsidRPr="007546A7" w:rsidRDefault="00AE3CC0">
            <w:pPr>
              <w:spacing w:line="240" w:lineRule="auto"/>
              <w:jc w:val="center"/>
              <w:rPr>
                <w:rFonts w:eastAsia="Times New Roman" w:cs="Arial"/>
                <w:szCs w:val="16"/>
                <w:lang w:eastAsia="en-GB"/>
              </w:rPr>
            </w:pPr>
            <w:r w:rsidRPr="007546A7">
              <w:rPr>
                <w:rFonts w:eastAsia="Times New Roman" w:cs="Arial"/>
                <w:szCs w:val="16"/>
                <w:lang w:eastAsia="en-GB"/>
              </w:rPr>
              <w:t>3.8</w:t>
            </w:r>
          </w:p>
        </w:tc>
        <w:tc>
          <w:tcPr>
            <w:tcW w:w="960" w:type="dxa"/>
            <w:tcBorders>
              <w:top w:val="nil"/>
              <w:left w:val="nil"/>
              <w:bottom w:val="nil"/>
              <w:right w:val="nil"/>
            </w:tcBorders>
            <w:noWrap/>
            <w:vAlign w:val="bottom"/>
            <w:hideMark/>
          </w:tcPr>
          <w:p w14:paraId="1BB4A899" w14:textId="36083AC5" w:rsidR="00AE3CC0" w:rsidRPr="007546A7" w:rsidRDefault="00AE3CC0">
            <w:pPr>
              <w:spacing w:line="240" w:lineRule="auto"/>
              <w:jc w:val="center"/>
              <w:rPr>
                <w:rFonts w:eastAsia="Times New Roman" w:cs="Arial"/>
                <w:szCs w:val="16"/>
                <w:lang w:eastAsia="en-GB"/>
              </w:rPr>
            </w:pPr>
            <w:r w:rsidRPr="007546A7">
              <w:rPr>
                <w:rFonts w:eastAsia="Times New Roman" w:cs="Arial"/>
                <w:szCs w:val="16"/>
                <w:lang w:eastAsia="en-GB"/>
              </w:rPr>
              <w:t>(0.</w:t>
            </w:r>
            <w:r w:rsidR="00663841">
              <w:rPr>
                <w:rFonts w:eastAsia="Times New Roman" w:cs="Arial"/>
                <w:szCs w:val="16"/>
                <w:lang w:eastAsia="en-GB"/>
              </w:rPr>
              <w:t>3</w:t>
            </w:r>
            <w:r w:rsidRPr="007546A7">
              <w:rPr>
                <w:rFonts w:eastAsia="Times New Roman" w:cs="Arial"/>
                <w:szCs w:val="16"/>
                <w:lang w:eastAsia="en-GB"/>
              </w:rPr>
              <w:t>)</w:t>
            </w:r>
          </w:p>
        </w:tc>
        <w:tc>
          <w:tcPr>
            <w:tcW w:w="901" w:type="dxa"/>
            <w:tcBorders>
              <w:top w:val="nil"/>
              <w:left w:val="nil"/>
              <w:bottom w:val="nil"/>
              <w:right w:val="nil"/>
            </w:tcBorders>
            <w:noWrap/>
            <w:vAlign w:val="bottom"/>
            <w:hideMark/>
          </w:tcPr>
          <w:p w14:paraId="7CB4A95B" w14:textId="74C36D48" w:rsidR="00AE3CC0" w:rsidRPr="007546A7" w:rsidRDefault="00AE3CC0">
            <w:pPr>
              <w:spacing w:line="240" w:lineRule="auto"/>
              <w:jc w:val="center"/>
              <w:rPr>
                <w:rFonts w:eastAsia="Times New Roman" w:cs="Arial"/>
                <w:szCs w:val="16"/>
                <w:lang w:eastAsia="en-GB"/>
              </w:rPr>
            </w:pPr>
            <w:r w:rsidRPr="007546A7">
              <w:rPr>
                <w:rFonts w:eastAsia="Times New Roman" w:cs="Arial"/>
                <w:szCs w:val="16"/>
                <w:lang w:eastAsia="en-GB"/>
              </w:rPr>
              <w:t>3.</w:t>
            </w:r>
            <w:r w:rsidR="00551C73">
              <w:rPr>
                <w:rFonts w:eastAsia="Times New Roman" w:cs="Arial"/>
                <w:szCs w:val="16"/>
                <w:lang w:eastAsia="en-GB"/>
              </w:rPr>
              <w:t>5</w:t>
            </w:r>
          </w:p>
        </w:tc>
        <w:tc>
          <w:tcPr>
            <w:tcW w:w="236" w:type="dxa"/>
            <w:tcBorders>
              <w:top w:val="nil"/>
              <w:left w:val="nil"/>
              <w:bottom w:val="nil"/>
              <w:right w:val="nil"/>
            </w:tcBorders>
            <w:noWrap/>
            <w:vAlign w:val="bottom"/>
            <w:hideMark/>
          </w:tcPr>
          <w:p w14:paraId="39D1F59B" w14:textId="77777777" w:rsidR="00AE3CC0" w:rsidRPr="00B8452B" w:rsidRDefault="00AE3CC0">
            <w:pPr>
              <w:spacing w:line="240" w:lineRule="auto"/>
              <w:jc w:val="center"/>
              <w:rPr>
                <w:rFonts w:eastAsia="Times New Roman" w:cs="Arial"/>
                <w:szCs w:val="16"/>
                <w:lang w:eastAsia="en-GB"/>
              </w:rPr>
            </w:pPr>
          </w:p>
        </w:tc>
        <w:tc>
          <w:tcPr>
            <w:tcW w:w="991" w:type="dxa"/>
            <w:gridSpan w:val="2"/>
            <w:tcBorders>
              <w:top w:val="nil"/>
              <w:left w:val="nil"/>
              <w:bottom w:val="nil"/>
              <w:right w:val="nil"/>
            </w:tcBorders>
            <w:noWrap/>
            <w:vAlign w:val="bottom"/>
          </w:tcPr>
          <w:p w14:paraId="46C8045D" w14:textId="77777777" w:rsidR="00AE3CC0" w:rsidRPr="0032388C" w:rsidRDefault="00AE3CC0">
            <w:pPr>
              <w:spacing w:line="240" w:lineRule="auto"/>
              <w:jc w:val="center"/>
              <w:rPr>
                <w:rFonts w:eastAsia="Times New Roman" w:cs="Arial"/>
                <w:szCs w:val="16"/>
                <w:lang w:eastAsia="en-GB"/>
              </w:rPr>
            </w:pPr>
            <w:r w:rsidRPr="0032388C">
              <w:rPr>
                <w:rFonts w:eastAsia="Times New Roman" w:cs="Arial"/>
                <w:szCs w:val="16"/>
                <w:lang w:eastAsia="en-GB"/>
              </w:rPr>
              <w:t>3.9</w:t>
            </w:r>
          </w:p>
        </w:tc>
        <w:tc>
          <w:tcPr>
            <w:tcW w:w="992" w:type="dxa"/>
            <w:tcBorders>
              <w:top w:val="nil"/>
              <w:left w:val="nil"/>
              <w:bottom w:val="nil"/>
              <w:right w:val="nil"/>
            </w:tcBorders>
            <w:noWrap/>
            <w:vAlign w:val="bottom"/>
          </w:tcPr>
          <w:p w14:paraId="025C4173" w14:textId="77777777" w:rsidR="00AE3CC0" w:rsidRPr="0032388C" w:rsidRDefault="00AE3CC0">
            <w:pPr>
              <w:spacing w:line="240" w:lineRule="auto"/>
              <w:jc w:val="center"/>
              <w:rPr>
                <w:rFonts w:eastAsia="Times New Roman" w:cs="Arial"/>
                <w:szCs w:val="16"/>
                <w:lang w:eastAsia="en-GB"/>
              </w:rPr>
            </w:pPr>
            <w:r w:rsidRPr="0032388C">
              <w:rPr>
                <w:rFonts w:eastAsia="Times New Roman" w:cs="Arial"/>
                <w:szCs w:val="16"/>
                <w:lang w:eastAsia="en-GB"/>
              </w:rPr>
              <w:t>(0.3)</w:t>
            </w:r>
          </w:p>
        </w:tc>
        <w:tc>
          <w:tcPr>
            <w:tcW w:w="992" w:type="dxa"/>
            <w:tcBorders>
              <w:top w:val="nil"/>
              <w:left w:val="nil"/>
              <w:bottom w:val="nil"/>
              <w:right w:val="nil"/>
            </w:tcBorders>
            <w:noWrap/>
            <w:vAlign w:val="bottom"/>
          </w:tcPr>
          <w:p w14:paraId="28478E34" w14:textId="77777777" w:rsidR="00AE3CC0" w:rsidRPr="0032388C" w:rsidRDefault="00AE3CC0">
            <w:pPr>
              <w:spacing w:line="240" w:lineRule="auto"/>
              <w:jc w:val="center"/>
              <w:rPr>
                <w:rFonts w:eastAsia="Times New Roman" w:cs="Arial"/>
                <w:szCs w:val="16"/>
                <w:lang w:eastAsia="en-GB"/>
              </w:rPr>
            </w:pPr>
            <w:r w:rsidRPr="0032388C">
              <w:rPr>
                <w:rFonts w:eastAsia="Times New Roman" w:cs="Arial"/>
                <w:szCs w:val="16"/>
                <w:lang w:eastAsia="en-GB"/>
              </w:rPr>
              <w:t>3.6</w:t>
            </w:r>
          </w:p>
        </w:tc>
      </w:tr>
      <w:tr w:rsidR="00AE3CC0" w:rsidRPr="001A0FEC" w14:paraId="0F4783C9" w14:textId="77777777">
        <w:trPr>
          <w:trHeight w:val="300"/>
        </w:trPr>
        <w:tc>
          <w:tcPr>
            <w:tcW w:w="2822" w:type="dxa"/>
            <w:tcBorders>
              <w:top w:val="single" w:sz="4" w:space="0" w:color="auto"/>
              <w:left w:val="nil"/>
              <w:bottom w:val="single" w:sz="8" w:space="0" w:color="auto"/>
              <w:right w:val="nil"/>
            </w:tcBorders>
            <w:noWrap/>
            <w:vAlign w:val="bottom"/>
            <w:hideMark/>
          </w:tcPr>
          <w:p w14:paraId="65338111" w14:textId="77777777" w:rsidR="00AE3CC0" w:rsidRPr="007546A7" w:rsidRDefault="00AE3CC0">
            <w:pPr>
              <w:spacing w:line="240" w:lineRule="auto"/>
              <w:rPr>
                <w:rFonts w:eastAsia="Times New Roman" w:cs="Arial"/>
                <w:b/>
                <w:bCs/>
                <w:szCs w:val="16"/>
                <w:lang w:eastAsia="en-GB"/>
              </w:rPr>
            </w:pPr>
            <w:r w:rsidRPr="007546A7">
              <w:rPr>
                <w:rFonts w:eastAsia="Times New Roman" w:cs="Arial"/>
                <w:b/>
                <w:bCs/>
                <w:szCs w:val="16"/>
                <w:lang w:eastAsia="en-GB"/>
              </w:rPr>
              <w:t>EBITDA</w:t>
            </w:r>
          </w:p>
        </w:tc>
        <w:tc>
          <w:tcPr>
            <w:tcW w:w="261" w:type="dxa"/>
            <w:tcBorders>
              <w:top w:val="single" w:sz="4" w:space="0" w:color="auto"/>
              <w:left w:val="nil"/>
              <w:bottom w:val="single" w:sz="8" w:space="0" w:color="auto"/>
              <w:right w:val="nil"/>
            </w:tcBorders>
            <w:noWrap/>
            <w:vAlign w:val="bottom"/>
            <w:hideMark/>
          </w:tcPr>
          <w:p w14:paraId="03EB5E71" w14:textId="77777777" w:rsidR="00AE3CC0" w:rsidRPr="007546A7" w:rsidRDefault="00AE3CC0">
            <w:pPr>
              <w:spacing w:line="240" w:lineRule="auto"/>
              <w:rPr>
                <w:rFonts w:eastAsia="Times New Roman" w:cs="Arial"/>
                <w:b/>
                <w:bCs/>
                <w:szCs w:val="16"/>
                <w:lang w:eastAsia="en-GB"/>
              </w:rPr>
            </w:pPr>
            <w:r w:rsidRPr="007546A7">
              <w:rPr>
                <w:rFonts w:eastAsia="Times New Roman" w:cs="Arial"/>
                <w:b/>
                <w:bCs/>
                <w:szCs w:val="16"/>
                <w:lang w:eastAsia="en-GB"/>
              </w:rPr>
              <w:t> </w:t>
            </w:r>
          </w:p>
        </w:tc>
        <w:tc>
          <w:tcPr>
            <w:tcW w:w="743" w:type="dxa"/>
            <w:tcBorders>
              <w:top w:val="single" w:sz="4" w:space="0" w:color="auto"/>
              <w:left w:val="nil"/>
              <w:bottom w:val="single" w:sz="8" w:space="0" w:color="auto"/>
              <w:right w:val="nil"/>
            </w:tcBorders>
            <w:noWrap/>
            <w:vAlign w:val="bottom"/>
            <w:hideMark/>
          </w:tcPr>
          <w:p w14:paraId="7792D2CA" w14:textId="77777777" w:rsidR="00AE3CC0" w:rsidRPr="007546A7" w:rsidRDefault="00AE3CC0">
            <w:pPr>
              <w:spacing w:line="240" w:lineRule="auto"/>
              <w:rPr>
                <w:rFonts w:eastAsia="Times New Roman" w:cs="Arial"/>
                <w:b/>
                <w:bCs/>
                <w:szCs w:val="16"/>
                <w:lang w:eastAsia="en-GB"/>
              </w:rPr>
            </w:pPr>
            <w:r w:rsidRPr="007546A7">
              <w:rPr>
                <w:rFonts w:eastAsia="Times New Roman" w:cs="Arial"/>
                <w:b/>
                <w:bCs/>
                <w:szCs w:val="16"/>
                <w:lang w:eastAsia="en-GB"/>
              </w:rPr>
              <w:t> </w:t>
            </w:r>
          </w:p>
        </w:tc>
        <w:tc>
          <w:tcPr>
            <w:tcW w:w="919" w:type="dxa"/>
            <w:gridSpan w:val="2"/>
            <w:tcBorders>
              <w:top w:val="single" w:sz="4" w:space="0" w:color="auto"/>
              <w:left w:val="nil"/>
              <w:bottom w:val="single" w:sz="8" w:space="0" w:color="auto"/>
              <w:right w:val="nil"/>
            </w:tcBorders>
            <w:noWrap/>
            <w:vAlign w:val="bottom"/>
            <w:hideMark/>
          </w:tcPr>
          <w:p w14:paraId="56AD82FF" w14:textId="08445B92" w:rsidR="00AE3CC0" w:rsidRPr="007546A7" w:rsidRDefault="005B1FA1">
            <w:pPr>
              <w:spacing w:line="240" w:lineRule="auto"/>
              <w:jc w:val="center"/>
              <w:rPr>
                <w:rFonts w:eastAsia="Times New Roman" w:cs="Arial"/>
                <w:b/>
                <w:bCs/>
                <w:szCs w:val="16"/>
                <w:lang w:eastAsia="en-GB"/>
              </w:rPr>
            </w:pPr>
            <w:r>
              <w:rPr>
                <w:rFonts w:eastAsia="Times New Roman" w:cs="Arial"/>
                <w:b/>
                <w:bCs/>
                <w:szCs w:val="16"/>
                <w:lang w:eastAsia="en-GB"/>
              </w:rPr>
              <w:t>16.6</w:t>
            </w:r>
          </w:p>
        </w:tc>
        <w:tc>
          <w:tcPr>
            <w:tcW w:w="960" w:type="dxa"/>
            <w:tcBorders>
              <w:top w:val="single" w:sz="4" w:space="0" w:color="auto"/>
              <w:left w:val="nil"/>
              <w:bottom w:val="single" w:sz="8" w:space="0" w:color="auto"/>
              <w:right w:val="nil"/>
            </w:tcBorders>
            <w:noWrap/>
            <w:vAlign w:val="bottom"/>
            <w:hideMark/>
          </w:tcPr>
          <w:p w14:paraId="598754F7" w14:textId="393CE133" w:rsidR="00AE3CC0" w:rsidRPr="007546A7" w:rsidRDefault="00AE3CC0">
            <w:pPr>
              <w:spacing w:line="240" w:lineRule="auto"/>
              <w:jc w:val="center"/>
              <w:rPr>
                <w:rFonts w:eastAsia="Times New Roman" w:cs="Arial"/>
                <w:b/>
                <w:bCs/>
                <w:szCs w:val="16"/>
                <w:lang w:eastAsia="en-GB"/>
              </w:rPr>
            </w:pPr>
            <w:r w:rsidRPr="007546A7">
              <w:rPr>
                <w:rFonts w:eastAsia="Times New Roman" w:cs="Arial"/>
                <w:b/>
                <w:bCs/>
                <w:szCs w:val="16"/>
                <w:lang w:eastAsia="en-GB"/>
              </w:rPr>
              <w:t>1.</w:t>
            </w:r>
            <w:r w:rsidRPr="007546A7" w:rsidDel="00C53607">
              <w:rPr>
                <w:rFonts w:eastAsia="Times New Roman" w:cs="Arial"/>
                <w:b/>
                <w:bCs/>
                <w:szCs w:val="16"/>
                <w:lang w:eastAsia="en-GB"/>
              </w:rPr>
              <w:t>8</w:t>
            </w:r>
          </w:p>
        </w:tc>
        <w:tc>
          <w:tcPr>
            <w:tcW w:w="901" w:type="dxa"/>
            <w:tcBorders>
              <w:top w:val="single" w:sz="4" w:space="0" w:color="auto"/>
              <w:left w:val="nil"/>
              <w:bottom w:val="single" w:sz="8" w:space="0" w:color="auto"/>
              <w:right w:val="nil"/>
            </w:tcBorders>
            <w:noWrap/>
            <w:vAlign w:val="bottom"/>
            <w:hideMark/>
          </w:tcPr>
          <w:p w14:paraId="37D369E3" w14:textId="6F9842B5" w:rsidR="00AE3CC0" w:rsidRPr="007546A7" w:rsidRDefault="00AE3CC0">
            <w:pPr>
              <w:spacing w:line="240" w:lineRule="auto"/>
              <w:jc w:val="center"/>
              <w:rPr>
                <w:rFonts w:eastAsia="Times New Roman" w:cs="Arial"/>
                <w:b/>
                <w:bCs/>
                <w:szCs w:val="16"/>
                <w:lang w:eastAsia="en-GB"/>
              </w:rPr>
            </w:pPr>
            <w:r w:rsidRPr="007546A7">
              <w:rPr>
                <w:rFonts w:eastAsia="Times New Roman" w:cs="Arial"/>
                <w:b/>
                <w:bCs/>
                <w:szCs w:val="16"/>
                <w:lang w:eastAsia="en-GB"/>
              </w:rPr>
              <w:t>18.</w:t>
            </w:r>
            <w:r w:rsidR="00664926">
              <w:rPr>
                <w:rFonts w:eastAsia="Times New Roman" w:cs="Arial"/>
                <w:b/>
                <w:bCs/>
                <w:szCs w:val="16"/>
                <w:lang w:eastAsia="en-GB"/>
              </w:rPr>
              <w:t>4</w:t>
            </w:r>
          </w:p>
        </w:tc>
        <w:tc>
          <w:tcPr>
            <w:tcW w:w="236" w:type="dxa"/>
            <w:tcBorders>
              <w:top w:val="nil"/>
              <w:left w:val="nil"/>
              <w:bottom w:val="nil"/>
              <w:right w:val="nil"/>
            </w:tcBorders>
            <w:noWrap/>
            <w:vAlign w:val="bottom"/>
            <w:hideMark/>
          </w:tcPr>
          <w:p w14:paraId="4492015B" w14:textId="77777777" w:rsidR="00AE3CC0" w:rsidRPr="00B8452B" w:rsidRDefault="00AE3CC0">
            <w:pPr>
              <w:spacing w:line="240" w:lineRule="auto"/>
              <w:jc w:val="center"/>
              <w:rPr>
                <w:rFonts w:eastAsia="Times New Roman" w:cs="Arial"/>
                <w:b/>
                <w:szCs w:val="16"/>
                <w:lang w:eastAsia="en-GB"/>
              </w:rPr>
            </w:pPr>
          </w:p>
        </w:tc>
        <w:tc>
          <w:tcPr>
            <w:tcW w:w="991" w:type="dxa"/>
            <w:gridSpan w:val="2"/>
            <w:tcBorders>
              <w:top w:val="single" w:sz="4" w:space="0" w:color="auto"/>
              <w:left w:val="nil"/>
              <w:bottom w:val="single" w:sz="8" w:space="0" w:color="auto"/>
              <w:right w:val="nil"/>
            </w:tcBorders>
            <w:noWrap/>
            <w:vAlign w:val="bottom"/>
          </w:tcPr>
          <w:p w14:paraId="304ADC5F" w14:textId="077821F7" w:rsidR="00AE3CC0" w:rsidRPr="0032388C" w:rsidRDefault="00AE3CC0">
            <w:pPr>
              <w:spacing w:line="240" w:lineRule="auto"/>
              <w:jc w:val="center"/>
              <w:rPr>
                <w:rFonts w:eastAsia="Times New Roman" w:cs="Arial"/>
                <w:b/>
                <w:bCs/>
                <w:szCs w:val="16"/>
                <w:lang w:eastAsia="en-GB"/>
              </w:rPr>
            </w:pPr>
            <w:r w:rsidRPr="0032388C">
              <w:rPr>
                <w:rFonts w:eastAsia="Times New Roman" w:cs="Arial"/>
                <w:b/>
                <w:bCs/>
                <w:szCs w:val="16"/>
                <w:lang w:eastAsia="en-GB"/>
              </w:rPr>
              <w:t>18.</w:t>
            </w:r>
            <w:r w:rsidR="004C5703">
              <w:rPr>
                <w:rFonts w:eastAsia="Times New Roman" w:cs="Arial"/>
                <w:b/>
                <w:bCs/>
                <w:szCs w:val="16"/>
                <w:lang w:eastAsia="en-GB"/>
              </w:rPr>
              <w:t>6</w:t>
            </w:r>
          </w:p>
        </w:tc>
        <w:tc>
          <w:tcPr>
            <w:tcW w:w="992" w:type="dxa"/>
            <w:tcBorders>
              <w:top w:val="single" w:sz="4" w:space="0" w:color="auto"/>
              <w:left w:val="nil"/>
              <w:bottom w:val="single" w:sz="8" w:space="0" w:color="auto"/>
              <w:right w:val="nil"/>
            </w:tcBorders>
            <w:noWrap/>
            <w:vAlign w:val="bottom"/>
          </w:tcPr>
          <w:p w14:paraId="42F4F9F5" w14:textId="77777777" w:rsidR="00AE3CC0" w:rsidRPr="0032388C" w:rsidRDefault="00AE3CC0">
            <w:pPr>
              <w:spacing w:line="240" w:lineRule="auto"/>
              <w:jc w:val="center"/>
              <w:rPr>
                <w:rFonts w:eastAsia="Times New Roman" w:cs="Arial"/>
                <w:b/>
                <w:bCs/>
                <w:szCs w:val="16"/>
                <w:lang w:eastAsia="en-GB"/>
              </w:rPr>
            </w:pPr>
            <w:r w:rsidRPr="0032388C">
              <w:rPr>
                <w:rFonts w:eastAsia="Times New Roman" w:cs="Arial"/>
                <w:b/>
                <w:bCs/>
                <w:szCs w:val="16"/>
                <w:lang w:eastAsia="en-GB"/>
              </w:rPr>
              <w:t>4.8</w:t>
            </w:r>
          </w:p>
        </w:tc>
        <w:tc>
          <w:tcPr>
            <w:tcW w:w="992" w:type="dxa"/>
            <w:tcBorders>
              <w:top w:val="single" w:sz="4" w:space="0" w:color="auto"/>
              <w:left w:val="nil"/>
              <w:bottom w:val="single" w:sz="8" w:space="0" w:color="auto"/>
              <w:right w:val="nil"/>
            </w:tcBorders>
            <w:noWrap/>
            <w:vAlign w:val="bottom"/>
          </w:tcPr>
          <w:p w14:paraId="4B2616DA" w14:textId="26BBBF13" w:rsidR="00AE3CC0" w:rsidRPr="0032388C" w:rsidRDefault="00AE3CC0">
            <w:pPr>
              <w:spacing w:line="240" w:lineRule="auto"/>
              <w:jc w:val="center"/>
              <w:rPr>
                <w:rFonts w:eastAsia="Times New Roman" w:cs="Arial"/>
                <w:b/>
                <w:bCs/>
                <w:szCs w:val="16"/>
                <w:lang w:eastAsia="en-GB"/>
              </w:rPr>
            </w:pPr>
            <w:r w:rsidRPr="0032388C">
              <w:rPr>
                <w:rFonts w:eastAsia="Times New Roman" w:cs="Arial"/>
                <w:b/>
                <w:bCs/>
                <w:szCs w:val="16"/>
                <w:lang w:eastAsia="en-GB"/>
              </w:rPr>
              <w:t>23.</w:t>
            </w:r>
            <w:r w:rsidR="004C5703">
              <w:rPr>
                <w:rFonts w:eastAsia="Times New Roman" w:cs="Arial"/>
                <w:b/>
                <w:bCs/>
                <w:szCs w:val="16"/>
                <w:lang w:eastAsia="en-GB"/>
              </w:rPr>
              <w:t>4</w:t>
            </w:r>
          </w:p>
        </w:tc>
      </w:tr>
      <w:tr w:rsidR="00AE3CC0" w:rsidRPr="00566EFA" w14:paraId="5E438BD3" w14:textId="77777777">
        <w:trPr>
          <w:trHeight w:val="469"/>
        </w:trPr>
        <w:tc>
          <w:tcPr>
            <w:tcW w:w="2822" w:type="dxa"/>
            <w:tcBorders>
              <w:top w:val="nil"/>
              <w:left w:val="nil"/>
              <w:bottom w:val="single" w:sz="4" w:space="0" w:color="auto"/>
              <w:right w:val="nil"/>
            </w:tcBorders>
            <w:noWrap/>
            <w:vAlign w:val="center"/>
            <w:hideMark/>
          </w:tcPr>
          <w:p w14:paraId="459780A6" w14:textId="77777777" w:rsidR="00AE3CC0" w:rsidRPr="00C53028" w:rsidRDefault="00AE3CC0">
            <w:pPr>
              <w:spacing w:line="240" w:lineRule="auto"/>
              <w:rPr>
                <w:rFonts w:eastAsia="Times New Roman" w:cs="Arial"/>
                <w:b/>
                <w:bCs/>
                <w:szCs w:val="16"/>
                <w:lang w:eastAsia="en-GB"/>
              </w:rPr>
            </w:pPr>
            <w:r w:rsidRPr="00C53028">
              <w:rPr>
                <w:rFonts w:eastAsia="Times New Roman" w:cs="Arial"/>
                <w:b/>
                <w:bCs/>
                <w:szCs w:val="16"/>
                <w:lang w:eastAsia="en-GB"/>
              </w:rPr>
              <w:t>Diluted earnings per share</w:t>
            </w:r>
          </w:p>
        </w:tc>
        <w:tc>
          <w:tcPr>
            <w:tcW w:w="261" w:type="dxa"/>
            <w:tcBorders>
              <w:top w:val="nil"/>
              <w:left w:val="nil"/>
              <w:bottom w:val="single" w:sz="4" w:space="0" w:color="auto"/>
              <w:right w:val="nil"/>
            </w:tcBorders>
            <w:noWrap/>
            <w:vAlign w:val="center"/>
            <w:hideMark/>
          </w:tcPr>
          <w:p w14:paraId="602F36D8" w14:textId="77777777" w:rsidR="00AE3CC0" w:rsidRPr="00C53028" w:rsidRDefault="00AE3CC0">
            <w:pPr>
              <w:spacing w:line="240" w:lineRule="auto"/>
              <w:rPr>
                <w:rFonts w:eastAsia="Times New Roman" w:cs="Arial"/>
                <w:b/>
                <w:bCs/>
                <w:szCs w:val="16"/>
                <w:lang w:eastAsia="en-GB"/>
              </w:rPr>
            </w:pPr>
          </w:p>
        </w:tc>
        <w:tc>
          <w:tcPr>
            <w:tcW w:w="743" w:type="dxa"/>
            <w:tcBorders>
              <w:top w:val="nil"/>
              <w:left w:val="nil"/>
              <w:bottom w:val="single" w:sz="4" w:space="0" w:color="auto"/>
              <w:right w:val="nil"/>
            </w:tcBorders>
            <w:noWrap/>
            <w:vAlign w:val="center"/>
            <w:hideMark/>
          </w:tcPr>
          <w:p w14:paraId="0E57F4CF" w14:textId="77777777" w:rsidR="00AE3CC0" w:rsidRPr="00C53028" w:rsidRDefault="00AE3CC0">
            <w:pPr>
              <w:spacing w:line="240" w:lineRule="auto"/>
              <w:rPr>
                <w:rFonts w:eastAsia="Times New Roman" w:cs="Arial"/>
                <w:b/>
                <w:bCs/>
                <w:szCs w:val="16"/>
                <w:lang w:eastAsia="en-GB"/>
              </w:rPr>
            </w:pPr>
          </w:p>
        </w:tc>
        <w:tc>
          <w:tcPr>
            <w:tcW w:w="919" w:type="dxa"/>
            <w:gridSpan w:val="2"/>
            <w:tcBorders>
              <w:top w:val="nil"/>
              <w:left w:val="nil"/>
              <w:bottom w:val="single" w:sz="4" w:space="0" w:color="auto"/>
              <w:right w:val="nil"/>
            </w:tcBorders>
            <w:vAlign w:val="center"/>
            <w:hideMark/>
          </w:tcPr>
          <w:p w14:paraId="5F5751BC" w14:textId="0C388850" w:rsidR="00AE3CC0" w:rsidRPr="00C53028" w:rsidRDefault="00B4505D">
            <w:pPr>
              <w:spacing w:line="240" w:lineRule="auto"/>
              <w:jc w:val="center"/>
              <w:rPr>
                <w:rFonts w:eastAsia="Times New Roman" w:cs="Arial"/>
                <w:b/>
                <w:bCs/>
                <w:szCs w:val="16"/>
                <w:lang w:eastAsia="en-GB"/>
              </w:rPr>
            </w:pPr>
            <w:r>
              <w:rPr>
                <w:rFonts w:eastAsia="Times New Roman" w:cs="Arial"/>
                <w:b/>
                <w:bCs/>
                <w:szCs w:val="16"/>
                <w:lang w:eastAsia="en-GB"/>
              </w:rPr>
              <w:t>5.5</w:t>
            </w:r>
            <w:r w:rsidR="00AE3CC0" w:rsidRPr="00C53028">
              <w:rPr>
                <w:rFonts w:eastAsia="Times New Roman" w:cs="Arial"/>
                <w:b/>
                <w:bCs/>
                <w:szCs w:val="16"/>
                <w:lang w:eastAsia="en-GB"/>
              </w:rPr>
              <w:t>p</w:t>
            </w:r>
          </w:p>
        </w:tc>
        <w:tc>
          <w:tcPr>
            <w:tcW w:w="960" w:type="dxa"/>
            <w:tcBorders>
              <w:top w:val="nil"/>
              <w:left w:val="nil"/>
              <w:bottom w:val="single" w:sz="4" w:space="0" w:color="auto"/>
              <w:right w:val="nil"/>
            </w:tcBorders>
            <w:vAlign w:val="center"/>
            <w:hideMark/>
          </w:tcPr>
          <w:p w14:paraId="33E77D67" w14:textId="6FD20A99" w:rsidR="00AE3CC0" w:rsidRPr="00C53028" w:rsidRDefault="00F46E3E">
            <w:pPr>
              <w:spacing w:line="240" w:lineRule="auto"/>
              <w:jc w:val="center"/>
              <w:rPr>
                <w:rFonts w:eastAsia="Times New Roman" w:cs="Arial"/>
                <w:b/>
                <w:bCs/>
                <w:szCs w:val="16"/>
                <w:lang w:eastAsia="en-GB"/>
              </w:rPr>
            </w:pPr>
            <w:r>
              <w:rPr>
                <w:rFonts w:eastAsia="Times New Roman" w:cs="Arial"/>
                <w:b/>
                <w:bCs/>
                <w:szCs w:val="16"/>
                <w:lang w:eastAsia="en-GB"/>
              </w:rPr>
              <w:t>1.7</w:t>
            </w:r>
            <w:r w:rsidR="00AE3CC0" w:rsidRPr="00C53028">
              <w:rPr>
                <w:rFonts w:eastAsia="Times New Roman" w:cs="Arial"/>
                <w:b/>
                <w:bCs/>
                <w:szCs w:val="16"/>
                <w:lang w:eastAsia="en-GB"/>
              </w:rPr>
              <w:t>p</w:t>
            </w:r>
          </w:p>
        </w:tc>
        <w:tc>
          <w:tcPr>
            <w:tcW w:w="901" w:type="dxa"/>
            <w:tcBorders>
              <w:top w:val="nil"/>
              <w:left w:val="nil"/>
              <w:bottom w:val="single" w:sz="4" w:space="0" w:color="auto"/>
              <w:right w:val="nil"/>
            </w:tcBorders>
            <w:vAlign w:val="center"/>
            <w:hideMark/>
          </w:tcPr>
          <w:p w14:paraId="52C2A5AB" w14:textId="77777777" w:rsidR="00AE3CC0" w:rsidRPr="00C53028" w:rsidRDefault="00AE3CC0">
            <w:pPr>
              <w:spacing w:line="240" w:lineRule="auto"/>
              <w:jc w:val="center"/>
              <w:rPr>
                <w:rFonts w:eastAsia="Times New Roman" w:cs="Arial"/>
                <w:b/>
                <w:bCs/>
                <w:szCs w:val="16"/>
                <w:lang w:eastAsia="en-GB"/>
              </w:rPr>
            </w:pPr>
            <w:r w:rsidRPr="00C53028">
              <w:rPr>
                <w:rFonts w:eastAsia="Times New Roman" w:cs="Arial"/>
                <w:b/>
                <w:bCs/>
                <w:szCs w:val="16"/>
                <w:lang w:eastAsia="en-GB"/>
              </w:rPr>
              <w:t>7.2p</w:t>
            </w:r>
          </w:p>
        </w:tc>
        <w:tc>
          <w:tcPr>
            <w:tcW w:w="236" w:type="dxa"/>
            <w:tcBorders>
              <w:top w:val="nil"/>
              <w:left w:val="nil"/>
              <w:bottom w:val="single" w:sz="4" w:space="0" w:color="auto"/>
              <w:right w:val="nil"/>
            </w:tcBorders>
            <w:noWrap/>
            <w:vAlign w:val="center"/>
            <w:hideMark/>
          </w:tcPr>
          <w:p w14:paraId="105A7561" w14:textId="77777777" w:rsidR="00AE3CC0" w:rsidRPr="00C53028" w:rsidRDefault="00AE3CC0">
            <w:pPr>
              <w:spacing w:line="240" w:lineRule="auto"/>
              <w:jc w:val="center"/>
              <w:rPr>
                <w:rFonts w:eastAsia="Times New Roman" w:cs="Arial"/>
                <w:b/>
                <w:bCs/>
                <w:szCs w:val="16"/>
                <w:lang w:eastAsia="en-GB"/>
              </w:rPr>
            </w:pPr>
          </w:p>
        </w:tc>
        <w:tc>
          <w:tcPr>
            <w:tcW w:w="991" w:type="dxa"/>
            <w:gridSpan w:val="2"/>
            <w:tcBorders>
              <w:top w:val="nil"/>
              <w:left w:val="nil"/>
              <w:bottom w:val="single" w:sz="4" w:space="0" w:color="auto"/>
              <w:right w:val="nil"/>
            </w:tcBorders>
            <w:vAlign w:val="center"/>
          </w:tcPr>
          <w:p w14:paraId="7955BF0F" w14:textId="67ED8FDB" w:rsidR="00AE3CC0" w:rsidRPr="00C53028" w:rsidRDefault="00AE3CC0">
            <w:pPr>
              <w:spacing w:line="240" w:lineRule="auto"/>
              <w:jc w:val="center"/>
              <w:rPr>
                <w:rFonts w:eastAsia="Times New Roman" w:cs="Arial"/>
                <w:b/>
                <w:bCs/>
                <w:szCs w:val="16"/>
                <w:lang w:eastAsia="en-GB"/>
              </w:rPr>
            </w:pPr>
            <w:r w:rsidRPr="00C53028">
              <w:rPr>
                <w:rFonts w:eastAsia="Times New Roman" w:cs="Arial"/>
                <w:b/>
                <w:bCs/>
                <w:szCs w:val="16"/>
                <w:lang w:eastAsia="en-GB"/>
              </w:rPr>
              <w:t>4.</w:t>
            </w:r>
            <w:r w:rsidR="00742832">
              <w:rPr>
                <w:rFonts w:eastAsia="Times New Roman" w:cs="Arial"/>
                <w:b/>
                <w:bCs/>
                <w:szCs w:val="16"/>
                <w:lang w:eastAsia="en-GB"/>
              </w:rPr>
              <w:t>3</w:t>
            </w:r>
            <w:r w:rsidR="00742832" w:rsidRPr="00C53028">
              <w:rPr>
                <w:rFonts w:eastAsia="Times New Roman" w:cs="Arial"/>
                <w:b/>
                <w:bCs/>
                <w:szCs w:val="16"/>
                <w:lang w:eastAsia="en-GB"/>
              </w:rPr>
              <w:t>p</w:t>
            </w:r>
          </w:p>
        </w:tc>
        <w:tc>
          <w:tcPr>
            <w:tcW w:w="992" w:type="dxa"/>
            <w:tcBorders>
              <w:top w:val="nil"/>
              <w:left w:val="nil"/>
              <w:bottom w:val="single" w:sz="4" w:space="0" w:color="auto"/>
              <w:right w:val="nil"/>
            </w:tcBorders>
            <w:vAlign w:val="center"/>
          </w:tcPr>
          <w:p w14:paraId="698FA4D2" w14:textId="77777777" w:rsidR="00AE3CC0" w:rsidRPr="00C53028" w:rsidRDefault="00AE3CC0">
            <w:pPr>
              <w:spacing w:line="240" w:lineRule="auto"/>
              <w:jc w:val="center"/>
              <w:rPr>
                <w:rFonts w:eastAsia="Times New Roman" w:cs="Arial"/>
                <w:b/>
                <w:bCs/>
                <w:szCs w:val="16"/>
                <w:lang w:eastAsia="en-GB"/>
              </w:rPr>
            </w:pPr>
            <w:r w:rsidRPr="00C53028">
              <w:rPr>
                <w:rFonts w:eastAsia="Times New Roman" w:cs="Arial"/>
                <w:b/>
                <w:bCs/>
                <w:szCs w:val="16"/>
                <w:lang w:eastAsia="en-GB"/>
              </w:rPr>
              <w:t>5.7p</w:t>
            </w:r>
          </w:p>
        </w:tc>
        <w:tc>
          <w:tcPr>
            <w:tcW w:w="992" w:type="dxa"/>
            <w:tcBorders>
              <w:top w:val="nil"/>
              <w:left w:val="nil"/>
              <w:bottom w:val="single" w:sz="4" w:space="0" w:color="auto"/>
              <w:right w:val="nil"/>
            </w:tcBorders>
            <w:vAlign w:val="center"/>
          </w:tcPr>
          <w:p w14:paraId="46B30E97" w14:textId="1FB4C390" w:rsidR="00AE3CC0" w:rsidRPr="00C53028" w:rsidRDefault="00AE3CC0">
            <w:pPr>
              <w:spacing w:line="240" w:lineRule="auto"/>
              <w:jc w:val="center"/>
              <w:rPr>
                <w:rFonts w:eastAsia="Times New Roman" w:cs="Arial"/>
                <w:b/>
                <w:bCs/>
                <w:szCs w:val="16"/>
                <w:lang w:eastAsia="en-GB"/>
              </w:rPr>
            </w:pPr>
            <w:r w:rsidRPr="00C53028">
              <w:rPr>
                <w:rFonts w:eastAsia="Times New Roman" w:cs="Arial"/>
                <w:b/>
                <w:bCs/>
                <w:szCs w:val="16"/>
                <w:lang w:eastAsia="en-GB"/>
              </w:rPr>
              <w:t>10.</w:t>
            </w:r>
            <w:r w:rsidR="00742832">
              <w:rPr>
                <w:rFonts w:eastAsia="Times New Roman" w:cs="Arial"/>
                <w:b/>
                <w:bCs/>
                <w:szCs w:val="16"/>
                <w:lang w:eastAsia="en-GB"/>
              </w:rPr>
              <w:t>0</w:t>
            </w:r>
            <w:r w:rsidR="00742832" w:rsidRPr="00C53028">
              <w:rPr>
                <w:rFonts w:eastAsia="Times New Roman" w:cs="Arial"/>
                <w:b/>
                <w:bCs/>
                <w:szCs w:val="16"/>
                <w:lang w:eastAsia="en-GB"/>
              </w:rPr>
              <w:t>p</w:t>
            </w:r>
          </w:p>
        </w:tc>
      </w:tr>
      <w:bookmarkEnd w:id="13"/>
      <w:bookmarkEnd w:id="14"/>
    </w:tbl>
    <w:p w14:paraId="6057F6BE" w14:textId="77777777" w:rsidR="008858D5" w:rsidRDefault="008858D5" w:rsidP="008858D5"/>
    <w:p w14:paraId="46E7A3CC" w14:textId="77777777" w:rsidR="008858D5" w:rsidRPr="00B8452B" w:rsidRDefault="008858D5" w:rsidP="008858D5">
      <w:pPr>
        <w:rPr>
          <w:rFonts w:eastAsia="MS Mincho" w:cs="Arial"/>
          <w:szCs w:val="16"/>
        </w:rPr>
      </w:pPr>
      <w:bookmarkStart w:id="15" w:name="_49673d34_12e9_45db_a776_85824eafc677"/>
      <w:bookmarkEnd w:id="15"/>
    </w:p>
    <w:p w14:paraId="2AFD3E5C" w14:textId="3937DCC0" w:rsidR="0028566D" w:rsidRDefault="0028566D" w:rsidP="0028566D">
      <w:pPr>
        <w:rPr>
          <w:rFonts w:eastAsia="MS Mincho" w:cs="Arial"/>
          <w:szCs w:val="16"/>
        </w:rPr>
      </w:pPr>
      <w:r w:rsidRPr="0028566D">
        <w:rPr>
          <w:rFonts w:eastAsia="MS Mincho" w:cs="Arial"/>
          <w:szCs w:val="16"/>
        </w:rPr>
        <w:t>Revenue decreased</w:t>
      </w:r>
      <w:r w:rsidR="00BD7688">
        <w:rPr>
          <w:rFonts w:eastAsia="MS Mincho" w:cs="Arial"/>
          <w:szCs w:val="16"/>
        </w:rPr>
        <w:t xml:space="preserve"> </w:t>
      </w:r>
      <w:r w:rsidR="00176B7B">
        <w:rPr>
          <w:rFonts w:eastAsia="MS Mincho" w:cs="Arial"/>
          <w:szCs w:val="16"/>
        </w:rPr>
        <w:t>by</w:t>
      </w:r>
      <w:r w:rsidR="00BD7688">
        <w:rPr>
          <w:rFonts w:eastAsia="MS Mincho" w:cs="Arial"/>
          <w:szCs w:val="16"/>
        </w:rPr>
        <w:t xml:space="preserve"> </w:t>
      </w:r>
      <w:r w:rsidR="0091532F">
        <w:rPr>
          <w:rFonts w:eastAsia="MS Mincho" w:cs="Arial"/>
          <w:szCs w:val="16"/>
        </w:rPr>
        <w:t xml:space="preserve">3% year-on-year </w:t>
      </w:r>
      <w:r w:rsidRPr="0028566D">
        <w:rPr>
          <w:rFonts w:eastAsia="MS Mincho" w:cs="Arial"/>
          <w:szCs w:val="16"/>
        </w:rPr>
        <w:t>to £217.9 million (FY2025: £225.4 million). Performance was impacted by softer demand in the UK, tariff</w:t>
      </w:r>
      <w:r w:rsidRPr="0028566D">
        <w:rPr>
          <w:rFonts w:ascii="Cambria Math" w:eastAsia="MS Mincho" w:hAnsi="Cambria Math" w:cs="Cambria Math"/>
          <w:szCs w:val="16"/>
        </w:rPr>
        <w:t>‑</w:t>
      </w:r>
      <w:r w:rsidRPr="0028566D">
        <w:rPr>
          <w:rFonts w:eastAsia="MS Mincho" w:cs="Arial"/>
          <w:szCs w:val="16"/>
        </w:rPr>
        <w:t>related pressures on US</w:t>
      </w:r>
      <w:r w:rsidRPr="0028566D">
        <w:rPr>
          <w:rFonts w:ascii="Cambria Math" w:eastAsia="MS Mincho" w:hAnsi="Cambria Math" w:cs="Cambria Math"/>
          <w:szCs w:val="16"/>
        </w:rPr>
        <w:t>‑</w:t>
      </w:r>
      <w:r w:rsidRPr="0028566D">
        <w:rPr>
          <w:rFonts w:eastAsia="MS Mincho" w:cs="Arial"/>
          <w:szCs w:val="16"/>
        </w:rPr>
        <w:t>linked business and pricing investment to support competitiveness</w:t>
      </w:r>
      <w:r w:rsidR="007F73DC">
        <w:rPr>
          <w:rFonts w:eastAsia="MS Mincho" w:cs="Arial"/>
          <w:szCs w:val="16"/>
        </w:rPr>
        <w:t xml:space="preserve"> in Europe</w:t>
      </w:r>
      <w:r w:rsidRPr="0028566D">
        <w:rPr>
          <w:rFonts w:eastAsia="MS Mincho" w:cs="Arial"/>
          <w:szCs w:val="16"/>
        </w:rPr>
        <w:t>, partially offset by growth in adjacent categories.</w:t>
      </w:r>
      <w:r w:rsidR="0043190A">
        <w:rPr>
          <w:rFonts w:eastAsia="MS Mincho" w:cs="Arial"/>
          <w:szCs w:val="16"/>
        </w:rPr>
        <w:t xml:space="preserve"> </w:t>
      </w:r>
    </w:p>
    <w:p w14:paraId="1AEE6CAC" w14:textId="77777777" w:rsidR="009D5BD2" w:rsidRPr="0028566D" w:rsidRDefault="009D5BD2" w:rsidP="0028566D">
      <w:pPr>
        <w:rPr>
          <w:rFonts w:eastAsia="MS Mincho" w:cs="Arial"/>
          <w:szCs w:val="16"/>
        </w:rPr>
      </w:pPr>
    </w:p>
    <w:p w14:paraId="504E0B4A" w14:textId="5807B513" w:rsidR="0028566D" w:rsidRDefault="0028566D" w:rsidP="0028566D">
      <w:pPr>
        <w:rPr>
          <w:rFonts w:eastAsia="MS Mincho" w:cs="Arial"/>
          <w:szCs w:val="16"/>
        </w:rPr>
      </w:pPr>
      <w:r w:rsidRPr="0028566D">
        <w:rPr>
          <w:rFonts w:eastAsia="MS Mincho" w:cs="Arial"/>
          <w:szCs w:val="16"/>
        </w:rPr>
        <w:t xml:space="preserve">Adjusted gross </w:t>
      </w:r>
      <w:r w:rsidR="00C13536">
        <w:rPr>
          <w:rFonts w:eastAsia="MS Mincho" w:cs="Arial"/>
          <w:szCs w:val="16"/>
        </w:rPr>
        <w:t xml:space="preserve">margin of 19.2% </w:t>
      </w:r>
      <w:r w:rsidR="00176B7B">
        <w:rPr>
          <w:rFonts w:eastAsia="MS Mincho" w:cs="Arial"/>
          <w:szCs w:val="16"/>
        </w:rPr>
        <w:t xml:space="preserve">declined </w:t>
      </w:r>
      <w:r w:rsidR="00C13536">
        <w:rPr>
          <w:rFonts w:eastAsia="MS Mincho" w:cs="Arial"/>
          <w:szCs w:val="16"/>
        </w:rPr>
        <w:t>year-on-year (</w:t>
      </w:r>
      <w:r w:rsidRPr="0028566D">
        <w:rPr>
          <w:rFonts w:eastAsia="MS Mincho" w:cs="Arial"/>
          <w:szCs w:val="16"/>
        </w:rPr>
        <w:t xml:space="preserve">FY2025: </w:t>
      </w:r>
      <w:r w:rsidR="00C13536">
        <w:rPr>
          <w:rFonts w:eastAsia="MS Mincho" w:cs="Arial"/>
          <w:szCs w:val="16"/>
        </w:rPr>
        <w:t>22.0%</w:t>
      </w:r>
      <w:r w:rsidRPr="0028566D">
        <w:rPr>
          <w:rFonts w:eastAsia="MS Mincho" w:cs="Arial"/>
          <w:szCs w:val="16"/>
        </w:rPr>
        <w:t xml:space="preserve">), </w:t>
      </w:r>
      <w:r w:rsidR="00C13536">
        <w:rPr>
          <w:rFonts w:eastAsia="MS Mincho" w:cs="Arial"/>
          <w:szCs w:val="16"/>
        </w:rPr>
        <w:t>r</w:t>
      </w:r>
      <w:r w:rsidRPr="0028566D">
        <w:rPr>
          <w:rFonts w:eastAsia="MS Mincho" w:cs="Arial"/>
          <w:szCs w:val="16"/>
        </w:rPr>
        <w:t>eflect</w:t>
      </w:r>
      <w:r w:rsidR="00C13536">
        <w:rPr>
          <w:rFonts w:eastAsia="MS Mincho" w:cs="Arial"/>
          <w:szCs w:val="16"/>
        </w:rPr>
        <w:t>ing</w:t>
      </w:r>
      <w:r w:rsidRPr="0028566D">
        <w:rPr>
          <w:rFonts w:eastAsia="MS Mincho" w:cs="Arial"/>
          <w:szCs w:val="16"/>
        </w:rPr>
        <w:t xml:space="preserve"> the combined impact of pricing pressures, tariffs and mix, alongside lower volumes affecting operating leverage.</w:t>
      </w:r>
    </w:p>
    <w:p w14:paraId="2986AEF8" w14:textId="77777777" w:rsidR="00230711" w:rsidRPr="0028566D" w:rsidRDefault="00230711" w:rsidP="0028566D">
      <w:pPr>
        <w:rPr>
          <w:rFonts w:eastAsia="MS Mincho" w:cs="Arial"/>
          <w:szCs w:val="16"/>
        </w:rPr>
      </w:pPr>
    </w:p>
    <w:p w14:paraId="5D13F4BE" w14:textId="0B9DF42D" w:rsidR="0028566D" w:rsidRDefault="0028566D" w:rsidP="0028566D">
      <w:pPr>
        <w:rPr>
          <w:rFonts w:eastAsia="MS Mincho" w:cs="Arial"/>
          <w:szCs w:val="16"/>
        </w:rPr>
      </w:pPr>
      <w:r w:rsidRPr="0028566D">
        <w:rPr>
          <w:rFonts w:eastAsia="MS Mincho" w:cs="Arial"/>
          <w:szCs w:val="16"/>
        </w:rPr>
        <w:t>Adjusted overheads reduced to £32.3 million (FY2025: £33.</w:t>
      </w:r>
      <w:r w:rsidR="00194C84">
        <w:rPr>
          <w:rFonts w:eastAsia="MS Mincho" w:cs="Arial"/>
          <w:szCs w:val="16"/>
        </w:rPr>
        <w:t>5</w:t>
      </w:r>
      <w:r w:rsidRPr="0028566D">
        <w:rPr>
          <w:rFonts w:eastAsia="MS Mincho" w:cs="Arial"/>
          <w:szCs w:val="16"/>
        </w:rPr>
        <w:t xml:space="preserve"> million), </w:t>
      </w:r>
      <w:r w:rsidR="00230711">
        <w:rPr>
          <w:rFonts w:eastAsia="MS Mincho" w:cs="Arial"/>
          <w:szCs w:val="16"/>
        </w:rPr>
        <w:t>remaining relatively static as a percentage of sale</w:t>
      </w:r>
      <w:r w:rsidR="00552A4C">
        <w:rPr>
          <w:rFonts w:eastAsia="MS Mincho" w:cs="Arial"/>
          <w:szCs w:val="16"/>
        </w:rPr>
        <w:t>s</w:t>
      </w:r>
      <w:r w:rsidR="00230711">
        <w:rPr>
          <w:rFonts w:eastAsia="MS Mincho" w:cs="Arial"/>
          <w:szCs w:val="16"/>
        </w:rPr>
        <w:t xml:space="preserve"> (14.8%), </w:t>
      </w:r>
      <w:r w:rsidRPr="0028566D">
        <w:rPr>
          <w:rFonts w:eastAsia="MS Mincho" w:cs="Arial"/>
          <w:szCs w:val="16"/>
        </w:rPr>
        <w:t>reflecting the benefits of prior year restructuring actions</w:t>
      </w:r>
      <w:r w:rsidR="00140093">
        <w:rPr>
          <w:rFonts w:eastAsia="MS Mincho" w:cs="Arial"/>
          <w:szCs w:val="16"/>
        </w:rPr>
        <w:t xml:space="preserve"> and</w:t>
      </w:r>
      <w:r w:rsidRPr="0028566D">
        <w:rPr>
          <w:rFonts w:eastAsia="MS Mincho" w:cs="Arial"/>
          <w:szCs w:val="16"/>
        </w:rPr>
        <w:t xml:space="preserve"> </w:t>
      </w:r>
      <w:r w:rsidR="00140093" w:rsidRPr="0028566D">
        <w:rPr>
          <w:rFonts w:eastAsia="MS Mincho" w:cs="Arial"/>
          <w:szCs w:val="16"/>
        </w:rPr>
        <w:t>continued cost discipline</w:t>
      </w:r>
      <w:r w:rsidR="00140093">
        <w:rPr>
          <w:rFonts w:eastAsia="MS Mincho" w:cs="Arial"/>
          <w:szCs w:val="16"/>
        </w:rPr>
        <w:t>,</w:t>
      </w:r>
      <w:r w:rsidR="00140093" w:rsidRPr="0028566D">
        <w:rPr>
          <w:rFonts w:eastAsia="MS Mincho" w:cs="Arial"/>
          <w:szCs w:val="16"/>
        </w:rPr>
        <w:t xml:space="preserve"> </w:t>
      </w:r>
      <w:r w:rsidRPr="0028566D">
        <w:rPr>
          <w:rFonts w:eastAsia="MS Mincho" w:cs="Arial"/>
          <w:szCs w:val="16"/>
        </w:rPr>
        <w:t xml:space="preserve">partially offset by </w:t>
      </w:r>
      <w:r w:rsidR="00886761">
        <w:rPr>
          <w:rFonts w:eastAsia="MS Mincho" w:cs="Arial"/>
          <w:szCs w:val="16"/>
        </w:rPr>
        <w:t xml:space="preserve">higher people-related costs, including performance-related remuneration and investment in </w:t>
      </w:r>
      <w:r w:rsidRPr="0028566D">
        <w:rPr>
          <w:rFonts w:eastAsia="MS Mincho" w:cs="Arial"/>
          <w:szCs w:val="16"/>
        </w:rPr>
        <w:t>commercial capability.</w:t>
      </w:r>
    </w:p>
    <w:p w14:paraId="3D5001DA" w14:textId="77777777" w:rsidR="00140093" w:rsidRPr="0028566D" w:rsidRDefault="00140093" w:rsidP="0028566D">
      <w:pPr>
        <w:rPr>
          <w:rFonts w:eastAsia="MS Mincho" w:cs="Arial"/>
          <w:szCs w:val="16"/>
        </w:rPr>
      </w:pPr>
    </w:p>
    <w:p w14:paraId="61A0F536" w14:textId="45AD25A2" w:rsidR="0028566D" w:rsidRDefault="0028566D" w:rsidP="0028566D">
      <w:pPr>
        <w:rPr>
          <w:rFonts w:eastAsia="MS Mincho" w:cs="Arial"/>
          <w:szCs w:val="16"/>
        </w:rPr>
      </w:pPr>
      <w:r w:rsidRPr="0028566D">
        <w:rPr>
          <w:rFonts w:eastAsia="MS Mincho" w:cs="Arial"/>
          <w:szCs w:val="16"/>
        </w:rPr>
        <w:t>As a result, adjusted operating profit declined to £9.6 million (FY2025: £1</w:t>
      </w:r>
      <w:r w:rsidR="00413018">
        <w:rPr>
          <w:rFonts w:eastAsia="MS Mincho" w:cs="Arial"/>
          <w:szCs w:val="16"/>
        </w:rPr>
        <w:t>6.0</w:t>
      </w:r>
      <w:r w:rsidRPr="0028566D">
        <w:rPr>
          <w:rFonts w:eastAsia="MS Mincho" w:cs="Arial"/>
          <w:szCs w:val="16"/>
        </w:rPr>
        <w:t xml:space="preserve"> million), representing an adjusted operating margin of 4.4% (FY2025: 7.</w:t>
      </w:r>
      <w:r w:rsidR="00A34498">
        <w:rPr>
          <w:rFonts w:eastAsia="MS Mincho" w:cs="Arial"/>
          <w:szCs w:val="16"/>
        </w:rPr>
        <w:t>1</w:t>
      </w:r>
      <w:r w:rsidRPr="0028566D">
        <w:rPr>
          <w:rFonts w:eastAsia="MS Mincho" w:cs="Arial"/>
          <w:szCs w:val="16"/>
        </w:rPr>
        <w:t>%)</w:t>
      </w:r>
      <w:r w:rsidR="00A822AB">
        <w:rPr>
          <w:rFonts w:eastAsia="MS Mincho" w:cs="Arial"/>
          <w:szCs w:val="16"/>
        </w:rPr>
        <w:t xml:space="preserve">, reflecting the </w:t>
      </w:r>
      <w:r w:rsidRPr="0028566D">
        <w:rPr>
          <w:rFonts w:eastAsia="MS Mincho" w:cs="Arial"/>
          <w:szCs w:val="16"/>
        </w:rPr>
        <w:t>lower gross profit, partially mitigated by overhead control.</w:t>
      </w:r>
    </w:p>
    <w:p w14:paraId="4A21B238" w14:textId="77777777" w:rsidR="00A34498" w:rsidRPr="0028566D" w:rsidRDefault="00A34498" w:rsidP="0028566D">
      <w:pPr>
        <w:rPr>
          <w:rFonts w:eastAsia="MS Mincho" w:cs="Arial"/>
          <w:szCs w:val="16"/>
        </w:rPr>
      </w:pPr>
    </w:p>
    <w:p w14:paraId="4B268D01" w14:textId="4D912493" w:rsidR="00CD0A7F" w:rsidRPr="00CD0A7F" w:rsidRDefault="2DC52E99" w:rsidP="506BEAC4">
      <w:pPr>
        <w:rPr>
          <w:rFonts w:eastAsia="MS Mincho" w:cs="Arial"/>
        </w:rPr>
      </w:pPr>
      <w:r w:rsidRPr="506BEAC4">
        <w:rPr>
          <w:rFonts w:eastAsia="MS Mincho" w:cs="Arial"/>
        </w:rPr>
        <w:t>Adjusted net finance costs were £1.0 million (FY2025: £</w:t>
      </w:r>
      <w:r w:rsidR="7AC0D1C6" w:rsidRPr="506BEAC4">
        <w:rPr>
          <w:rFonts w:eastAsia="MS Mincho" w:cs="Arial"/>
        </w:rPr>
        <w:t>1.1</w:t>
      </w:r>
      <w:r w:rsidRPr="506BEAC4">
        <w:rPr>
          <w:rFonts w:eastAsia="MS Mincho" w:cs="Arial"/>
        </w:rPr>
        <w:t xml:space="preserve"> million), </w:t>
      </w:r>
      <w:r w:rsidR="2ED17206" w:rsidRPr="506BEAC4">
        <w:rPr>
          <w:rFonts w:eastAsia="MS Mincho" w:cs="Arial"/>
        </w:rPr>
        <w:t xml:space="preserve">with the year-on-year improvement driven by </w:t>
      </w:r>
      <w:r w:rsidR="0C94CF3E" w:rsidRPr="506BEAC4">
        <w:rPr>
          <w:rFonts w:eastAsia="MS Mincho" w:cs="Arial"/>
        </w:rPr>
        <w:t>an underlying</w:t>
      </w:r>
      <w:r w:rsidR="12104148" w:rsidRPr="506BEAC4">
        <w:rPr>
          <w:rFonts w:eastAsia="MS Mincho" w:cs="Arial"/>
        </w:rPr>
        <w:t xml:space="preserve"> net finance income position, reflecting </w:t>
      </w:r>
      <w:r w:rsidR="2ED17206" w:rsidRPr="506BEAC4">
        <w:rPr>
          <w:rFonts w:eastAsia="MS Mincho" w:cs="Arial"/>
        </w:rPr>
        <w:t xml:space="preserve">lower financing costs following the refinancing and strong cash position. </w:t>
      </w:r>
      <w:r w:rsidR="00367764">
        <w:rPr>
          <w:rFonts w:eastAsia="MS Mincho" w:cs="Arial"/>
        </w:rPr>
        <w:t xml:space="preserve">Lease liability interest </w:t>
      </w:r>
      <w:r w:rsidR="00550950">
        <w:rPr>
          <w:rFonts w:eastAsia="MS Mincho" w:cs="Arial"/>
        </w:rPr>
        <w:t>represents £</w:t>
      </w:r>
      <w:r w:rsidR="003E129A">
        <w:rPr>
          <w:rFonts w:eastAsia="MS Mincho" w:cs="Arial"/>
        </w:rPr>
        <w:t>1</w:t>
      </w:r>
      <w:r w:rsidR="00550950">
        <w:rPr>
          <w:rFonts w:eastAsia="MS Mincho" w:cs="Arial"/>
        </w:rPr>
        <w:t>.</w:t>
      </w:r>
      <w:r w:rsidR="003E129A">
        <w:rPr>
          <w:rFonts w:eastAsia="MS Mincho" w:cs="Arial"/>
        </w:rPr>
        <w:t>3</w:t>
      </w:r>
      <w:r w:rsidR="00550950">
        <w:rPr>
          <w:rFonts w:eastAsia="MS Mincho" w:cs="Arial"/>
        </w:rPr>
        <w:t xml:space="preserve"> million of the net finance costs </w:t>
      </w:r>
      <w:r w:rsidR="00DE184F">
        <w:rPr>
          <w:rFonts w:eastAsia="MS Mincho" w:cs="Arial"/>
        </w:rPr>
        <w:t>(FY2025: £</w:t>
      </w:r>
      <w:r w:rsidR="003E129A">
        <w:rPr>
          <w:rFonts w:eastAsia="MS Mincho" w:cs="Arial"/>
        </w:rPr>
        <w:t>0.8</w:t>
      </w:r>
      <w:r w:rsidR="00DE184F">
        <w:rPr>
          <w:rFonts w:eastAsia="MS Mincho" w:cs="Arial"/>
        </w:rPr>
        <w:t xml:space="preserve"> million)</w:t>
      </w:r>
      <w:r w:rsidR="00D0770C">
        <w:rPr>
          <w:rFonts w:eastAsia="MS Mincho" w:cs="Arial"/>
        </w:rPr>
        <w:t>,</w:t>
      </w:r>
      <w:r w:rsidR="00DE184F">
        <w:rPr>
          <w:rFonts w:eastAsia="MS Mincho" w:cs="Arial"/>
        </w:rPr>
        <w:t xml:space="preserve"> which has increased </w:t>
      </w:r>
      <w:r w:rsidR="00FE4999">
        <w:rPr>
          <w:rFonts w:eastAsia="MS Mincho" w:cs="Arial"/>
        </w:rPr>
        <w:t>following</w:t>
      </w:r>
      <w:r w:rsidR="2ED17206" w:rsidRPr="506BEAC4">
        <w:rPr>
          <w:rFonts w:eastAsia="MS Mincho" w:cs="Arial"/>
        </w:rPr>
        <w:t xml:space="preserve"> the </w:t>
      </w:r>
      <w:r w:rsidR="00E60006">
        <w:rPr>
          <w:rFonts w:eastAsia="MS Mincho" w:cs="Arial"/>
        </w:rPr>
        <w:t xml:space="preserve">DG </w:t>
      </w:r>
      <w:r w:rsidR="2C2E86F5" w:rsidRPr="506BEAC4">
        <w:rPr>
          <w:rFonts w:eastAsia="MS Mincho" w:cs="Arial"/>
        </w:rPr>
        <w:t>Australia warehouse</w:t>
      </w:r>
      <w:r w:rsidR="12104148" w:rsidRPr="506BEAC4">
        <w:rPr>
          <w:rFonts w:eastAsia="MS Mincho" w:cs="Arial"/>
        </w:rPr>
        <w:t xml:space="preserve"> relocation</w:t>
      </w:r>
      <w:r w:rsidR="59FE139C" w:rsidRPr="506BEAC4">
        <w:rPr>
          <w:rFonts w:eastAsia="MS Mincho" w:cs="Arial"/>
        </w:rPr>
        <w:t>.</w:t>
      </w:r>
    </w:p>
    <w:p w14:paraId="7A2AA65A" w14:textId="77777777" w:rsidR="00070AAC" w:rsidRPr="0028566D" w:rsidRDefault="00070AAC" w:rsidP="0028566D">
      <w:pPr>
        <w:rPr>
          <w:rFonts w:eastAsia="MS Mincho" w:cs="Arial"/>
          <w:szCs w:val="16"/>
        </w:rPr>
      </w:pPr>
    </w:p>
    <w:p w14:paraId="594D6FCC" w14:textId="046A9B82" w:rsidR="0028566D" w:rsidRDefault="0028566D" w:rsidP="0028566D">
      <w:pPr>
        <w:rPr>
          <w:rFonts w:eastAsia="MS Mincho" w:cs="Arial"/>
          <w:szCs w:val="16"/>
        </w:rPr>
      </w:pPr>
      <w:r w:rsidRPr="0028566D">
        <w:rPr>
          <w:rFonts w:eastAsia="MS Mincho" w:cs="Arial"/>
          <w:szCs w:val="16"/>
        </w:rPr>
        <w:t>Adjusted profit before tax was £8.6 million (FY2025: £14.</w:t>
      </w:r>
      <w:r w:rsidR="00FB5C5B">
        <w:rPr>
          <w:rFonts w:eastAsia="MS Mincho" w:cs="Arial"/>
          <w:szCs w:val="16"/>
        </w:rPr>
        <w:t>9</w:t>
      </w:r>
      <w:r w:rsidRPr="0028566D">
        <w:rPr>
          <w:rFonts w:eastAsia="MS Mincho" w:cs="Arial"/>
          <w:szCs w:val="16"/>
        </w:rPr>
        <w:t xml:space="preserve"> million), consistent with the decline in operating profit. Adjusted profit after tax was £7.3 million (FY2025: £10.</w:t>
      </w:r>
      <w:r w:rsidR="00FB5C5B">
        <w:rPr>
          <w:rFonts w:eastAsia="MS Mincho" w:cs="Arial"/>
          <w:szCs w:val="16"/>
        </w:rPr>
        <w:t>2</w:t>
      </w:r>
      <w:r w:rsidR="00FB5C5B" w:rsidRPr="0028566D">
        <w:rPr>
          <w:rFonts w:eastAsia="MS Mincho" w:cs="Arial"/>
          <w:szCs w:val="16"/>
        </w:rPr>
        <w:t xml:space="preserve"> </w:t>
      </w:r>
      <w:r w:rsidRPr="0028566D">
        <w:rPr>
          <w:rFonts w:eastAsia="MS Mincho" w:cs="Arial"/>
          <w:szCs w:val="16"/>
        </w:rPr>
        <w:t>million).</w:t>
      </w:r>
    </w:p>
    <w:p w14:paraId="6F442CD4" w14:textId="77777777" w:rsidR="00C97A79" w:rsidRPr="0028566D" w:rsidRDefault="00C97A79" w:rsidP="0028566D">
      <w:pPr>
        <w:rPr>
          <w:rFonts w:eastAsia="MS Mincho" w:cs="Arial"/>
          <w:szCs w:val="16"/>
        </w:rPr>
      </w:pPr>
    </w:p>
    <w:p w14:paraId="0AC6D189" w14:textId="08DC87D2" w:rsidR="0028566D" w:rsidRDefault="0028566D" w:rsidP="0028566D">
      <w:pPr>
        <w:rPr>
          <w:rFonts w:eastAsia="MS Mincho" w:cs="Arial"/>
          <w:szCs w:val="16"/>
        </w:rPr>
      </w:pPr>
      <w:r w:rsidRPr="0028566D">
        <w:rPr>
          <w:rFonts w:eastAsia="MS Mincho" w:cs="Arial"/>
          <w:szCs w:val="16"/>
        </w:rPr>
        <w:t>Reported results reflect adjusting item charges of £</w:t>
      </w:r>
      <w:r w:rsidR="004545AD">
        <w:rPr>
          <w:rFonts w:eastAsia="MS Mincho" w:cs="Arial"/>
          <w:szCs w:val="16"/>
        </w:rPr>
        <w:t>2</w:t>
      </w:r>
      <w:r w:rsidRPr="0028566D">
        <w:rPr>
          <w:rFonts w:eastAsia="MS Mincho" w:cs="Arial"/>
          <w:szCs w:val="16"/>
        </w:rPr>
        <w:t>.</w:t>
      </w:r>
      <w:r w:rsidR="004545AD">
        <w:rPr>
          <w:rFonts w:eastAsia="MS Mincho" w:cs="Arial"/>
          <w:szCs w:val="16"/>
        </w:rPr>
        <w:t>0</w:t>
      </w:r>
      <w:r w:rsidRPr="0028566D">
        <w:rPr>
          <w:rFonts w:eastAsia="MS Mincho" w:cs="Arial"/>
          <w:szCs w:val="16"/>
        </w:rPr>
        <w:t xml:space="preserve"> million after tax (FY2025: £5.8 million), resulting in reported profit after tax of £</w:t>
      </w:r>
      <w:r w:rsidR="00AF53AF">
        <w:rPr>
          <w:rFonts w:eastAsia="MS Mincho" w:cs="Arial"/>
          <w:szCs w:val="16"/>
        </w:rPr>
        <w:t>5.3</w:t>
      </w:r>
      <w:r w:rsidR="000C1EF1" w:rsidRPr="0028566D">
        <w:rPr>
          <w:rFonts w:eastAsia="MS Mincho" w:cs="Arial"/>
          <w:szCs w:val="16"/>
        </w:rPr>
        <w:t xml:space="preserve"> </w:t>
      </w:r>
      <w:r w:rsidRPr="0028566D">
        <w:rPr>
          <w:rFonts w:eastAsia="MS Mincho" w:cs="Arial"/>
          <w:szCs w:val="16"/>
        </w:rPr>
        <w:t>million (FY2025: £4.</w:t>
      </w:r>
      <w:r w:rsidR="00FB5C5B">
        <w:rPr>
          <w:rFonts w:eastAsia="MS Mincho" w:cs="Arial"/>
          <w:szCs w:val="16"/>
        </w:rPr>
        <w:t>4</w:t>
      </w:r>
      <w:r w:rsidR="000C1EF1" w:rsidRPr="0028566D">
        <w:rPr>
          <w:rFonts w:eastAsia="MS Mincho" w:cs="Arial"/>
          <w:szCs w:val="16"/>
        </w:rPr>
        <w:t xml:space="preserve"> </w:t>
      </w:r>
      <w:r w:rsidRPr="0028566D">
        <w:rPr>
          <w:rFonts w:eastAsia="MS Mincho" w:cs="Arial"/>
          <w:szCs w:val="16"/>
        </w:rPr>
        <w:t>million). The year</w:t>
      </w:r>
      <w:r w:rsidRPr="0028566D">
        <w:rPr>
          <w:rFonts w:ascii="Cambria Math" w:eastAsia="MS Mincho" w:hAnsi="Cambria Math" w:cs="Cambria Math"/>
          <w:szCs w:val="16"/>
        </w:rPr>
        <w:t>‑</w:t>
      </w:r>
      <w:r w:rsidRPr="0028566D">
        <w:rPr>
          <w:rFonts w:eastAsia="MS Mincho" w:cs="Arial"/>
          <w:szCs w:val="16"/>
        </w:rPr>
        <w:t>on</w:t>
      </w:r>
      <w:r w:rsidRPr="0028566D">
        <w:rPr>
          <w:rFonts w:ascii="Cambria Math" w:eastAsia="MS Mincho" w:hAnsi="Cambria Math" w:cs="Cambria Math"/>
          <w:szCs w:val="16"/>
        </w:rPr>
        <w:t>‑</w:t>
      </w:r>
      <w:r w:rsidRPr="0028566D">
        <w:rPr>
          <w:rFonts w:eastAsia="MS Mincho" w:cs="Arial"/>
          <w:szCs w:val="16"/>
        </w:rPr>
        <w:t xml:space="preserve">year movement reflects </w:t>
      </w:r>
      <w:r w:rsidR="00E60006">
        <w:rPr>
          <w:rFonts w:eastAsia="MS Mincho" w:cs="Arial"/>
          <w:szCs w:val="16"/>
        </w:rPr>
        <w:t>lower adjusting item costs in the current year</w:t>
      </w:r>
      <w:r w:rsidRPr="0028566D">
        <w:rPr>
          <w:rFonts w:eastAsia="MS Mincho" w:cs="Arial"/>
          <w:szCs w:val="16"/>
        </w:rPr>
        <w:t xml:space="preserve">, </w:t>
      </w:r>
      <w:r w:rsidR="00EB4FDB">
        <w:rPr>
          <w:rFonts w:eastAsia="MS Mincho" w:cs="Arial"/>
          <w:szCs w:val="16"/>
        </w:rPr>
        <w:t xml:space="preserve">despite an </w:t>
      </w:r>
      <w:r w:rsidRPr="0028566D">
        <w:rPr>
          <w:rFonts w:eastAsia="MS Mincho" w:cs="Arial"/>
          <w:szCs w:val="16"/>
        </w:rPr>
        <w:t>underlying reduction in profitability.</w:t>
      </w:r>
    </w:p>
    <w:p w14:paraId="18A2DBD5" w14:textId="77777777" w:rsidR="00DE0584" w:rsidRPr="0028566D" w:rsidRDefault="00DE0584" w:rsidP="0028566D">
      <w:pPr>
        <w:rPr>
          <w:rFonts w:eastAsia="MS Mincho" w:cs="Arial"/>
          <w:szCs w:val="16"/>
        </w:rPr>
      </w:pPr>
    </w:p>
    <w:p w14:paraId="68739CA4" w14:textId="086121E1" w:rsidR="0028566D" w:rsidRPr="00B8452B" w:rsidRDefault="0028566D" w:rsidP="0028566D">
      <w:pPr>
        <w:rPr>
          <w:rFonts w:eastAsia="MS Mincho" w:cs="Arial"/>
          <w:szCs w:val="16"/>
        </w:rPr>
      </w:pPr>
      <w:r w:rsidRPr="0028566D">
        <w:rPr>
          <w:rFonts w:eastAsia="MS Mincho" w:cs="Arial"/>
          <w:szCs w:val="16"/>
        </w:rPr>
        <w:t>Overall, the Group delivered a resilient performance in a challenging trading environment, supported by cost discipline and strategic actions taken across the business, although profitability was impacted by external pressures on revenue and margin.</w:t>
      </w:r>
    </w:p>
    <w:p w14:paraId="38C70DAC" w14:textId="77777777" w:rsidR="008858D5" w:rsidRPr="00B8452B" w:rsidRDefault="008858D5" w:rsidP="008858D5">
      <w:pPr>
        <w:spacing w:line="276" w:lineRule="auto"/>
        <w:rPr>
          <w:rFonts w:eastAsia="MS Mincho" w:cs="Arial"/>
          <w:szCs w:val="16"/>
        </w:rPr>
      </w:pPr>
    </w:p>
    <w:p w14:paraId="296A2320" w14:textId="77777777" w:rsidR="008858D5" w:rsidRPr="00B8452B" w:rsidRDefault="008858D5" w:rsidP="008858D5">
      <w:pPr>
        <w:spacing w:line="276" w:lineRule="auto"/>
        <w:rPr>
          <w:rFonts w:eastAsia="MS Mincho" w:cs="Arial"/>
          <w:szCs w:val="16"/>
        </w:rPr>
      </w:pPr>
    </w:p>
    <w:p w14:paraId="67D24CCD" w14:textId="77777777" w:rsidR="008858D5" w:rsidRPr="00842EFB" w:rsidRDefault="008858D5" w:rsidP="008065DE">
      <w:pPr>
        <w:pStyle w:val="Heading2"/>
        <w:rPr>
          <w:rFonts w:eastAsia="MS Mincho" w:cs="Arial"/>
        </w:rPr>
      </w:pPr>
      <w:r w:rsidRPr="008065DE">
        <w:rPr>
          <w:sz w:val="16"/>
          <w:szCs w:val="16"/>
        </w:rPr>
        <w:t>Adjusting items</w:t>
      </w:r>
    </w:p>
    <w:p w14:paraId="09D94DEF" w14:textId="77777777" w:rsidR="008858D5" w:rsidRPr="004130EE" w:rsidRDefault="008858D5" w:rsidP="008858D5">
      <w:pPr>
        <w:rPr>
          <w:rFonts w:eastAsia="Arial" w:cs="Arial"/>
          <w:szCs w:val="16"/>
        </w:rPr>
      </w:pPr>
      <w:r w:rsidRPr="004130EE">
        <w:rPr>
          <w:rFonts w:eastAsia="MS Mincho" w:cs="Arial"/>
        </w:rPr>
        <w:t>Adjusting items are material, unusual, or non-recurring gains or losses presented separately due to their nature, size, or incidence. They provide a clearer view of the Group’s underlying performance by excluding items not related to core operations, ensuring consistency with how the business is managed and measured. These may include events spanning multiple periods but not considered part of normal trading activity</w:t>
      </w:r>
      <w:r w:rsidRPr="004130EE">
        <w:rPr>
          <w:rFonts w:eastAsia="Arial" w:cs="Arial"/>
          <w:szCs w:val="16"/>
        </w:rPr>
        <w:t xml:space="preserve">. </w:t>
      </w:r>
    </w:p>
    <w:p w14:paraId="708F8E28" w14:textId="77777777" w:rsidR="008858D5" w:rsidRPr="00B8452B" w:rsidRDefault="008858D5" w:rsidP="008858D5">
      <w:pPr>
        <w:spacing w:line="276" w:lineRule="auto"/>
        <w:rPr>
          <w:rFonts w:eastAsia="MS Mincho" w:cs="Arial"/>
        </w:rPr>
      </w:pPr>
    </w:p>
    <w:p w14:paraId="0F55D8CF" w14:textId="5A7EBDB1" w:rsidR="008858D5" w:rsidRPr="00B8452B" w:rsidRDefault="008858D5" w:rsidP="00713C54">
      <w:pPr>
        <w:spacing w:line="276" w:lineRule="auto"/>
        <w:rPr>
          <w:rFonts w:eastAsia="Arial" w:cs="Arial"/>
        </w:rPr>
      </w:pPr>
      <w:r w:rsidRPr="00EC6FCF">
        <w:rPr>
          <w:rFonts w:eastAsia="MS Mincho" w:cs="Arial"/>
        </w:rPr>
        <w:t xml:space="preserve">The Group’s adjusting items </w:t>
      </w:r>
      <w:r w:rsidR="00BB1AF3">
        <w:rPr>
          <w:rFonts w:eastAsia="MS Mincho" w:cs="Arial"/>
        </w:rPr>
        <w:t xml:space="preserve">to operating profit </w:t>
      </w:r>
      <w:r w:rsidRPr="00EC6FCF">
        <w:rPr>
          <w:rFonts w:eastAsia="MS Mincho" w:cs="Arial"/>
        </w:rPr>
        <w:t>in the year to 31 March 202</w:t>
      </w:r>
      <w:r w:rsidR="004130EE" w:rsidRPr="00EC6FCF">
        <w:rPr>
          <w:rFonts w:eastAsia="MS Mincho" w:cs="Arial"/>
        </w:rPr>
        <w:t>6</w:t>
      </w:r>
      <w:r w:rsidRPr="00EC6FCF">
        <w:rPr>
          <w:rFonts w:eastAsia="MS Mincho" w:cs="Arial"/>
        </w:rPr>
        <w:t xml:space="preserve"> </w:t>
      </w:r>
      <w:r w:rsidR="00BB1AF3">
        <w:rPr>
          <w:rFonts w:eastAsia="MS Mincho" w:cs="Arial"/>
        </w:rPr>
        <w:t xml:space="preserve">are </w:t>
      </w:r>
      <w:r w:rsidRPr="00EC6FCF">
        <w:rPr>
          <w:rFonts w:eastAsia="MS Mincho" w:cs="Arial"/>
        </w:rPr>
        <w:t xml:space="preserve">a net </w:t>
      </w:r>
      <w:r w:rsidR="00832FCC">
        <w:rPr>
          <w:rFonts w:eastAsia="MS Mincho" w:cs="Arial"/>
        </w:rPr>
        <w:t>cost</w:t>
      </w:r>
      <w:r w:rsidR="00B47716" w:rsidRPr="00EC6FCF">
        <w:rPr>
          <w:rFonts w:eastAsia="MS Mincho" w:cs="Arial"/>
        </w:rPr>
        <w:t xml:space="preserve"> </w:t>
      </w:r>
      <w:r w:rsidRPr="00EC6FCF">
        <w:rPr>
          <w:rFonts w:eastAsia="MS Mincho" w:cs="Arial"/>
        </w:rPr>
        <w:t xml:space="preserve">of </w:t>
      </w:r>
      <w:r w:rsidR="00906A1A" w:rsidRPr="00EC6FCF">
        <w:rPr>
          <w:rFonts w:eastAsia="MS Mincho" w:cs="Arial"/>
        </w:rPr>
        <w:t>£</w:t>
      </w:r>
      <w:r w:rsidR="00521E2F">
        <w:rPr>
          <w:rFonts w:eastAsia="MS Mincho" w:cs="Arial"/>
        </w:rPr>
        <w:t>2</w:t>
      </w:r>
      <w:r w:rsidR="00906A1A" w:rsidRPr="00EC6FCF">
        <w:rPr>
          <w:rFonts w:eastAsia="MS Mincho" w:cs="Arial"/>
        </w:rPr>
        <w:t>.</w:t>
      </w:r>
      <w:r w:rsidR="00440FAF">
        <w:rPr>
          <w:rFonts w:eastAsia="MS Mincho" w:cs="Arial"/>
        </w:rPr>
        <w:t>1</w:t>
      </w:r>
      <w:r w:rsidR="00440FAF" w:rsidRPr="00EC6FCF">
        <w:rPr>
          <w:rFonts w:eastAsia="MS Mincho" w:cs="Arial"/>
        </w:rPr>
        <w:t xml:space="preserve"> </w:t>
      </w:r>
      <w:r w:rsidR="00906A1A" w:rsidRPr="00EC6FCF">
        <w:rPr>
          <w:rFonts w:eastAsia="MS Mincho" w:cs="Arial"/>
        </w:rPr>
        <w:t>million</w:t>
      </w:r>
      <w:r w:rsidRPr="00EC6FCF">
        <w:rPr>
          <w:rFonts w:eastAsia="MS Mincho" w:cs="Arial"/>
        </w:rPr>
        <w:t xml:space="preserve"> (FY202</w:t>
      </w:r>
      <w:r w:rsidR="00906A1A" w:rsidRPr="00EC6FCF">
        <w:rPr>
          <w:rFonts w:eastAsia="MS Mincho" w:cs="Arial"/>
        </w:rPr>
        <w:t>5</w:t>
      </w:r>
      <w:r w:rsidRPr="00EC6FCF">
        <w:rPr>
          <w:rFonts w:eastAsia="MS Mincho" w:cs="Arial"/>
        </w:rPr>
        <w:t xml:space="preserve">: </w:t>
      </w:r>
      <w:r w:rsidR="00EC6FCF" w:rsidRPr="00EC6FCF">
        <w:rPr>
          <w:rFonts w:eastAsia="MS Mincho" w:cs="Arial"/>
        </w:rPr>
        <w:t>£5.</w:t>
      </w:r>
      <w:r w:rsidR="00440FAF">
        <w:rPr>
          <w:rFonts w:eastAsia="MS Mincho" w:cs="Arial"/>
        </w:rPr>
        <w:t>7</w:t>
      </w:r>
      <w:r w:rsidRPr="00EC6FCF">
        <w:rPr>
          <w:rFonts w:eastAsia="MS Mincho" w:cs="Arial"/>
        </w:rPr>
        <w:t xml:space="preserve"> million). The details of adjusting items are included below:</w:t>
      </w:r>
      <w:bookmarkStart w:id="16" w:name="_41d71251_d21d_429f_a99a_503226b0f05a"/>
      <w:bookmarkEnd w:id="16"/>
    </w:p>
    <w:tbl>
      <w:tblPr>
        <w:tblW w:w="8048" w:type="dxa"/>
        <w:tblLook w:val="04A0" w:firstRow="1" w:lastRow="0" w:firstColumn="1" w:lastColumn="0" w:noHBand="0" w:noVBand="1"/>
      </w:tblPr>
      <w:tblGrid>
        <w:gridCol w:w="5656"/>
        <w:gridCol w:w="1196"/>
        <w:gridCol w:w="1196"/>
      </w:tblGrid>
      <w:tr w:rsidR="00193304" w:rsidRPr="001A0FEC" w14:paraId="0B7B8A19" w14:textId="77777777" w:rsidTr="00193304">
        <w:trPr>
          <w:trHeight w:hRule="exact" w:val="20"/>
        </w:trPr>
        <w:tc>
          <w:tcPr>
            <w:tcW w:w="5656" w:type="dxa"/>
            <w:tcBorders>
              <w:top w:val="nil"/>
              <w:left w:val="nil"/>
              <w:bottom w:val="nil"/>
              <w:right w:val="nil"/>
            </w:tcBorders>
            <w:noWrap/>
            <w:vAlign w:val="bottom"/>
            <w:hideMark/>
          </w:tcPr>
          <w:p w14:paraId="3489A2D1" w14:textId="77777777" w:rsidR="00193304" w:rsidRDefault="00193304">
            <w:pPr>
              <w:rPr>
                <w:sz w:val="2"/>
              </w:rPr>
            </w:pPr>
            <w:bookmarkStart w:id="17" w:name="_67a5eb31_46d3_4dbe_8fe4_ff7c32863ed6"/>
            <w:bookmarkStart w:id="18" w:name="_b0f9af29_ec6b_4c74_817c_ab4f2e245bea"/>
            <w:bookmarkEnd w:id="17"/>
          </w:p>
        </w:tc>
        <w:tc>
          <w:tcPr>
            <w:tcW w:w="1196" w:type="dxa"/>
            <w:tcBorders>
              <w:top w:val="nil"/>
              <w:left w:val="nil"/>
              <w:bottom w:val="nil"/>
              <w:right w:val="nil"/>
            </w:tcBorders>
            <w:noWrap/>
            <w:vAlign w:val="center"/>
            <w:hideMark/>
          </w:tcPr>
          <w:p w14:paraId="1F38058B" w14:textId="77777777" w:rsidR="00193304" w:rsidRDefault="00193304">
            <w:pPr>
              <w:rPr>
                <w:sz w:val="2"/>
              </w:rPr>
            </w:pPr>
          </w:p>
        </w:tc>
        <w:tc>
          <w:tcPr>
            <w:tcW w:w="1196" w:type="dxa"/>
            <w:tcBorders>
              <w:top w:val="nil"/>
              <w:left w:val="nil"/>
              <w:bottom w:val="nil"/>
              <w:right w:val="nil"/>
            </w:tcBorders>
            <w:noWrap/>
            <w:vAlign w:val="center"/>
            <w:hideMark/>
          </w:tcPr>
          <w:p w14:paraId="43396243" w14:textId="77777777" w:rsidR="00193304" w:rsidRDefault="00193304">
            <w:pPr>
              <w:rPr>
                <w:sz w:val="2"/>
              </w:rPr>
            </w:pPr>
          </w:p>
        </w:tc>
      </w:tr>
      <w:tr w:rsidR="00193304" w:rsidRPr="001A0FEC" w14:paraId="7A9097EB" w14:textId="77777777" w:rsidTr="00193304">
        <w:trPr>
          <w:trHeight w:val="300"/>
        </w:trPr>
        <w:tc>
          <w:tcPr>
            <w:tcW w:w="5656" w:type="dxa"/>
            <w:tcBorders>
              <w:top w:val="nil"/>
              <w:left w:val="nil"/>
              <w:bottom w:val="nil"/>
              <w:right w:val="nil"/>
            </w:tcBorders>
            <w:noWrap/>
            <w:vAlign w:val="bottom"/>
            <w:hideMark/>
          </w:tcPr>
          <w:p w14:paraId="1D6D87D3" w14:textId="77777777" w:rsidR="00193304" w:rsidRPr="00B8452B" w:rsidRDefault="00193304" w:rsidP="008E1BFE">
            <w:pPr>
              <w:spacing w:line="240" w:lineRule="auto"/>
              <w:outlineLvl w:val="0"/>
              <w:rPr>
                <w:rFonts w:eastAsia="Times New Roman" w:cs="Arial"/>
                <w:szCs w:val="16"/>
                <w:lang w:eastAsia="en-GB"/>
              </w:rPr>
            </w:pPr>
          </w:p>
        </w:tc>
        <w:tc>
          <w:tcPr>
            <w:tcW w:w="1196" w:type="dxa"/>
            <w:tcBorders>
              <w:top w:val="nil"/>
              <w:left w:val="nil"/>
              <w:bottom w:val="nil"/>
              <w:right w:val="nil"/>
            </w:tcBorders>
            <w:noWrap/>
            <w:vAlign w:val="center"/>
            <w:hideMark/>
          </w:tcPr>
          <w:p w14:paraId="0E00599C" w14:textId="77777777" w:rsidR="00193304" w:rsidRPr="001F7D1B" w:rsidRDefault="00193304" w:rsidP="008E1BFE">
            <w:pPr>
              <w:spacing w:line="240" w:lineRule="auto"/>
              <w:jc w:val="center"/>
              <w:outlineLvl w:val="0"/>
              <w:rPr>
                <w:rFonts w:eastAsia="Times New Roman" w:cs="Arial"/>
                <w:b/>
                <w:szCs w:val="16"/>
                <w:lang w:eastAsia="en-GB"/>
              </w:rPr>
            </w:pPr>
            <w:r w:rsidRPr="001F7D1B">
              <w:rPr>
                <w:rFonts w:eastAsia="Times New Roman" w:cs="Arial"/>
                <w:b/>
                <w:szCs w:val="16"/>
                <w:lang w:eastAsia="en-GB"/>
              </w:rPr>
              <w:t>FY2026</w:t>
            </w:r>
          </w:p>
        </w:tc>
        <w:tc>
          <w:tcPr>
            <w:tcW w:w="1196" w:type="dxa"/>
            <w:tcBorders>
              <w:top w:val="nil"/>
              <w:left w:val="nil"/>
              <w:bottom w:val="nil"/>
              <w:right w:val="nil"/>
            </w:tcBorders>
            <w:noWrap/>
            <w:vAlign w:val="center"/>
            <w:hideMark/>
          </w:tcPr>
          <w:p w14:paraId="3E7A72BD" w14:textId="77777777" w:rsidR="00193304" w:rsidRPr="001F7D1B" w:rsidRDefault="00193304" w:rsidP="008E1BFE">
            <w:pPr>
              <w:spacing w:line="240" w:lineRule="auto"/>
              <w:jc w:val="center"/>
              <w:outlineLvl w:val="0"/>
              <w:rPr>
                <w:rFonts w:eastAsia="Times New Roman" w:cs="Arial"/>
                <w:b/>
                <w:szCs w:val="16"/>
                <w:lang w:eastAsia="en-GB"/>
              </w:rPr>
            </w:pPr>
            <w:r w:rsidRPr="001F7D1B">
              <w:rPr>
                <w:rFonts w:eastAsia="Times New Roman" w:cs="Arial"/>
                <w:b/>
                <w:szCs w:val="16"/>
                <w:lang w:eastAsia="en-GB"/>
              </w:rPr>
              <w:t>FY2025</w:t>
            </w:r>
          </w:p>
        </w:tc>
      </w:tr>
      <w:tr w:rsidR="00193304" w:rsidRPr="001A0FEC" w14:paraId="59231319" w14:textId="77777777" w:rsidTr="00193304">
        <w:trPr>
          <w:trHeight w:val="300"/>
        </w:trPr>
        <w:tc>
          <w:tcPr>
            <w:tcW w:w="5656" w:type="dxa"/>
            <w:tcBorders>
              <w:top w:val="nil"/>
              <w:left w:val="nil"/>
              <w:bottom w:val="single" w:sz="4" w:space="0" w:color="55565B"/>
              <w:right w:val="nil"/>
            </w:tcBorders>
            <w:noWrap/>
            <w:vAlign w:val="center"/>
            <w:hideMark/>
          </w:tcPr>
          <w:p w14:paraId="18211BB8" w14:textId="77777777" w:rsidR="00193304" w:rsidRPr="00B8452B" w:rsidRDefault="00193304" w:rsidP="008E1BFE">
            <w:pPr>
              <w:spacing w:line="240" w:lineRule="auto"/>
              <w:rPr>
                <w:rFonts w:eastAsia="Times New Roman" w:cs="Arial"/>
                <w:b/>
                <w:szCs w:val="16"/>
                <w:lang w:eastAsia="en-GB"/>
              </w:rPr>
            </w:pPr>
          </w:p>
        </w:tc>
        <w:tc>
          <w:tcPr>
            <w:tcW w:w="1196" w:type="dxa"/>
            <w:tcBorders>
              <w:top w:val="nil"/>
              <w:left w:val="nil"/>
              <w:bottom w:val="single" w:sz="4" w:space="0" w:color="55565B"/>
              <w:right w:val="nil"/>
            </w:tcBorders>
            <w:vAlign w:val="center"/>
            <w:hideMark/>
          </w:tcPr>
          <w:p w14:paraId="4931135F" w14:textId="77777777" w:rsidR="00193304" w:rsidRPr="001F7D1B" w:rsidRDefault="00193304" w:rsidP="008E1BFE">
            <w:pPr>
              <w:spacing w:line="240" w:lineRule="auto"/>
              <w:jc w:val="center"/>
              <w:rPr>
                <w:rFonts w:eastAsia="Times New Roman" w:cs="Arial"/>
                <w:b/>
                <w:szCs w:val="16"/>
                <w:lang w:eastAsia="en-GB"/>
              </w:rPr>
            </w:pPr>
            <w:r w:rsidRPr="001F7D1B">
              <w:rPr>
                <w:rFonts w:eastAsia="Times New Roman" w:cs="Arial"/>
                <w:b/>
                <w:szCs w:val="16"/>
                <w:lang w:eastAsia="en-GB"/>
              </w:rPr>
              <w:t>£m</w:t>
            </w:r>
          </w:p>
        </w:tc>
        <w:tc>
          <w:tcPr>
            <w:tcW w:w="1196" w:type="dxa"/>
            <w:tcBorders>
              <w:top w:val="nil"/>
              <w:left w:val="nil"/>
              <w:bottom w:val="single" w:sz="4" w:space="0" w:color="55565B"/>
              <w:right w:val="nil"/>
            </w:tcBorders>
            <w:vAlign w:val="center"/>
            <w:hideMark/>
          </w:tcPr>
          <w:p w14:paraId="7AC0FFD2" w14:textId="77777777" w:rsidR="00193304" w:rsidRPr="001F7D1B" w:rsidRDefault="00193304" w:rsidP="008E1BFE">
            <w:pPr>
              <w:spacing w:line="240" w:lineRule="auto"/>
              <w:jc w:val="center"/>
              <w:rPr>
                <w:rFonts w:eastAsia="Times New Roman" w:cs="Arial"/>
                <w:b/>
                <w:szCs w:val="16"/>
                <w:lang w:eastAsia="en-GB"/>
              </w:rPr>
            </w:pPr>
            <w:r w:rsidRPr="001F7D1B">
              <w:rPr>
                <w:rFonts w:eastAsia="Times New Roman" w:cs="Arial"/>
                <w:b/>
                <w:szCs w:val="16"/>
                <w:lang w:eastAsia="en-GB"/>
              </w:rPr>
              <w:t>£m</w:t>
            </w:r>
          </w:p>
        </w:tc>
      </w:tr>
      <w:tr w:rsidR="00193304" w:rsidRPr="001A0FEC" w14:paraId="21BB8984" w14:textId="77777777" w:rsidTr="00193304">
        <w:trPr>
          <w:trHeight w:val="300"/>
        </w:trPr>
        <w:tc>
          <w:tcPr>
            <w:tcW w:w="5656" w:type="dxa"/>
            <w:tcBorders>
              <w:top w:val="nil"/>
              <w:left w:val="nil"/>
              <w:bottom w:val="nil"/>
              <w:right w:val="nil"/>
            </w:tcBorders>
            <w:noWrap/>
            <w:vAlign w:val="bottom"/>
            <w:hideMark/>
          </w:tcPr>
          <w:p w14:paraId="31A09102" w14:textId="77777777" w:rsidR="00193304" w:rsidRPr="001F7D1B" w:rsidRDefault="00193304" w:rsidP="008E1BFE">
            <w:pPr>
              <w:spacing w:line="240" w:lineRule="auto"/>
              <w:rPr>
                <w:rFonts w:eastAsia="Times New Roman" w:cs="Arial"/>
                <w:szCs w:val="16"/>
                <w:lang w:eastAsia="en-GB"/>
              </w:rPr>
            </w:pPr>
            <w:r w:rsidRPr="001F7D1B">
              <w:rPr>
                <w:rFonts w:eastAsia="Calibri" w:cs="Arial"/>
                <w:szCs w:val="16"/>
                <w:lang w:eastAsia="en-GB"/>
              </w:rPr>
              <w:t xml:space="preserve">Integration and restructuring costs </w:t>
            </w:r>
          </w:p>
        </w:tc>
        <w:tc>
          <w:tcPr>
            <w:tcW w:w="1196" w:type="dxa"/>
            <w:tcBorders>
              <w:top w:val="nil"/>
              <w:left w:val="nil"/>
              <w:bottom w:val="nil"/>
              <w:right w:val="nil"/>
            </w:tcBorders>
            <w:noWrap/>
            <w:vAlign w:val="center"/>
            <w:hideMark/>
          </w:tcPr>
          <w:p w14:paraId="77E7B4EB" w14:textId="0F53429B" w:rsidR="00193304" w:rsidRPr="00D6361C" w:rsidRDefault="00193304" w:rsidP="008E1BFE">
            <w:pPr>
              <w:spacing w:line="240" w:lineRule="auto"/>
              <w:jc w:val="center"/>
              <w:rPr>
                <w:rFonts w:eastAsia="Times New Roman" w:cs="Arial"/>
                <w:szCs w:val="16"/>
                <w:lang w:eastAsia="en-GB"/>
              </w:rPr>
            </w:pPr>
            <w:r w:rsidRPr="00D6361C">
              <w:rPr>
                <w:rFonts w:eastAsia="Times New Roman" w:cs="Arial"/>
                <w:szCs w:val="16"/>
                <w:lang w:eastAsia="en-GB"/>
              </w:rPr>
              <w:t>(1.</w:t>
            </w:r>
            <w:r w:rsidR="00AA380B">
              <w:rPr>
                <w:rFonts w:eastAsia="Times New Roman" w:cs="Arial"/>
                <w:szCs w:val="16"/>
                <w:lang w:eastAsia="en-GB"/>
              </w:rPr>
              <w:t>3</w:t>
            </w:r>
            <w:r w:rsidRPr="00D6361C">
              <w:rPr>
                <w:rFonts w:eastAsia="Times New Roman" w:cs="Arial"/>
                <w:szCs w:val="16"/>
                <w:lang w:eastAsia="en-GB"/>
              </w:rPr>
              <w:t>)</w:t>
            </w:r>
          </w:p>
        </w:tc>
        <w:tc>
          <w:tcPr>
            <w:tcW w:w="1196" w:type="dxa"/>
            <w:tcBorders>
              <w:top w:val="nil"/>
              <w:left w:val="nil"/>
              <w:bottom w:val="nil"/>
              <w:right w:val="nil"/>
            </w:tcBorders>
            <w:noWrap/>
            <w:vAlign w:val="center"/>
            <w:hideMark/>
          </w:tcPr>
          <w:p w14:paraId="0F14883F" w14:textId="72AE5B9E" w:rsidR="00193304" w:rsidRPr="00D6361C" w:rsidRDefault="00193304" w:rsidP="008E1BFE">
            <w:pPr>
              <w:spacing w:line="240" w:lineRule="auto"/>
              <w:jc w:val="center"/>
              <w:rPr>
                <w:rFonts w:eastAsia="Times New Roman" w:cs="Arial"/>
                <w:szCs w:val="16"/>
                <w:lang w:eastAsia="en-GB"/>
              </w:rPr>
            </w:pPr>
            <w:r w:rsidRPr="00D6361C">
              <w:rPr>
                <w:rFonts w:eastAsia="Times New Roman" w:cs="Arial"/>
                <w:szCs w:val="16"/>
                <w:lang w:eastAsia="en-GB"/>
              </w:rPr>
              <w:t>(5.</w:t>
            </w:r>
            <w:r>
              <w:rPr>
                <w:rFonts w:eastAsia="Times New Roman" w:cs="Arial"/>
                <w:szCs w:val="16"/>
                <w:lang w:eastAsia="en-GB"/>
              </w:rPr>
              <w:t>7</w:t>
            </w:r>
            <w:r w:rsidRPr="00D6361C">
              <w:rPr>
                <w:rFonts w:eastAsia="Times New Roman" w:cs="Arial"/>
                <w:szCs w:val="16"/>
                <w:lang w:eastAsia="en-GB"/>
              </w:rPr>
              <w:t>)</w:t>
            </w:r>
          </w:p>
        </w:tc>
      </w:tr>
      <w:tr w:rsidR="00193304" w:rsidRPr="001A0FEC" w14:paraId="162B59C1" w14:textId="77777777" w:rsidTr="00193304">
        <w:trPr>
          <w:trHeight w:val="300"/>
        </w:trPr>
        <w:tc>
          <w:tcPr>
            <w:tcW w:w="5656" w:type="dxa"/>
            <w:tcBorders>
              <w:top w:val="nil"/>
              <w:left w:val="nil"/>
              <w:bottom w:val="nil"/>
              <w:right w:val="nil"/>
            </w:tcBorders>
            <w:noWrap/>
            <w:vAlign w:val="bottom"/>
            <w:hideMark/>
          </w:tcPr>
          <w:p w14:paraId="3297625F" w14:textId="77777777" w:rsidR="00193304" w:rsidRPr="001F7D1B" w:rsidRDefault="00193304" w:rsidP="008E1BFE">
            <w:pPr>
              <w:spacing w:line="240" w:lineRule="auto"/>
              <w:rPr>
                <w:rFonts w:eastAsia="Times New Roman" w:cs="Arial"/>
                <w:szCs w:val="16"/>
                <w:lang w:eastAsia="en-GB"/>
              </w:rPr>
            </w:pPr>
            <w:r w:rsidRPr="001F7D1B">
              <w:rPr>
                <w:rFonts w:eastAsia="Times New Roman" w:cs="Arial"/>
                <w:szCs w:val="16"/>
                <w:lang w:eastAsia="en-GB"/>
              </w:rPr>
              <w:t xml:space="preserve">Profit on </w:t>
            </w:r>
            <w:r>
              <w:rPr>
                <w:rFonts w:eastAsia="Times New Roman" w:cs="Arial"/>
                <w:szCs w:val="16"/>
                <w:lang w:eastAsia="en-GB"/>
              </w:rPr>
              <w:t>disposal</w:t>
            </w:r>
            <w:r w:rsidRPr="001F7D1B">
              <w:rPr>
                <w:rFonts w:eastAsia="Times New Roman" w:cs="Arial"/>
                <w:szCs w:val="16"/>
                <w:lang w:eastAsia="en-GB"/>
              </w:rPr>
              <w:t xml:space="preserve"> of property</w:t>
            </w:r>
          </w:p>
        </w:tc>
        <w:tc>
          <w:tcPr>
            <w:tcW w:w="1196" w:type="dxa"/>
            <w:tcBorders>
              <w:top w:val="nil"/>
              <w:left w:val="nil"/>
              <w:bottom w:val="nil"/>
              <w:right w:val="nil"/>
            </w:tcBorders>
            <w:noWrap/>
            <w:vAlign w:val="center"/>
            <w:hideMark/>
          </w:tcPr>
          <w:p w14:paraId="74A5B30C" w14:textId="77777777" w:rsidR="00193304" w:rsidRPr="00D6361C" w:rsidRDefault="00193304" w:rsidP="008E1BFE">
            <w:pPr>
              <w:spacing w:line="240" w:lineRule="auto"/>
              <w:jc w:val="center"/>
              <w:rPr>
                <w:rFonts w:eastAsia="Times New Roman" w:cs="Arial"/>
                <w:szCs w:val="16"/>
                <w:lang w:eastAsia="en-GB"/>
              </w:rPr>
            </w:pPr>
            <w:r w:rsidRPr="00D6361C">
              <w:rPr>
                <w:rFonts w:eastAsia="Times New Roman" w:cs="Arial"/>
                <w:szCs w:val="16"/>
                <w:lang w:eastAsia="en-GB"/>
              </w:rPr>
              <w:t>3.0</w:t>
            </w:r>
          </w:p>
        </w:tc>
        <w:tc>
          <w:tcPr>
            <w:tcW w:w="1196" w:type="dxa"/>
            <w:tcBorders>
              <w:top w:val="nil"/>
              <w:left w:val="nil"/>
              <w:bottom w:val="nil"/>
              <w:right w:val="nil"/>
            </w:tcBorders>
            <w:noWrap/>
            <w:vAlign w:val="center"/>
            <w:hideMark/>
          </w:tcPr>
          <w:p w14:paraId="13D2B9B7" w14:textId="3ABA8068" w:rsidR="00193304" w:rsidRPr="00D6361C" w:rsidRDefault="00AD203D" w:rsidP="008E1BFE">
            <w:pPr>
              <w:spacing w:line="240" w:lineRule="auto"/>
              <w:jc w:val="center"/>
              <w:rPr>
                <w:rFonts w:eastAsia="Times New Roman" w:cs="Arial"/>
                <w:szCs w:val="16"/>
                <w:lang w:eastAsia="en-GB"/>
              </w:rPr>
            </w:pPr>
            <w:r>
              <w:rPr>
                <w:rFonts w:eastAsia="MS Mincho" w:cs="Arial"/>
                <w:szCs w:val="16"/>
              </w:rPr>
              <w:t>-</w:t>
            </w:r>
          </w:p>
        </w:tc>
      </w:tr>
      <w:tr w:rsidR="00193304" w:rsidRPr="001A0FEC" w14:paraId="62391555" w14:textId="77777777" w:rsidTr="00193304">
        <w:trPr>
          <w:trHeight w:val="300"/>
        </w:trPr>
        <w:tc>
          <w:tcPr>
            <w:tcW w:w="5656" w:type="dxa"/>
            <w:tcBorders>
              <w:top w:val="nil"/>
              <w:left w:val="nil"/>
              <w:bottom w:val="nil"/>
              <w:right w:val="nil"/>
            </w:tcBorders>
            <w:noWrap/>
            <w:vAlign w:val="bottom"/>
          </w:tcPr>
          <w:p w14:paraId="181F0467" w14:textId="77777777" w:rsidR="00193304" w:rsidRPr="001F7D1B" w:rsidRDefault="00193304" w:rsidP="008E1BFE">
            <w:pPr>
              <w:spacing w:line="240" w:lineRule="auto"/>
              <w:rPr>
                <w:rFonts w:eastAsia="Times New Roman" w:cs="Arial"/>
                <w:szCs w:val="16"/>
                <w:lang w:eastAsia="en-GB"/>
              </w:rPr>
            </w:pPr>
            <w:r>
              <w:rPr>
                <w:rFonts w:eastAsia="Times New Roman" w:cs="Arial"/>
                <w:szCs w:val="16"/>
                <w:lang w:eastAsia="en-GB"/>
              </w:rPr>
              <w:t>Provisions for guarantees</w:t>
            </w:r>
          </w:p>
        </w:tc>
        <w:tc>
          <w:tcPr>
            <w:tcW w:w="1196" w:type="dxa"/>
            <w:tcBorders>
              <w:top w:val="nil"/>
              <w:left w:val="nil"/>
              <w:bottom w:val="nil"/>
              <w:right w:val="nil"/>
            </w:tcBorders>
            <w:noWrap/>
            <w:vAlign w:val="center"/>
          </w:tcPr>
          <w:p w14:paraId="78F89B3D" w14:textId="77777777" w:rsidR="00193304" w:rsidRPr="00D6361C" w:rsidRDefault="00193304" w:rsidP="008E1BFE">
            <w:pPr>
              <w:spacing w:line="240" w:lineRule="auto"/>
              <w:jc w:val="center"/>
              <w:rPr>
                <w:rFonts w:eastAsia="Times New Roman" w:cs="Arial"/>
                <w:szCs w:val="16"/>
                <w:lang w:eastAsia="en-GB"/>
              </w:rPr>
            </w:pPr>
            <w:r>
              <w:rPr>
                <w:rFonts w:eastAsia="Times New Roman" w:cs="Arial"/>
                <w:szCs w:val="16"/>
                <w:lang w:eastAsia="en-GB"/>
              </w:rPr>
              <w:t>(3.8)</w:t>
            </w:r>
          </w:p>
        </w:tc>
        <w:tc>
          <w:tcPr>
            <w:tcW w:w="1196" w:type="dxa"/>
            <w:tcBorders>
              <w:top w:val="nil"/>
              <w:left w:val="nil"/>
              <w:bottom w:val="nil"/>
              <w:right w:val="nil"/>
            </w:tcBorders>
            <w:noWrap/>
            <w:vAlign w:val="center"/>
          </w:tcPr>
          <w:p w14:paraId="7468595C" w14:textId="1FDCDBD7" w:rsidR="00193304" w:rsidRPr="00D6361C" w:rsidRDefault="00AD203D" w:rsidP="008E1BFE">
            <w:pPr>
              <w:spacing w:line="240" w:lineRule="auto"/>
              <w:jc w:val="center"/>
              <w:rPr>
                <w:rFonts w:eastAsia="Times New Roman" w:cs="Arial"/>
                <w:szCs w:val="16"/>
                <w:lang w:eastAsia="en-GB"/>
              </w:rPr>
            </w:pPr>
            <w:r>
              <w:rPr>
                <w:rFonts w:eastAsia="MS Mincho" w:cs="Arial"/>
                <w:szCs w:val="16"/>
              </w:rPr>
              <w:t>-</w:t>
            </w:r>
          </w:p>
        </w:tc>
      </w:tr>
      <w:tr w:rsidR="00193304" w:rsidRPr="001A0FEC" w14:paraId="3DACADC5" w14:textId="77777777" w:rsidTr="00193304">
        <w:trPr>
          <w:trHeight w:val="315"/>
        </w:trPr>
        <w:tc>
          <w:tcPr>
            <w:tcW w:w="5656" w:type="dxa"/>
            <w:tcBorders>
              <w:top w:val="single" w:sz="4" w:space="0" w:color="55565B"/>
              <w:left w:val="nil"/>
              <w:bottom w:val="single" w:sz="8" w:space="0" w:color="55565B"/>
              <w:right w:val="nil"/>
            </w:tcBorders>
            <w:noWrap/>
            <w:vAlign w:val="bottom"/>
            <w:hideMark/>
          </w:tcPr>
          <w:p w14:paraId="42F441E9" w14:textId="77777777" w:rsidR="00193304" w:rsidRPr="001F7D1B" w:rsidRDefault="00193304" w:rsidP="008E1BFE">
            <w:pPr>
              <w:spacing w:line="240" w:lineRule="auto"/>
              <w:rPr>
                <w:rFonts w:eastAsia="Times New Roman" w:cs="Arial"/>
                <w:b/>
                <w:szCs w:val="16"/>
                <w:lang w:eastAsia="en-GB"/>
              </w:rPr>
            </w:pPr>
            <w:r w:rsidRPr="001F7D1B">
              <w:rPr>
                <w:rFonts w:eastAsia="Times New Roman" w:cs="Arial"/>
                <w:b/>
                <w:szCs w:val="16"/>
                <w:lang w:eastAsia="en-GB"/>
              </w:rPr>
              <w:t>Total</w:t>
            </w:r>
          </w:p>
        </w:tc>
        <w:tc>
          <w:tcPr>
            <w:tcW w:w="1196" w:type="dxa"/>
            <w:tcBorders>
              <w:top w:val="single" w:sz="4" w:space="0" w:color="55565B"/>
              <w:left w:val="nil"/>
              <w:bottom w:val="single" w:sz="8" w:space="0" w:color="55565B"/>
              <w:right w:val="nil"/>
            </w:tcBorders>
            <w:noWrap/>
            <w:vAlign w:val="center"/>
            <w:hideMark/>
          </w:tcPr>
          <w:p w14:paraId="2F914DEE" w14:textId="1189D9A9" w:rsidR="00193304" w:rsidRPr="00D6361C" w:rsidRDefault="00193304" w:rsidP="008E1BFE">
            <w:pPr>
              <w:spacing w:line="240" w:lineRule="auto"/>
              <w:jc w:val="center"/>
              <w:rPr>
                <w:rFonts w:eastAsia="Times New Roman" w:cs="Arial"/>
                <w:b/>
                <w:lang w:eastAsia="en-GB"/>
              </w:rPr>
            </w:pPr>
            <w:r>
              <w:rPr>
                <w:rFonts w:eastAsia="Times New Roman" w:cs="Arial"/>
                <w:b/>
                <w:lang w:eastAsia="en-GB"/>
              </w:rPr>
              <w:t>(2.1)</w:t>
            </w:r>
          </w:p>
        </w:tc>
        <w:tc>
          <w:tcPr>
            <w:tcW w:w="1196" w:type="dxa"/>
            <w:tcBorders>
              <w:top w:val="single" w:sz="4" w:space="0" w:color="55565B"/>
              <w:left w:val="nil"/>
              <w:bottom w:val="single" w:sz="8" w:space="0" w:color="55565B"/>
              <w:right w:val="nil"/>
            </w:tcBorders>
            <w:noWrap/>
            <w:vAlign w:val="center"/>
            <w:hideMark/>
          </w:tcPr>
          <w:p w14:paraId="74676578" w14:textId="706FD832" w:rsidR="00193304" w:rsidRPr="00D6361C" w:rsidRDefault="00193304" w:rsidP="008E1BFE">
            <w:pPr>
              <w:spacing w:line="240" w:lineRule="auto"/>
              <w:jc w:val="center"/>
              <w:rPr>
                <w:rFonts w:eastAsia="Times New Roman" w:cs="Arial"/>
                <w:b/>
                <w:szCs w:val="16"/>
                <w:lang w:eastAsia="en-GB"/>
              </w:rPr>
            </w:pPr>
            <w:r w:rsidRPr="00D6361C">
              <w:rPr>
                <w:rFonts w:eastAsia="Times New Roman" w:cs="Arial"/>
                <w:b/>
                <w:szCs w:val="16"/>
                <w:lang w:eastAsia="en-GB"/>
              </w:rPr>
              <w:t>(5.</w:t>
            </w:r>
            <w:r>
              <w:rPr>
                <w:rFonts w:eastAsia="Times New Roman" w:cs="Arial"/>
                <w:b/>
                <w:szCs w:val="16"/>
                <w:lang w:eastAsia="en-GB"/>
              </w:rPr>
              <w:t>7</w:t>
            </w:r>
            <w:r w:rsidRPr="00D6361C">
              <w:rPr>
                <w:rFonts w:eastAsia="Times New Roman" w:cs="Arial"/>
                <w:b/>
                <w:szCs w:val="16"/>
                <w:lang w:eastAsia="en-GB"/>
              </w:rPr>
              <w:t>)</w:t>
            </w:r>
          </w:p>
        </w:tc>
      </w:tr>
      <w:bookmarkEnd w:id="18"/>
    </w:tbl>
    <w:p w14:paraId="16041AA0" w14:textId="77777777" w:rsidR="00193304" w:rsidRDefault="00193304"/>
    <w:p w14:paraId="0A3608CE" w14:textId="1E0C6C41" w:rsidR="009870F7" w:rsidRDefault="00DB1464" w:rsidP="009870F7">
      <w:pPr>
        <w:spacing w:line="276" w:lineRule="auto"/>
        <w:rPr>
          <w:rFonts w:eastAsia="MS Mincho" w:cs="Arial"/>
        </w:rPr>
      </w:pPr>
      <w:r>
        <w:rPr>
          <w:rFonts w:eastAsia="MS Mincho" w:cs="Arial"/>
        </w:rPr>
        <w:t>A</w:t>
      </w:r>
      <w:r w:rsidR="009870F7" w:rsidRPr="009870F7">
        <w:rPr>
          <w:rFonts w:eastAsia="MS Mincho" w:cs="Arial"/>
        </w:rPr>
        <w:t>djusting item</w:t>
      </w:r>
      <w:r w:rsidR="00D2470F">
        <w:rPr>
          <w:rFonts w:eastAsia="MS Mincho" w:cs="Arial"/>
        </w:rPr>
        <w:t>s</w:t>
      </w:r>
      <w:r w:rsidR="00113638">
        <w:rPr>
          <w:rFonts w:eastAsia="MS Mincho" w:cs="Arial"/>
        </w:rPr>
        <w:t xml:space="preserve"> to operating profit </w:t>
      </w:r>
      <w:r w:rsidR="00B317C9" w:rsidRPr="007B4B65">
        <w:rPr>
          <w:rFonts w:eastAsia="MS Mincho" w:cs="Arial"/>
        </w:rPr>
        <w:t>compris</w:t>
      </w:r>
      <w:r w:rsidR="00B317C9">
        <w:rPr>
          <w:rFonts w:eastAsia="MS Mincho" w:cs="Arial"/>
        </w:rPr>
        <w:t>e of</w:t>
      </w:r>
      <w:r w:rsidR="00B317C9" w:rsidRPr="007B4B65">
        <w:rPr>
          <w:rFonts w:eastAsia="MS Mincho" w:cs="Arial"/>
        </w:rPr>
        <w:t xml:space="preserve"> </w:t>
      </w:r>
      <w:r w:rsidR="009870F7" w:rsidRPr="007B4B65">
        <w:rPr>
          <w:rFonts w:eastAsia="MS Mincho" w:cs="Arial"/>
        </w:rPr>
        <w:t>£1.</w:t>
      </w:r>
      <w:r w:rsidR="00CC7C40">
        <w:rPr>
          <w:rFonts w:eastAsia="MS Mincho" w:cs="Arial"/>
        </w:rPr>
        <w:t>3</w:t>
      </w:r>
      <w:r w:rsidR="00D2470F" w:rsidRPr="007B4B65">
        <w:rPr>
          <w:rFonts w:eastAsia="MS Mincho" w:cs="Arial"/>
        </w:rPr>
        <w:t xml:space="preserve"> </w:t>
      </w:r>
      <w:r w:rsidR="009870F7" w:rsidRPr="007B4B65">
        <w:rPr>
          <w:rFonts w:eastAsia="MS Mincho" w:cs="Arial"/>
        </w:rPr>
        <w:t xml:space="preserve">million of integration </w:t>
      </w:r>
      <w:r w:rsidR="008E4654" w:rsidRPr="007B4B65">
        <w:rPr>
          <w:rFonts w:eastAsia="MS Mincho" w:cs="Arial"/>
        </w:rPr>
        <w:t xml:space="preserve">and restructuring </w:t>
      </w:r>
      <w:r w:rsidR="009870F7" w:rsidRPr="007B4B65">
        <w:rPr>
          <w:rFonts w:eastAsia="MS Mincho" w:cs="Arial"/>
        </w:rPr>
        <w:t xml:space="preserve">costs, largely related to </w:t>
      </w:r>
      <w:r w:rsidR="00D55F4F">
        <w:rPr>
          <w:rFonts w:eastAsia="MS Mincho" w:cs="Arial"/>
        </w:rPr>
        <w:t xml:space="preserve">the </w:t>
      </w:r>
      <w:r w:rsidR="00C2649A">
        <w:rPr>
          <w:rFonts w:eastAsia="MS Mincho" w:cs="Arial"/>
        </w:rPr>
        <w:t xml:space="preserve">Far East </w:t>
      </w:r>
      <w:r w:rsidR="009870F7" w:rsidRPr="007B4B65">
        <w:rPr>
          <w:rFonts w:eastAsia="MS Mincho" w:cs="Arial"/>
        </w:rPr>
        <w:t>reorganisation</w:t>
      </w:r>
      <w:r w:rsidR="00300589" w:rsidRPr="007B4B65">
        <w:rPr>
          <w:rFonts w:eastAsia="MS Mincho" w:cs="Arial"/>
        </w:rPr>
        <w:t xml:space="preserve"> </w:t>
      </w:r>
      <w:r w:rsidR="009870F7" w:rsidRPr="007B4B65">
        <w:rPr>
          <w:rFonts w:eastAsia="MS Mincho" w:cs="Arial"/>
        </w:rPr>
        <w:t xml:space="preserve">and the Australia warehouse relocation, </w:t>
      </w:r>
      <w:r w:rsidR="00D2470F">
        <w:rPr>
          <w:rFonts w:eastAsia="MS Mincho" w:cs="Arial"/>
        </w:rPr>
        <w:t xml:space="preserve">and provisions for guarantees of £3.8 million, partially offset </w:t>
      </w:r>
      <w:r w:rsidR="009870F7" w:rsidRPr="007B4B65">
        <w:rPr>
          <w:rFonts w:eastAsia="MS Mincho" w:cs="Arial"/>
        </w:rPr>
        <w:t>by a £3.0 million profit on disposal of a surplus UK property.</w:t>
      </w:r>
    </w:p>
    <w:p w14:paraId="467FD8D8" w14:textId="77777777" w:rsidR="007B4B65" w:rsidRPr="009870F7" w:rsidRDefault="007B4B65" w:rsidP="009870F7">
      <w:pPr>
        <w:spacing w:line="276" w:lineRule="auto"/>
        <w:rPr>
          <w:rFonts w:eastAsia="MS Mincho" w:cs="Arial"/>
        </w:rPr>
      </w:pPr>
    </w:p>
    <w:p w14:paraId="55FC71FE" w14:textId="29C3D50D" w:rsidR="009870F7" w:rsidRDefault="009870F7" w:rsidP="009870F7">
      <w:pPr>
        <w:spacing w:line="276" w:lineRule="auto"/>
        <w:rPr>
          <w:rFonts w:eastAsia="MS Mincho" w:cs="Arial"/>
        </w:rPr>
      </w:pPr>
      <w:r w:rsidRPr="009870F7">
        <w:rPr>
          <w:rFonts w:eastAsia="MS Mincho" w:cs="Arial"/>
        </w:rPr>
        <w:t xml:space="preserve">In the prior year, adjusting items were significantly higher, driven by </w:t>
      </w:r>
      <w:r w:rsidRPr="007B4B65">
        <w:rPr>
          <w:rFonts w:eastAsia="MS Mincho" w:cs="Arial"/>
        </w:rPr>
        <w:t>the closure of the China manufacturing site</w:t>
      </w:r>
      <w:r w:rsidRPr="009870F7">
        <w:rPr>
          <w:rFonts w:eastAsia="MS Mincho" w:cs="Arial"/>
        </w:rPr>
        <w:t xml:space="preserve">, UK restructuring and Australia </w:t>
      </w:r>
      <w:r w:rsidR="00BB3EC5">
        <w:rPr>
          <w:rFonts w:eastAsia="MS Mincho" w:cs="Arial"/>
        </w:rPr>
        <w:t xml:space="preserve">warehouse </w:t>
      </w:r>
      <w:r w:rsidRPr="009870F7">
        <w:rPr>
          <w:rFonts w:eastAsia="MS Mincho" w:cs="Arial"/>
        </w:rPr>
        <w:t xml:space="preserve">relocation costs. </w:t>
      </w:r>
    </w:p>
    <w:p w14:paraId="671A95C9" w14:textId="77777777" w:rsidR="007B4B65" w:rsidRPr="009870F7" w:rsidRDefault="007B4B65" w:rsidP="009870F7">
      <w:pPr>
        <w:spacing w:line="276" w:lineRule="auto"/>
        <w:rPr>
          <w:rFonts w:eastAsia="MS Mincho" w:cs="Arial"/>
        </w:rPr>
      </w:pPr>
    </w:p>
    <w:p w14:paraId="29903D6A" w14:textId="3D8D5097" w:rsidR="008858D5" w:rsidRPr="00B8452B" w:rsidRDefault="008858D5" w:rsidP="008858D5">
      <w:pPr>
        <w:spacing w:line="276" w:lineRule="auto"/>
        <w:rPr>
          <w:rFonts w:eastAsia="MS Mincho" w:cs="Arial"/>
        </w:rPr>
      </w:pPr>
      <w:r w:rsidRPr="00D6361C">
        <w:rPr>
          <w:rFonts w:eastAsia="MS Mincho" w:cs="Arial"/>
        </w:rPr>
        <w:t xml:space="preserve">Please see </w:t>
      </w:r>
      <w:r w:rsidRPr="00D6361C">
        <w:rPr>
          <w:rFonts w:eastAsia="MS Mincho" w:cs="Arial"/>
          <w:i/>
        </w:rPr>
        <w:t>Use of non-GAAP measures (APMs)</w:t>
      </w:r>
      <w:r w:rsidRPr="00D6361C">
        <w:rPr>
          <w:rFonts w:eastAsia="MS Mincho" w:cs="Arial"/>
        </w:rPr>
        <w:t xml:space="preserve"> section in note 1 of </w:t>
      </w:r>
      <w:r w:rsidR="00450E16">
        <w:rPr>
          <w:rFonts w:eastAsia="MS Mincho" w:cs="Arial"/>
        </w:rPr>
        <w:t>f</w:t>
      </w:r>
      <w:r w:rsidR="00BB2407">
        <w:rPr>
          <w:rFonts w:eastAsia="MS Mincho" w:cs="Arial"/>
        </w:rPr>
        <w:t xml:space="preserve">inancial </w:t>
      </w:r>
      <w:r w:rsidR="00450E16">
        <w:rPr>
          <w:rFonts w:eastAsia="MS Mincho" w:cs="Arial"/>
        </w:rPr>
        <w:t>s</w:t>
      </w:r>
      <w:r w:rsidR="00BB2407">
        <w:rPr>
          <w:rFonts w:eastAsia="MS Mincho" w:cs="Arial"/>
        </w:rPr>
        <w:t>tatements</w:t>
      </w:r>
      <w:r w:rsidRPr="00D6361C">
        <w:rPr>
          <w:rFonts w:eastAsia="MS Mincho" w:cs="Arial"/>
        </w:rPr>
        <w:t xml:space="preserve"> for further details. </w:t>
      </w:r>
    </w:p>
    <w:p w14:paraId="1D90D3BE" w14:textId="77777777" w:rsidR="008858D5" w:rsidRPr="00B8452B" w:rsidRDefault="008858D5" w:rsidP="008858D5">
      <w:pPr>
        <w:spacing w:line="276" w:lineRule="auto"/>
        <w:rPr>
          <w:rFonts w:eastAsia="Arial" w:cs="Arial"/>
          <w:color w:val="000000"/>
        </w:rPr>
      </w:pPr>
    </w:p>
    <w:p w14:paraId="5817D765" w14:textId="77777777" w:rsidR="008858D5" w:rsidRPr="001A0FEC" w:rsidRDefault="008858D5" w:rsidP="008065DE">
      <w:pPr>
        <w:pStyle w:val="Heading2"/>
        <w:rPr>
          <w:rFonts w:eastAsia="MS Mincho" w:cs="Arial"/>
        </w:rPr>
      </w:pPr>
      <w:r w:rsidRPr="008065DE">
        <w:rPr>
          <w:sz w:val="16"/>
          <w:szCs w:val="16"/>
        </w:rPr>
        <w:t>Taxation</w:t>
      </w:r>
    </w:p>
    <w:p w14:paraId="25AF2073" w14:textId="77777777" w:rsidR="008858D5" w:rsidRPr="001A0FEC" w:rsidRDefault="008858D5" w:rsidP="006558B3">
      <w:pPr>
        <w:spacing w:line="276" w:lineRule="auto"/>
        <w:jc w:val="both"/>
        <w:rPr>
          <w:rFonts w:eastAsia="MS Mincho" w:cs="Arial"/>
        </w:rPr>
      </w:pPr>
      <w:r w:rsidRPr="2D73D8E5">
        <w:rPr>
          <w:rFonts w:eastAsia="MS Mincho" w:cs="Arial"/>
        </w:rPr>
        <w:t xml:space="preserve">The Group aims to manage its tax affairs in an open and transparent manner, with the objective of full compliance with all applicable rules and regulations in the tax jurisdictions in which it operates. The Group has not entered into any tax avoidance or otherwise aggressive tax planning schemes and the Group continues to operate its tax affairs in this manner. </w:t>
      </w:r>
    </w:p>
    <w:p w14:paraId="4A7C9EB0" w14:textId="77777777" w:rsidR="008858D5" w:rsidRPr="00B8452B" w:rsidRDefault="008858D5" w:rsidP="008858D5">
      <w:pPr>
        <w:spacing w:line="276" w:lineRule="auto"/>
        <w:rPr>
          <w:rFonts w:eastAsia="MS Mincho" w:cs="Arial"/>
        </w:rPr>
      </w:pPr>
    </w:p>
    <w:p w14:paraId="06E5AFCB" w14:textId="1298C634" w:rsidR="008858D5" w:rsidRDefault="008858D5" w:rsidP="00B50368">
      <w:pPr>
        <w:spacing w:line="276" w:lineRule="auto"/>
        <w:jc w:val="both"/>
        <w:rPr>
          <w:rFonts w:eastAsia="MS Mincho" w:cs="Arial"/>
        </w:rPr>
      </w:pPr>
      <w:r w:rsidRPr="2D73D8E5">
        <w:rPr>
          <w:rFonts w:eastAsia="MS Mincho" w:cs="Arial"/>
        </w:rPr>
        <w:t xml:space="preserve">The Group’s adjusted tax charge for the year is </w:t>
      </w:r>
      <w:r w:rsidR="3E32C457" w:rsidRPr="2D73D8E5">
        <w:rPr>
          <w:rFonts w:eastAsia="MS Mincho" w:cs="Arial"/>
        </w:rPr>
        <w:t>£</w:t>
      </w:r>
      <w:r w:rsidR="1B63B53D" w:rsidRPr="2D73D8E5">
        <w:rPr>
          <w:rFonts w:eastAsia="MS Mincho" w:cs="Arial"/>
        </w:rPr>
        <w:t>1.3</w:t>
      </w:r>
      <w:r w:rsidRPr="2D73D8E5">
        <w:rPr>
          <w:rFonts w:eastAsia="MS Mincho" w:cs="Arial"/>
        </w:rPr>
        <w:t xml:space="preserve"> m</w:t>
      </w:r>
      <w:r w:rsidR="692B37AF" w:rsidRPr="2D73D8E5">
        <w:rPr>
          <w:rFonts w:eastAsia="MS Mincho" w:cs="Arial"/>
        </w:rPr>
        <w:t>i</w:t>
      </w:r>
      <w:r w:rsidRPr="2D73D8E5">
        <w:rPr>
          <w:rFonts w:eastAsia="MS Mincho" w:cs="Arial"/>
        </w:rPr>
        <w:t>llion (FY202</w:t>
      </w:r>
      <w:r w:rsidR="038AD786" w:rsidRPr="2D73D8E5">
        <w:rPr>
          <w:rFonts w:eastAsia="MS Mincho" w:cs="Arial"/>
        </w:rPr>
        <w:t>5</w:t>
      </w:r>
      <w:r w:rsidRPr="2D73D8E5">
        <w:rPr>
          <w:rFonts w:eastAsia="MS Mincho" w:cs="Arial"/>
        </w:rPr>
        <w:t xml:space="preserve">: </w:t>
      </w:r>
      <w:r w:rsidR="3023A18C" w:rsidRPr="009E40B6">
        <w:rPr>
          <w:rFonts w:eastAsia="MS Mincho" w:cs="Arial"/>
        </w:rPr>
        <w:t>£</w:t>
      </w:r>
      <w:r w:rsidR="009E40B6" w:rsidRPr="009E40B6">
        <w:rPr>
          <w:rFonts w:eastAsia="MS Mincho" w:cs="Arial"/>
        </w:rPr>
        <w:t>4</w:t>
      </w:r>
      <w:r w:rsidR="3023A18C" w:rsidRPr="009E40B6">
        <w:rPr>
          <w:rFonts w:eastAsia="MS Mincho" w:cs="Arial"/>
        </w:rPr>
        <w:t>.</w:t>
      </w:r>
      <w:r w:rsidR="009E40B6" w:rsidRPr="009E40B6">
        <w:rPr>
          <w:rFonts w:eastAsia="MS Mincho" w:cs="Arial"/>
        </w:rPr>
        <w:t>7</w:t>
      </w:r>
      <w:r w:rsidRPr="009E40B6">
        <w:rPr>
          <w:rFonts w:eastAsia="MS Mincho" w:cs="Arial"/>
        </w:rPr>
        <w:t> million) against</w:t>
      </w:r>
      <w:r w:rsidRPr="2D73D8E5">
        <w:rPr>
          <w:rFonts w:eastAsia="MS Mincho" w:cs="Arial"/>
        </w:rPr>
        <w:t xml:space="preserve"> an adjusted profit before tax</w:t>
      </w:r>
      <w:r w:rsidR="0790FEFA" w:rsidRPr="2D73D8E5">
        <w:rPr>
          <w:rFonts w:eastAsia="MS Mincho" w:cs="Arial"/>
        </w:rPr>
        <w:t xml:space="preserve"> </w:t>
      </w:r>
      <w:r w:rsidRPr="2D73D8E5">
        <w:rPr>
          <w:rFonts w:eastAsia="MS Mincho" w:cs="Arial"/>
        </w:rPr>
        <w:t xml:space="preserve">of </w:t>
      </w:r>
      <w:r w:rsidR="4DF35387" w:rsidRPr="2D73D8E5">
        <w:rPr>
          <w:rFonts w:eastAsia="MS Mincho" w:cs="Arial"/>
        </w:rPr>
        <w:t>£</w:t>
      </w:r>
      <w:r w:rsidR="68969C76" w:rsidRPr="2D73D8E5">
        <w:rPr>
          <w:rFonts w:eastAsia="MS Mincho" w:cs="Arial"/>
        </w:rPr>
        <w:t>8.6</w:t>
      </w:r>
      <w:r w:rsidRPr="2D73D8E5">
        <w:rPr>
          <w:rFonts w:eastAsia="MS Mincho" w:cs="Arial"/>
        </w:rPr>
        <w:t xml:space="preserve"> million (FY202</w:t>
      </w:r>
      <w:r w:rsidR="10AB1061" w:rsidRPr="2D73D8E5">
        <w:rPr>
          <w:rFonts w:eastAsia="MS Mincho" w:cs="Arial"/>
        </w:rPr>
        <w:t>5</w:t>
      </w:r>
      <w:r w:rsidRPr="2D73D8E5">
        <w:rPr>
          <w:rFonts w:eastAsia="MS Mincho" w:cs="Arial"/>
        </w:rPr>
        <w:t xml:space="preserve">: </w:t>
      </w:r>
      <w:r w:rsidR="4A2E09EB" w:rsidRPr="004F2290">
        <w:rPr>
          <w:rFonts w:eastAsia="MS Mincho" w:cs="Arial"/>
        </w:rPr>
        <w:t>£</w:t>
      </w:r>
      <w:r w:rsidR="00C54C4E" w:rsidRPr="004F2290">
        <w:rPr>
          <w:rFonts w:eastAsia="MS Mincho" w:cs="Arial"/>
        </w:rPr>
        <w:t>1</w:t>
      </w:r>
      <w:r w:rsidR="00C54C4E">
        <w:rPr>
          <w:rFonts w:eastAsia="MS Mincho" w:cs="Arial"/>
        </w:rPr>
        <w:t>4</w:t>
      </w:r>
      <w:r w:rsidR="4A2E09EB" w:rsidRPr="004F2290">
        <w:rPr>
          <w:rFonts w:eastAsia="MS Mincho" w:cs="Arial"/>
        </w:rPr>
        <w:t>.</w:t>
      </w:r>
      <w:r w:rsidR="005A7376">
        <w:rPr>
          <w:rFonts w:eastAsia="MS Mincho" w:cs="Arial"/>
        </w:rPr>
        <w:t>9</w:t>
      </w:r>
      <w:r w:rsidR="005A7376" w:rsidRPr="004F2290">
        <w:rPr>
          <w:rFonts w:eastAsia="MS Mincho" w:cs="Arial"/>
        </w:rPr>
        <w:t xml:space="preserve"> </w:t>
      </w:r>
      <w:r w:rsidRPr="004F2290">
        <w:rPr>
          <w:rFonts w:eastAsia="MS Mincho" w:cs="Arial"/>
        </w:rPr>
        <w:t>million)</w:t>
      </w:r>
      <w:r w:rsidRPr="2D73D8E5">
        <w:rPr>
          <w:rFonts w:eastAsia="MS Mincho" w:cs="Arial"/>
        </w:rPr>
        <w:t xml:space="preserve">. This equates to an adjusted effective tax rate of </w:t>
      </w:r>
      <w:r w:rsidR="0FCCF260" w:rsidRPr="00D96A4D">
        <w:rPr>
          <w:rFonts w:eastAsia="MS Mincho" w:cs="Arial"/>
        </w:rPr>
        <w:t>15.1</w:t>
      </w:r>
      <w:r w:rsidRPr="00D96A4D">
        <w:rPr>
          <w:rFonts w:eastAsia="MS Mincho" w:cs="Arial"/>
        </w:rPr>
        <w:t>% (FY202</w:t>
      </w:r>
      <w:r w:rsidR="629993F2" w:rsidRPr="00D96A4D">
        <w:rPr>
          <w:rFonts w:eastAsia="MS Mincho" w:cs="Arial"/>
        </w:rPr>
        <w:t>5</w:t>
      </w:r>
      <w:r w:rsidRPr="004F2290">
        <w:rPr>
          <w:rFonts w:eastAsia="MS Mincho" w:cs="Arial"/>
        </w:rPr>
        <w:t xml:space="preserve">: </w:t>
      </w:r>
      <w:r w:rsidR="00D141A9">
        <w:rPr>
          <w:rFonts w:eastAsia="MS Mincho" w:cs="Arial"/>
        </w:rPr>
        <w:t>31.5</w:t>
      </w:r>
      <w:r w:rsidRPr="004F2290">
        <w:rPr>
          <w:rFonts w:eastAsia="MS Mincho" w:cs="Arial"/>
        </w:rPr>
        <w:t>%)</w:t>
      </w:r>
      <w:r w:rsidRPr="2D73D8E5">
        <w:rPr>
          <w:rFonts w:eastAsia="MS Mincho" w:cs="Arial"/>
        </w:rPr>
        <w:t>.</w:t>
      </w:r>
      <w:r w:rsidR="6C21D74F" w:rsidRPr="2D73D8E5">
        <w:rPr>
          <w:rFonts w:eastAsia="MS Mincho" w:cs="Arial"/>
        </w:rPr>
        <w:t xml:space="preserve"> </w:t>
      </w:r>
      <w:r w:rsidR="00044A8A" w:rsidRPr="2D73D8E5">
        <w:rPr>
          <w:rFonts w:eastAsia="MS Mincho" w:cs="Arial"/>
        </w:rPr>
        <w:t xml:space="preserve">The adjusted tax charge includes </w:t>
      </w:r>
      <w:r w:rsidR="00044A8A">
        <w:rPr>
          <w:rFonts w:eastAsia="MS Mincho" w:cs="Arial"/>
        </w:rPr>
        <w:t>a £1.6 million tax credit</w:t>
      </w:r>
      <w:r w:rsidR="0024707A">
        <w:rPr>
          <w:rFonts w:eastAsia="MS Mincho" w:cs="Arial"/>
        </w:rPr>
        <w:t xml:space="preserve">; </w:t>
      </w:r>
      <w:r w:rsidR="00F9114E">
        <w:rPr>
          <w:rFonts w:eastAsia="MS Mincho" w:cs="Arial"/>
        </w:rPr>
        <w:t>previously held uncertain tax provisions relating</w:t>
      </w:r>
      <w:r w:rsidR="00367B0A">
        <w:rPr>
          <w:rFonts w:eastAsia="MS Mincho" w:cs="Arial"/>
        </w:rPr>
        <w:t xml:space="preserve"> to </w:t>
      </w:r>
      <w:r w:rsidR="00F9114E">
        <w:rPr>
          <w:rFonts w:eastAsia="MS Mincho" w:cs="Arial"/>
        </w:rPr>
        <w:t xml:space="preserve">Huizhou have been released following the closure </w:t>
      </w:r>
      <w:r w:rsidR="006C1F1E">
        <w:rPr>
          <w:rFonts w:eastAsia="MS Mincho" w:cs="Arial"/>
        </w:rPr>
        <w:t xml:space="preserve">and deregistration </w:t>
      </w:r>
      <w:r w:rsidR="00F9114E">
        <w:rPr>
          <w:rFonts w:eastAsia="MS Mincho" w:cs="Arial"/>
        </w:rPr>
        <w:t>of the manufacturing site</w:t>
      </w:r>
      <w:r w:rsidR="006C1F1E">
        <w:rPr>
          <w:rFonts w:eastAsia="MS Mincho" w:cs="Arial"/>
        </w:rPr>
        <w:t>.</w:t>
      </w:r>
      <w:r w:rsidR="00A95F16">
        <w:rPr>
          <w:rFonts w:eastAsia="MS Mincho" w:cs="Arial"/>
        </w:rPr>
        <w:t xml:space="preserve"> </w:t>
      </w:r>
      <w:r w:rsidR="00044A8A" w:rsidRPr="2D73D8E5">
        <w:rPr>
          <w:rFonts w:eastAsia="MS Mincho" w:cs="Arial"/>
        </w:rPr>
        <w:t xml:space="preserve">The credit reduces the adjusted effective tax rate of the </w:t>
      </w:r>
      <w:r w:rsidR="00905DAA">
        <w:rPr>
          <w:rFonts w:eastAsia="MS Mincho" w:cs="Arial"/>
        </w:rPr>
        <w:t>G</w:t>
      </w:r>
      <w:r w:rsidR="00905DAA" w:rsidRPr="2D73D8E5">
        <w:rPr>
          <w:rFonts w:eastAsia="MS Mincho" w:cs="Arial"/>
        </w:rPr>
        <w:t xml:space="preserve">roup </w:t>
      </w:r>
      <w:r w:rsidR="00044A8A" w:rsidRPr="2D73D8E5">
        <w:rPr>
          <w:rFonts w:eastAsia="MS Mincho" w:cs="Arial"/>
        </w:rPr>
        <w:t>to below the UK statutory rate of 25%.</w:t>
      </w:r>
    </w:p>
    <w:p w14:paraId="29511FB5" w14:textId="77777777" w:rsidR="00044A8A" w:rsidRPr="00B8452B" w:rsidRDefault="00044A8A" w:rsidP="2D73D8E5">
      <w:pPr>
        <w:spacing w:line="276" w:lineRule="auto"/>
        <w:rPr>
          <w:rFonts w:eastAsia="MS Mincho" w:cs="Arial"/>
        </w:rPr>
      </w:pPr>
    </w:p>
    <w:p w14:paraId="29E0A7A5" w14:textId="09F86A1F" w:rsidR="008858D5" w:rsidRPr="00B8452B" w:rsidRDefault="008858D5" w:rsidP="006558B3">
      <w:pPr>
        <w:spacing w:line="276" w:lineRule="auto"/>
        <w:jc w:val="both"/>
        <w:rPr>
          <w:rFonts w:eastAsia="MS Mincho" w:cs="Arial"/>
        </w:rPr>
      </w:pPr>
      <w:r w:rsidRPr="2D73D8E5">
        <w:rPr>
          <w:rFonts w:eastAsia="MS Mincho" w:cs="Arial"/>
        </w:rPr>
        <w:t>Deferred tax assets relating to the entities in the UK (both UK trading and PLC) are</w:t>
      </w:r>
      <w:bookmarkStart w:id="19" w:name="_Hlk168602321"/>
      <w:r w:rsidRPr="2D73D8E5">
        <w:rPr>
          <w:rFonts w:eastAsia="MS Mincho" w:cs="Arial"/>
        </w:rPr>
        <w:t xml:space="preserve"> not being recognised due to the lack of sufficient compelling evidence to suggest their recognition </w:t>
      </w:r>
      <w:bookmarkEnd w:id="19"/>
      <w:r w:rsidRPr="2D73D8E5">
        <w:rPr>
          <w:rFonts w:eastAsia="MS Mincho" w:cs="Arial"/>
        </w:rPr>
        <w:t xml:space="preserve">currently. Consequently, the absence of tax relief on current year tax </w:t>
      </w:r>
      <w:r w:rsidR="32E7452E" w:rsidRPr="2D73D8E5">
        <w:rPr>
          <w:rFonts w:eastAsia="MS Mincho" w:cs="Arial"/>
        </w:rPr>
        <w:t>losses</w:t>
      </w:r>
      <w:r w:rsidR="12CCCD86" w:rsidRPr="2D73D8E5">
        <w:rPr>
          <w:rFonts w:eastAsia="MS Mincho" w:cs="Arial"/>
        </w:rPr>
        <w:t xml:space="preserve"> </w:t>
      </w:r>
      <w:r w:rsidRPr="2D73D8E5">
        <w:rPr>
          <w:rFonts w:eastAsia="MS Mincho" w:cs="Arial"/>
        </w:rPr>
        <w:t>in the U</w:t>
      </w:r>
      <w:r w:rsidR="3E1A268A" w:rsidRPr="2D73D8E5">
        <w:rPr>
          <w:rFonts w:eastAsia="MS Mincho" w:cs="Arial"/>
        </w:rPr>
        <w:t>K</w:t>
      </w:r>
      <w:r w:rsidRPr="2D73D8E5">
        <w:rPr>
          <w:rFonts w:eastAsia="MS Mincho" w:cs="Arial"/>
        </w:rPr>
        <w:t xml:space="preserve"> </w:t>
      </w:r>
      <w:r w:rsidR="783A547F" w:rsidRPr="2D73D8E5">
        <w:rPr>
          <w:rFonts w:eastAsia="MS Mincho" w:cs="Arial"/>
        </w:rPr>
        <w:t>increas</w:t>
      </w:r>
      <w:r w:rsidR="087070C7" w:rsidRPr="2D73D8E5">
        <w:rPr>
          <w:rFonts w:eastAsia="MS Mincho" w:cs="Arial"/>
        </w:rPr>
        <w:t>es</w:t>
      </w:r>
      <w:r w:rsidRPr="2D73D8E5">
        <w:rPr>
          <w:rFonts w:eastAsia="MS Mincho" w:cs="Arial"/>
        </w:rPr>
        <w:t xml:space="preserve"> the adjusted effective tax charge for the Group. The profits in DG Europe and DG Australia, which are considerable contributors to adjusted profit before tax</w:t>
      </w:r>
      <w:r w:rsidR="00C651B6">
        <w:rPr>
          <w:rFonts w:eastAsia="MS Mincho" w:cs="Arial"/>
        </w:rPr>
        <w:t>,</w:t>
      </w:r>
      <w:r w:rsidRPr="2D73D8E5">
        <w:rPr>
          <w:rFonts w:eastAsia="MS Mincho" w:cs="Arial"/>
        </w:rPr>
        <w:t xml:space="preserve"> are taxed 25.8% and 30% respectively. Further details of this tax charge are set out in note 7 of </w:t>
      </w:r>
      <w:r w:rsidR="000C4B8C">
        <w:rPr>
          <w:rFonts w:eastAsia="MS Mincho" w:cs="Arial"/>
        </w:rPr>
        <w:t>the f</w:t>
      </w:r>
      <w:r w:rsidR="009A3D89">
        <w:rPr>
          <w:rFonts w:eastAsia="MS Mincho" w:cs="Arial"/>
        </w:rPr>
        <w:t xml:space="preserve">inancial </w:t>
      </w:r>
      <w:r w:rsidR="000C4B8C">
        <w:rPr>
          <w:rFonts w:eastAsia="MS Mincho" w:cs="Arial"/>
        </w:rPr>
        <w:t>s</w:t>
      </w:r>
      <w:r w:rsidR="009A3D89">
        <w:rPr>
          <w:rFonts w:eastAsia="MS Mincho" w:cs="Arial"/>
        </w:rPr>
        <w:t>tatements</w:t>
      </w:r>
      <w:r w:rsidRPr="2D73D8E5">
        <w:rPr>
          <w:rFonts w:eastAsia="MS Mincho" w:cs="Arial"/>
        </w:rPr>
        <w:t xml:space="preserve">. </w:t>
      </w:r>
    </w:p>
    <w:p w14:paraId="04E784B8" w14:textId="75F88D87" w:rsidR="2D73D8E5" w:rsidRPr="00B8452B" w:rsidRDefault="2D73D8E5" w:rsidP="2D73D8E5">
      <w:pPr>
        <w:spacing w:line="276" w:lineRule="auto"/>
        <w:rPr>
          <w:rFonts w:eastAsia="MS Mincho" w:cs="Arial"/>
        </w:rPr>
      </w:pPr>
    </w:p>
    <w:p w14:paraId="6D5826E8" w14:textId="0CDECDE6" w:rsidR="008858D5" w:rsidRPr="001A0FEC" w:rsidRDefault="008858D5" w:rsidP="006558B3">
      <w:pPr>
        <w:spacing w:line="276" w:lineRule="auto"/>
        <w:jc w:val="both"/>
        <w:rPr>
          <w:rFonts w:eastAsia="MS Mincho" w:cs="Arial"/>
        </w:rPr>
      </w:pPr>
      <w:r w:rsidRPr="2D73D8E5">
        <w:rPr>
          <w:rFonts w:eastAsia="MS Mincho" w:cs="Arial"/>
        </w:rPr>
        <w:t xml:space="preserve">Tax paid in the year was </w:t>
      </w:r>
      <w:r w:rsidR="3F1FA7EA" w:rsidRPr="2D73D8E5">
        <w:rPr>
          <w:rFonts w:eastAsia="MS Mincho" w:cs="Arial"/>
        </w:rPr>
        <w:t>£3</w:t>
      </w:r>
      <w:r w:rsidRPr="2D73D8E5">
        <w:rPr>
          <w:rFonts w:eastAsia="MS Mincho" w:cs="Arial"/>
        </w:rPr>
        <w:t>.</w:t>
      </w:r>
      <w:r w:rsidR="23097074" w:rsidRPr="2D73D8E5">
        <w:rPr>
          <w:rFonts w:eastAsia="MS Mincho" w:cs="Arial"/>
        </w:rPr>
        <w:t>8</w:t>
      </w:r>
      <w:r w:rsidRPr="2D73D8E5">
        <w:rPr>
          <w:rFonts w:eastAsia="MS Mincho" w:cs="Arial"/>
        </w:rPr>
        <w:t xml:space="preserve"> million (FY202</w:t>
      </w:r>
      <w:r w:rsidR="63E687DC" w:rsidRPr="2D73D8E5">
        <w:rPr>
          <w:rFonts w:eastAsia="MS Mincho" w:cs="Arial"/>
        </w:rPr>
        <w:t>5</w:t>
      </w:r>
      <w:r w:rsidRPr="2D73D8E5">
        <w:rPr>
          <w:rFonts w:eastAsia="MS Mincho" w:cs="Arial"/>
        </w:rPr>
        <w:t xml:space="preserve">: </w:t>
      </w:r>
      <w:r w:rsidR="5F7299E3" w:rsidRPr="2D73D8E5">
        <w:rPr>
          <w:rFonts w:eastAsia="MS Mincho" w:cs="Arial"/>
        </w:rPr>
        <w:t>£</w:t>
      </w:r>
      <w:r w:rsidR="00D60508">
        <w:rPr>
          <w:rFonts w:eastAsia="MS Mincho" w:cs="Arial"/>
        </w:rPr>
        <w:t>6</w:t>
      </w:r>
      <w:r w:rsidRPr="2D73D8E5">
        <w:rPr>
          <w:rFonts w:eastAsia="MS Mincho" w:cs="Arial"/>
        </w:rPr>
        <w:t>.</w:t>
      </w:r>
      <w:r w:rsidR="00D60508">
        <w:rPr>
          <w:rFonts w:eastAsia="MS Mincho" w:cs="Arial"/>
        </w:rPr>
        <w:t>8</w:t>
      </w:r>
      <w:r w:rsidRPr="2D73D8E5">
        <w:rPr>
          <w:rFonts w:eastAsia="MS Mincho" w:cs="Arial"/>
        </w:rPr>
        <w:t xml:space="preserve"> million)</w:t>
      </w:r>
      <w:r w:rsidR="00A02437">
        <w:rPr>
          <w:rFonts w:eastAsia="MS Mincho" w:cs="Arial"/>
        </w:rPr>
        <w:t>,</w:t>
      </w:r>
      <w:r w:rsidR="00C861EE">
        <w:rPr>
          <w:rFonts w:eastAsia="MS Mincho" w:cs="Arial"/>
        </w:rPr>
        <w:t xml:space="preserve"> which is </w:t>
      </w:r>
      <w:r w:rsidR="78277319" w:rsidRPr="2D73D8E5">
        <w:rPr>
          <w:rFonts w:eastAsia="MS Mincho" w:cs="Arial"/>
        </w:rPr>
        <w:t>£</w:t>
      </w:r>
      <w:r w:rsidR="1A3065BE" w:rsidRPr="2D73D8E5">
        <w:rPr>
          <w:rFonts w:eastAsia="MS Mincho" w:cs="Arial"/>
        </w:rPr>
        <w:t>3</w:t>
      </w:r>
      <w:r w:rsidRPr="2D73D8E5">
        <w:rPr>
          <w:rFonts w:eastAsia="MS Mincho" w:cs="Arial"/>
        </w:rPr>
        <w:t>.</w:t>
      </w:r>
      <w:r w:rsidR="00D60508">
        <w:rPr>
          <w:rFonts w:eastAsia="MS Mincho" w:cs="Arial"/>
        </w:rPr>
        <w:t>0</w:t>
      </w:r>
      <w:r w:rsidRPr="2D73D8E5">
        <w:rPr>
          <w:rFonts w:eastAsia="MS Mincho" w:cs="Arial"/>
        </w:rPr>
        <w:t xml:space="preserve"> million </w:t>
      </w:r>
      <w:r w:rsidR="7076FC64" w:rsidRPr="2D73D8E5">
        <w:rPr>
          <w:rFonts w:eastAsia="MS Mincho" w:cs="Arial"/>
        </w:rPr>
        <w:t xml:space="preserve">lower </w:t>
      </w:r>
      <w:r w:rsidRPr="2D73D8E5">
        <w:rPr>
          <w:rFonts w:eastAsia="MS Mincho" w:cs="Arial"/>
        </w:rPr>
        <w:t>than the prior year</w:t>
      </w:r>
      <w:r w:rsidR="00053E6B">
        <w:rPr>
          <w:rFonts w:eastAsia="MS Mincho" w:cs="Arial"/>
        </w:rPr>
        <w:t>.</w:t>
      </w:r>
      <w:r w:rsidR="002B2B87">
        <w:rPr>
          <w:rFonts w:eastAsia="MS Mincho" w:cs="Arial"/>
        </w:rPr>
        <w:t xml:space="preserve"> O</w:t>
      </w:r>
      <w:r w:rsidR="6FEC4B27" w:rsidRPr="2D73D8E5">
        <w:rPr>
          <w:rFonts w:eastAsia="MS Mincho" w:cs="Arial"/>
        </w:rPr>
        <w:t xml:space="preserve">verpayments in the prior year </w:t>
      </w:r>
      <w:r w:rsidR="71F381B8" w:rsidRPr="2D73D8E5">
        <w:rPr>
          <w:rFonts w:eastAsia="MS Mincho" w:cs="Arial"/>
        </w:rPr>
        <w:t xml:space="preserve">for </w:t>
      </w:r>
      <w:r w:rsidR="64E84F4A" w:rsidRPr="2D73D8E5">
        <w:rPr>
          <w:rFonts w:eastAsia="MS Mincho" w:cs="Arial"/>
        </w:rPr>
        <w:t>previous</w:t>
      </w:r>
      <w:r w:rsidR="71F381B8" w:rsidRPr="2D73D8E5">
        <w:rPr>
          <w:rFonts w:eastAsia="MS Mincho" w:cs="Arial"/>
        </w:rPr>
        <w:t xml:space="preserve"> years </w:t>
      </w:r>
      <w:r w:rsidR="6FEC4B27" w:rsidRPr="2D73D8E5">
        <w:rPr>
          <w:rFonts w:eastAsia="MS Mincho" w:cs="Arial"/>
        </w:rPr>
        <w:t xml:space="preserve">and </w:t>
      </w:r>
      <w:r w:rsidR="613038C7" w:rsidRPr="2D73D8E5">
        <w:rPr>
          <w:rFonts w:eastAsia="MS Mincho" w:cs="Arial"/>
        </w:rPr>
        <w:t>l</w:t>
      </w:r>
      <w:r w:rsidR="22DDAF13" w:rsidRPr="2D73D8E5">
        <w:rPr>
          <w:rFonts w:eastAsia="MS Mincho" w:cs="Arial"/>
        </w:rPr>
        <w:t>ower profits in tax paying territories</w:t>
      </w:r>
      <w:r w:rsidR="6D24AA36" w:rsidRPr="2D73D8E5">
        <w:rPr>
          <w:rFonts w:eastAsia="MS Mincho" w:cs="Arial"/>
        </w:rPr>
        <w:t xml:space="preserve"> for the current year</w:t>
      </w:r>
      <w:r w:rsidR="69299DB1" w:rsidRPr="2D73D8E5">
        <w:rPr>
          <w:rFonts w:eastAsia="MS Mincho" w:cs="Arial"/>
        </w:rPr>
        <w:t xml:space="preserve"> are the key drivers for the movement</w:t>
      </w:r>
      <w:r w:rsidR="7D7AFAAB" w:rsidRPr="2D73D8E5">
        <w:rPr>
          <w:rFonts w:eastAsia="MS Mincho" w:cs="Arial"/>
        </w:rPr>
        <w:t xml:space="preserve">. </w:t>
      </w:r>
    </w:p>
    <w:p w14:paraId="69D97569" w14:textId="77777777" w:rsidR="008858D5" w:rsidRPr="00B8452B" w:rsidRDefault="008858D5" w:rsidP="008858D5">
      <w:pPr>
        <w:spacing w:line="276" w:lineRule="auto"/>
        <w:rPr>
          <w:rFonts w:eastAsia="MS Mincho" w:cs="Arial"/>
          <w:szCs w:val="16"/>
        </w:rPr>
      </w:pPr>
    </w:p>
    <w:p w14:paraId="567A22F9" w14:textId="77777777" w:rsidR="008858D5" w:rsidRPr="00F2203A" w:rsidRDefault="008858D5" w:rsidP="008065DE">
      <w:pPr>
        <w:pStyle w:val="Heading2"/>
        <w:rPr>
          <w:rFonts w:eastAsia="MS Mincho" w:cs="Arial"/>
          <w:szCs w:val="16"/>
        </w:rPr>
      </w:pPr>
      <w:r w:rsidRPr="008065DE">
        <w:rPr>
          <w:sz w:val="16"/>
          <w:szCs w:val="16"/>
        </w:rPr>
        <w:t>Earnings per share</w:t>
      </w:r>
    </w:p>
    <w:p w14:paraId="5CAED33D" w14:textId="256DBB46" w:rsidR="008858D5" w:rsidRDefault="00EA5598" w:rsidP="008858D5">
      <w:pPr>
        <w:spacing w:line="276" w:lineRule="auto"/>
        <w:rPr>
          <w:rFonts w:eastAsia="MS Mincho" w:cs="Arial"/>
          <w:szCs w:val="16"/>
        </w:rPr>
      </w:pPr>
      <w:r w:rsidRPr="00EA5598">
        <w:rPr>
          <w:rFonts w:eastAsia="MS Mincho" w:cs="Arial"/>
          <w:szCs w:val="16"/>
        </w:rPr>
        <w:t>Diluted adjusted earnings per share was 7.2p (FY2025: 10.</w:t>
      </w:r>
      <w:r w:rsidR="000C1EF1">
        <w:rPr>
          <w:rFonts w:eastAsia="MS Mincho" w:cs="Arial"/>
          <w:szCs w:val="16"/>
        </w:rPr>
        <w:t>0</w:t>
      </w:r>
      <w:r w:rsidR="000C1EF1" w:rsidRPr="00EA5598">
        <w:rPr>
          <w:rFonts w:eastAsia="MS Mincho" w:cs="Arial"/>
          <w:szCs w:val="16"/>
        </w:rPr>
        <w:t>p</w:t>
      </w:r>
      <w:r w:rsidRPr="00EA5598">
        <w:rPr>
          <w:rFonts w:eastAsia="MS Mincho" w:cs="Arial"/>
          <w:szCs w:val="16"/>
        </w:rPr>
        <w:t xml:space="preserve">), reflecting the reduction in profit after tax for the year. </w:t>
      </w:r>
      <w:r w:rsidR="00BD4359" w:rsidRPr="00BD4359">
        <w:rPr>
          <w:rFonts w:eastAsia="MS Mincho" w:cs="Arial"/>
          <w:szCs w:val="16"/>
        </w:rPr>
        <w:t xml:space="preserve">Diluted reported earnings per share increased to </w:t>
      </w:r>
      <w:r w:rsidR="009F278F">
        <w:rPr>
          <w:rFonts w:eastAsia="MS Mincho" w:cs="Arial"/>
          <w:szCs w:val="16"/>
        </w:rPr>
        <w:t>5.5</w:t>
      </w:r>
      <w:r w:rsidR="00BD4359" w:rsidRPr="00BD4359">
        <w:rPr>
          <w:rFonts w:eastAsia="MS Mincho" w:cs="Arial"/>
          <w:szCs w:val="16"/>
        </w:rPr>
        <w:t>p (FY2025: 4.</w:t>
      </w:r>
      <w:r w:rsidR="00CE3A2D">
        <w:rPr>
          <w:rFonts w:eastAsia="MS Mincho" w:cs="Arial"/>
          <w:szCs w:val="16"/>
        </w:rPr>
        <w:t>3</w:t>
      </w:r>
      <w:r w:rsidR="00CE3A2D" w:rsidRPr="00BD4359">
        <w:rPr>
          <w:rFonts w:eastAsia="MS Mincho" w:cs="Arial"/>
          <w:szCs w:val="16"/>
        </w:rPr>
        <w:t>p</w:t>
      </w:r>
      <w:r w:rsidR="00BD4359" w:rsidRPr="00BD4359">
        <w:rPr>
          <w:rFonts w:eastAsia="MS Mincho" w:cs="Arial"/>
          <w:szCs w:val="16"/>
        </w:rPr>
        <w:t xml:space="preserve">), reflecting </w:t>
      </w:r>
      <w:r w:rsidR="00F0515D">
        <w:rPr>
          <w:rFonts w:eastAsia="MS Mincho" w:cs="Arial"/>
          <w:szCs w:val="16"/>
        </w:rPr>
        <w:t xml:space="preserve">lower </w:t>
      </w:r>
      <w:r w:rsidR="00BD4359" w:rsidRPr="00BD4359">
        <w:rPr>
          <w:rFonts w:eastAsia="MS Mincho" w:cs="Arial"/>
          <w:szCs w:val="16"/>
        </w:rPr>
        <w:t>adjusting item</w:t>
      </w:r>
      <w:r w:rsidR="00F0515D">
        <w:rPr>
          <w:rFonts w:eastAsia="MS Mincho" w:cs="Arial"/>
          <w:szCs w:val="16"/>
        </w:rPr>
        <w:t xml:space="preserve">s </w:t>
      </w:r>
      <w:r w:rsidR="009108A6">
        <w:rPr>
          <w:rFonts w:eastAsia="MS Mincho" w:cs="Arial"/>
          <w:szCs w:val="16"/>
        </w:rPr>
        <w:t xml:space="preserve">and tax charge </w:t>
      </w:r>
      <w:r w:rsidR="00BD4359" w:rsidRPr="00BD4359">
        <w:rPr>
          <w:rFonts w:eastAsia="MS Mincho" w:cs="Arial"/>
          <w:szCs w:val="16"/>
        </w:rPr>
        <w:t>in the current year. Further details are set out in note 21 of the financial statements.</w:t>
      </w:r>
    </w:p>
    <w:p w14:paraId="3563AC4C" w14:textId="77777777" w:rsidR="00EA5598" w:rsidRPr="00941514" w:rsidRDefault="00EA5598" w:rsidP="008858D5">
      <w:pPr>
        <w:spacing w:line="276" w:lineRule="auto"/>
        <w:rPr>
          <w:rFonts w:eastAsia="MS Mincho" w:cs="Arial"/>
          <w:szCs w:val="16"/>
        </w:rPr>
      </w:pPr>
    </w:p>
    <w:p w14:paraId="39EAAEF7" w14:textId="77777777" w:rsidR="008858D5" w:rsidRPr="00941514" w:rsidRDefault="008858D5" w:rsidP="008065DE">
      <w:pPr>
        <w:pStyle w:val="Heading2"/>
        <w:rPr>
          <w:rFonts w:eastAsia="MS Mincho" w:cs="Arial"/>
          <w:szCs w:val="16"/>
        </w:rPr>
      </w:pPr>
      <w:r w:rsidRPr="008065DE">
        <w:rPr>
          <w:sz w:val="16"/>
          <w:szCs w:val="16"/>
        </w:rPr>
        <w:t>Dividend</w:t>
      </w:r>
    </w:p>
    <w:p w14:paraId="7B471178" w14:textId="7BA55C5E" w:rsidR="008858D5" w:rsidRPr="00941514" w:rsidRDefault="003465EE" w:rsidP="008858D5">
      <w:pPr>
        <w:spacing w:after="240" w:line="276" w:lineRule="auto"/>
        <w:rPr>
          <w:rFonts w:eastAsia="Cambria" w:cs="Arial"/>
        </w:rPr>
      </w:pPr>
      <w:r w:rsidRPr="003465EE">
        <w:rPr>
          <w:rFonts w:eastAsia="Cambria" w:cs="Arial"/>
        </w:rPr>
        <w:t xml:space="preserve">Following the </w:t>
      </w:r>
      <w:r w:rsidRPr="00B64D40">
        <w:rPr>
          <w:rFonts w:eastAsia="Cambria" w:cs="Arial"/>
        </w:rPr>
        <w:t>establishment of the Group’s capital allocation framework, a dividend of 1.0p per share will be paid in respect of FY2026</w:t>
      </w:r>
      <w:r w:rsidR="00DC7640" w:rsidRPr="00B64D40">
        <w:rPr>
          <w:rFonts w:eastAsia="Cambria" w:cs="Arial"/>
        </w:rPr>
        <w:t xml:space="preserve"> (FY2025: 0.0p)</w:t>
      </w:r>
      <w:r w:rsidRPr="00B64D40">
        <w:rPr>
          <w:rFonts w:eastAsia="Cambria" w:cs="Arial"/>
        </w:rPr>
        <w:t xml:space="preserve">, payable </w:t>
      </w:r>
      <w:r w:rsidR="002F679F" w:rsidRPr="00B64D40">
        <w:rPr>
          <w:rFonts w:eastAsia="Cambria" w:cs="Arial"/>
        </w:rPr>
        <w:t>on 9 October</w:t>
      </w:r>
      <w:r w:rsidR="00DC7640">
        <w:rPr>
          <w:rFonts w:eastAsia="Cambria" w:cs="Arial"/>
        </w:rPr>
        <w:t xml:space="preserve"> 2026</w:t>
      </w:r>
      <w:r w:rsidRPr="003465EE">
        <w:rPr>
          <w:rFonts w:eastAsia="Cambria" w:cs="Arial"/>
        </w:rPr>
        <w:t>.</w:t>
      </w:r>
    </w:p>
    <w:p w14:paraId="70761D54" w14:textId="77777777" w:rsidR="008858D5" w:rsidRPr="0099621B" w:rsidRDefault="008858D5" w:rsidP="00A36EA9">
      <w:pPr>
        <w:pStyle w:val="Heading2"/>
        <w:rPr>
          <w:rFonts w:eastAsia="MS Mincho" w:cs="Arial"/>
          <w:szCs w:val="16"/>
        </w:rPr>
      </w:pPr>
      <w:r w:rsidRPr="008065DE">
        <w:rPr>
          <w:sz w:val="16"/>
          <w:szCs w:val="16"/>
        </w:rPr>
        <w:lastRenderedPageBreak/>
        <w:t>Return on capital employed</w:t>
      </w:r>
    </w:p>
    <w:p w14:paraId="7E501FB7" w14:textId="458C58BD" w:rsidR="008858D5" w:rsidRPr="00921B97" w:rsidRDefault="00E355C9" w:rsidP="008858D5">
      <w:pPr>
        <w:spacing w:line="276" w:lineRule="auto"/>
        <w:rPr>
          <w:rFonts w:eastAsia="MS Mincho" w:cs="Arial"/>
          <w:szCs w:val="16"/>
        </w:rPr>
      </w:pPr>
      <w:r w:rsidRPr="00E355C9">
        <w:rPr>
          <w:rFonts w:eastAsia="MS Mincho" w:cs="Arial"/>
          <w:szCs w:val="16"/>
        </w:rPr>
        <w:t>Return on capital employed</w:t>
      </w:r>
      <w:r>
        <w:rPr>
          <w:rFonts w:eastAsia="MS Mincho" w:cs="Arial"/>
          <w:szCs w:val="16"/>
        </w:rPr>
        <w:t xml:space="preserve"> (</w:t>
      </w:r>
      <w:r w:rsidR="00CA3C64" w:rsidRPr="00CA3C64">
        <w:rPr>
          <w:rFonts w:eastAsia="MS Mincho" w:cs="Arial"/>
          <w:szCs w:val="16"/>
        </w:rPr>
        <w:t>ROCE</w:t>
      </w:r>
      <w:r>
        <w:rPr>
          <w:rFonts w:eastAsia="MS Mincho" w:cs="Arial"/>
          <w:szCs w:val="16"/>
        </w:rPr>
        <w:t>)</w:t>
      </w:r>
      <w:r w:rsidR="00CA3C64" w:rsidRPr="00CA3C64">
        <w:rPr>
          <w:rFonts w:eastAsia="MS Mincho" w:cs="Arial"/>
          <w:szCs w:val="16"/>
        </w:rPr>
        <w:t xml:space="preserve"> </w:t>
      </w:r>
      <w:r w:rsidR="00980ADE">
        <w:rPr>
          <w:rFonts w:eastAsia="MS Mincho" w:cs="Arial"/>
          <w:szCs w:val="16"/>
        </w:rPr>
        <w:t>for the year</w:t>
      </w:r>
      <w:r w:rsidR="00980ADE" w:rsidDel="00E355C9">
        <w:rPr>
          <w:rFonts w:eastAsia="MS Mincho" w:cs="Arial"/>
          <w:szCs w:val="16"/>
        </w:rPr>
        <w:t xml:space="preserve"> </w:t>
      </w:r>
      <w:r>
        <w:rPr>
          <w:rFonts w:eastAsia="MS Mincho" w:cs="Arial"/>
          <w:szCs w:val="16"/>
        </w:rPr>
        <w:t>was</w:t>
      </w:r>
      <w:r w:rsidR="00980ADE">
        <w:rPr>
          <w:rFonts w:eastAsia="MS Mincho" w:cs="Arial"/>
          <w:szCs w:val="16"/>
        </w:rPr>
        <w:t xml:space="preserve"> </w:t>
      </w:r>
      <w:r w:rsidR="00CA3C64" w:rsidRPr="00CA3C64">
        <w:rPr>
          <w:rFonts w:eastAsia="MS Mincho" w:cs="Arial"/>
          <w:szCs w:val="16"/>
        </w:rPr>
        <w:t>13.</w:t>
      </w:r>
      <w:r w:rsidR="00F567E5">
        <w:rPr>
          <w:rFonts w:eastAsia="MS Mincho" w:cs="Arial"/>
          <w:szCs w:val="16"/>
        </w:rPr>
        <w:t>1</w:t>
      </w:r>
      <w:r w:rsidR="00CA3C64" w:rsidRPr="00CA3C64">
        <w:rPr>
          <w:rFonts w:eastAsia="MS Mincho" w:cs="Arial"/>
          <w:szCs w:val="16"/>
        </w:rPr>
        <w:t>%</w:t>
      </w:r>
      <w:r w:rsidR="00186208">
        <w:rPr>
          <w:rFonts w:eastAsia="MS Mincho" w:cs="Arial"/>
          <w:szCs w:val="16"/>
        </w:rPr>
        <w:t xml:space="preserve"> </w:t>
      </w:r>
      <w:r w:rsidR="00186208" w:rsidRPr="00CA3C64">
        <w:rPr>
          <w:rFonts w:eastAsia="MS Mincho" w:cs="Arial"/>
          <w:szCs w:val="16"/>
        </w:rPr>
        <w:t>(FY</w:t>
      </w:r>
      <w:r w:rsidR="00186208">
        <w:rPr>
          <w:rFonts w:eastAsia="MS Mincho" w:cs="Arial"/>
          <w:szCs w:val="16"/>
        </w:rPr>
        <w:t>20</w:t>
      </w:r>
      <w:r w:rsidR="00186208" w:rsidRPr="00CA3C64">
        <w:rPr>
          <w:rFonts w:eastAsia="MS Mincho" w:cs="Arial"/>
          <w:szCs w:val="16"/>
        </w:rPr>
        <w:t>25: 22.</w:t>
      </w:r>
      <w:r w:rsidR="00186208">
        <w:rPr>
          <w:rFonts w:eastAsia="MS Mincho" w:cs="Arial"/>
          <w:szCs w:val="16"/>
        </w:rPr>
        <w:t>3</w:t>
      </w:r>
      <w:r w:rsidR="00186208" w:rsidRPr="00CA3C64">
        <w:rPr>
          <w:rFonts w:eastAsia="MS Mincho" w:cs="Arial"/>
          <w:szCs w:val="16"/>
        </w:rPr>
        <w:t>%)</w:t>
      </w:r>
      <w:r w:rsidR="00186208">
        <w:rPr>
          <w:rFonts w:eastAsia="MS Mincho" w:cs="Arial"/>
          <w:szCs w:val="16"/>
        </w:rPr>
        <w:t xml:space="preserve">, which </w:t>
      </w:r>
      <w:r w:rsidR="00E64951">
        <w:rPr>
          <w:rFonts w:eastAsia="MS Mincho" w:cs="Arial"/>
          <w:szCs w:val="16"/>
        </w:rPr>
        <w:t>declined on a like-for-like basis</w:t>
      </w:r>
      <w:r w:rsidR="00186208">
        <w:rPr>
          <w:rFonts w:eastAsia="MS Mincho" w:cs="Arial"/>
          <w:szCs w:val="16"/>
        </w:rPr>
        <w:t xml:space="preserve"> </w:t>
      </w:r>
      <w:r w:rsidR="00E64951" w:rsidRPr="00CA3C64">
        <w:rPr>
          <w:rFonts w:eastAsia="MS Mincho" w:cs="Arial"/>
          <w:szCs w:val="16"/>
        </w:rPr>
        <w:t>driven primarily by lower profitability</w:t>
      </w:r>
      <w:r w:rsidR="00E64951">
        <w:rPr>
          <w:rFonts w:eastAsia="MS Mincho" w:cs="Arial"/>
          <w:szCs w:val="16"/>
        </w:rPr>
        <w:t>,</w:t>
      </w:r>
      <w:r w:rsidR="00E64951" w:rsidRPr="00E64951">
        <w:rPr>
          <w:rFonts w:eastAsia="MS Mincho" w:cs="Arial"/>
          <w:szCs w:val="16"/>
        </w:rPr>
        <w:t xml:space="preserve"> </w:t>
      </w:r>
      <w:r w:rsidR="00E64951" w:rsidRPr="00CA3C64">
        <w:rPr>
          <w:rFonts w:eastAsia="MS Mincho" w:cs="Arial"/>
          <w:szCs w:val="16"/>
        </w:rPr>
        <w:t xml:space="preserve">partially mitigated by an improvement in average net </w:t>
      </w:r>
      <w:r w:rsidR="00E64951" w:rsidRPr="00921B97">
        <w:rPr>
          <w:rFonts w:eastAsia="MS Mincho" w:cs="Arial"/>
          <w:szCs w:val="16"/>
        </w:rPr>
        <w:t>capital employed, reflecting a significant working capital release during the year</w:t>
      </w:r>
      <w:r w:rsidR="003D1F66">
        <w:rPr>
          <w:rFonts w:eastAsia="MS Mincho" w:cs="Arial"/>
          <w:szCs w:val="16"/>
        </w:rPr>
        <w:t xml:space="preserve">. However, ROCE </w:t>
      </w:r>
      <w:r w:rsidR="00980ADE">
        <w:rPr>
          <w:rFonts w:eastAsia="MS Mincho" w:cs="Arial"/>
          <w:szCs w:val="16"/>
        </w:rPr>
        <w:t xml:space="preserve">significantly improved </w:t>
      </w:r>
      <w:r w:rsidR="003D1F66">
        <w:rPr>
          <w:rFonts w:eastAsia="MS Mincho" w:cs="Arial"/>
          <w:szCs w:val="16"/>
        </w:rPr>
        <w:t xml:space="preserve">on a total Group basis </w:t>
      </w:r>
      <w:r w:rsidR="00980ADE">
        <w:rPr>
          <w:rFonts w:eastAsia="MS Mincho" w:cs="Arial"/>
          <w:szCs w:val="16"/>
        </w:rPr>
        <w:t xml:space="preserve">following the </w:t>
      </w:r>
      <w:r w:rsidR="00CA3C64" w:rsidRPr="00CA3C64">
        <w:rPr>
          <w:rFonts w:eastAsia="MS Mincho" w:cs="Arial"/>
          <w:szCs w:val="16"/>
        </w:rPr>
        <w:t>disposal of DG Americas</w:t>
      </w:r>
      <w:r w:rsidR="008E645F">
        <w:rPr>
          <w:rFonts w:eastAsia="MS Mincho" w:cs="Arial"/>
          <w:szCs w:val="16"/>
        </w:rPr>
        <w:t xml:space="preserve">, </w:t>
      </w:r>
      <w:r w:rsidR="00CA3C64" w:rsidRPr="00CA3C64">
        <w:rPr>
          <w:rFonts w:eastAsia="MS Mincho" w:cs="Arial"/>
          <w:szCs w:val="16"/>
        </w:rPr>
        <w:t xml:space="preserve">demonstrating that the decision to exit the business has materially improved returns. </w:t>
      </w:r>
      <w:r w:rsidR="008858D5" w:rsidRPr="00921B97">
        <w:rPr>
          <w:rFonts w:eastAsia="MS Mincho" w:cs="Arial"/>
          <w:szCs w:val="16"/>
        </w:rPr>
        <w:t>We remain committed to enhancing capital returns through operational efficiency</w:t>
      </w:r>
      <w:r w:rsidR="00DE163E">
        <w:rPr>
          <w:rFonts w:eastAsia="MS Mincho" w:cs="Arial"/>
          <w:szCs w:val="16"/>
        </w:rPr>
        <w:t xml:space="preserve"> and sustainable growth</w:t>
      </w:r>
      <w:r w:rsidR="008858D5" w:rsidRPr="00921B97">
        <w:rPr>
          <w:rFonts w:eastAsia="MS Mincho" w:cs="Arial"/>
          <w:szCs w:val="16"/>
        </w:rPr>
        <w:t>.</w:t>
      </w:r>
    </w:p>
    <w:p w14:paraId="62DDA797" w14:textId="77777777" w:rsidR="008858D5" w:rsidRPr="00B8452B" w:rsidRDefault="008858D5" w:rsidP="008858D5">
      <w:pPr>
        <w:spacing w:line="276" w:lineRule="auto"/>
        <w:rPr>
          <w:rFonts w:eastAsia="MS Mincho" w:cs="Arial"/>
          <w:szCs w:val="16"/>
        </w:rPr>
      </w:pPr>
    </w:p>
    <w:p w14:paraId="6C732C49" w14:textId="77777777" w:rsidR="008858D5" w:rsidRPr="001E5C8E" w:rsidRDefault="008858D5" w:rsidP="00A36EA9">
      <w:pPr>
        <w:pStyle w:val="Heading2"/>
        <w:rPr>
          <w:rFonts w:eastAsia="MS Mincho" w:cs="Arial"/>
          <w:szCs w:val="16"/>
        </w:rPr>
      </w:pPr>
      <w:r w:rsidRPr="00A36EA9">
        <w:rPr>
          <w:sz w:val="16"/>
          <w:szCs w:val="16"/>
        </w:rPr>
        <w:t>Cash flow and net cash</w:t>
      </w:r>
    </w:p>
    <w:p w14:paraId="6D875E40" w14:textId="69612BF9" w:rsidR="00C62D59" w:rsidRDefault="00A1230F" w:rsidP="008858D5">
      <w:pPr>
        <w:spacing w:line="276" w:lineRule="auto"/>
        <w:rPr>
          <w:rFonts w:eastAsia="MS Mincho" w:cs="Arial"/>
          <w:szCs w:val="16"/>
        </w:rPr>
      </w:pPr>
      <w:r w:rsidRPr="00A1230F">
        <w:rPr>
          <w:rFonts w:eastAsia="MS Mincho" w:cs="Arial"/>
          <w:szCs w:val="16"/>
        </w:rPr>
        <w:t>The Group delivered a strong improvement in underlying cash generation during the year, supported by a significant working capital inflow and continued discipline across operations.</w:t>
      </w:r>
      <w:r w:rsidR="00C62D59">
        <w:rPr>
          <w:rFonts w:eastAsia="MS Mincho" w:cs="Arial"/>
          <w:szCs w:val="16"/>
        </w:rPr>
        <w:t xml:space="preserve"> </w:t>
      </w:r>
    </w:p>
    <w:p w14:paraId="6411F1DB" w14:textId="77777777" w:rsidR="00A5379F" w:rsidRPr="00B8452B" w:rsidRDefault="00A5379F" w:rsidP="008858D5">
      <w:pPr>
        <w:spacing w:line="276" w:lineRule="auto"/>
        <w:rPr>
          <w:rFonts w:eastAsia="MS Mincho" w:cs="Arial"/>
          <w:szCs w:val="16"/>
        </w:rPr>
      </w:pPr>
    </w:p>
    <w:tbl>
      <w:tblPr>
        <w:tblStyle w:val="tableDUL"/>
        <w:tblW w:w="8647" w:type="dxa"/>
        <w:tblLook w:val="04A0" w:firstRow="1" w:lastRow="0" w:firstColumn="1" w:lastColumn="0" w:noHBand="0" w:noVBand="1"/>
      </w:tblPr>
      <w:tblGrid>
        <w:gridCol w:w="5670"/>
        <w:gridCol w:w="1843"/>
        <w:gridCol w:w="1134"/>
      </w:tblGrid>
      <w:tr w:rsidR="00C853FC" w:rsidRPr="001125DC" w14:paraId="248E123C" w14:textId="77777777" w:rsidTr="00C853FC">
        <w:trPr>
          <w:trHeight w:hRule="exact" w:val="20"/>
        </w:trPr>
        <w:tc>
          <w:tcPr>
            <w:tcW w:w="5670" w:type="dxa"/>
            <w:tcBorders>
              <w:top w:val="nil"/>
              <w:left w:val="nil"/>
              <w:bottom w:val="nil"/>
              <w:right w:val="nil"/>
            </w:tcBorders>
          </w:tcPr>
          <w:p w14:paraId="6DC3DD14" w14:textId="77777777" w:rsidR="00C853FC" w:rsidRPr="001125DC" w:rsidRDefault="00C853FC" w:rsidP="00004D70">
            <w:pPr>
              <w:jc w:val="left"/>
              <w:rPr>
                <w:rFonts w:eastAsia="MS Mincho" w:cs="Arial"/>
                <w:b/>
                <w:bCs/>
                <w:szCs w:val="16"/>
              </w:rPr>
            </w:pPr>
            <w:bookmarkStart w:id="20" w:name="_5adc4be4_5eaf_443e_bff3_3ebacf690177"/>
            <w:bookmarkStart w:id="21" w:name="_893996ae_24dd_4afa_835b_975dc86761c4"/>
            <w:bookmarkEnd w:id="20"/>
          </w:p>
          <w:p w14:paraId="0E053D88" w14:textId="77777777" w:rsidR="00C853FC" w:rsidRDefault="00C853FC">
            <w:pPr>
              <w:rPr>
                <w:sz w:val="2"/>
              </w:rPr>
            </w:pPr>
          </w:p>
        </w:tc>
        <w:tc>
          <w:tcPr>
            <w:tcW w:w="1843" w:type="dxa"/>
            <w:tcBorders>
              <w:top w:val="nil"/>
              <w:left w:val="nil"/>
              <w:bottom w:val="nil"/>
              <w:right w:val="nil"/>
            </w:tcBorders>
          </w:tcPr>
          <w:p w14:paraId="7A164838" w14:textId="77777777" w:rsidR="00C853FC" w:rsidRDefault="00C853FC">
            <w:pPr>
              <w:rPr>
                <w:sz w:val="2"/>
              </w:rPr>
            </w:pPr>
          </w:p>
        </w:tc>
        <w:tc>
          <w:tcPr>
            <w:tcW w:w="1134" w:type="dxa"/>
            <w:tcBorders>
              <w:top w:val="nil"/>
              <w:left w:val="nil"/>
              <w:bottom w:val="nil"/>
              <w:right w:val="nil"/>
            </w:tcBorders>
          </w:tcPr>
          <w:p w14:paraId="43DD86ED" w14:textId="77777777" w:rsidR="00C853FC" w:rsidRDefault="00C853FC">
            <w:pPr>
              <w:rPr>
                <w:sz w:val="2"/>
              </w:rPr>
            </w:pPr>
          </w:p>
        </w:tc>
      </w:tr>
      <w:tr w:rsidR="00C853FC" w:rsidRPr="001125DC" w14:paraId="4295A039" w14:textId="77777777" w:rsidTr="00A36EA9">
        <w:trPr>
          <w:trHeight w:val="329"/>
        </w:trPr>
        <w:tc>
          <w:tcPr>
            <w:tcW w:w="5670" w:type="dxa"/>
            <w:tcBorders>
              <w:bottom w:val="nil"/>
            </w:tcBorders>
          </w:tcPr>
          <w:p w14:paraId="2F56DB21" w14:textId="1A68EA55" w:rsidR="00C853FC" w:rsidRPr="001125DC" w:rsidRDefault="00C853FC" w:rsidP="00004D70">
            <w:pPr>
              <w:jc w:val="left"/>
              <w:rPr>
                <w:rFonts w:eastAsia="MS Mincho" w:cs="Arial"/>
                <w:b/>
                <w:bCs/>
                <w:szCs w:val="16"/>
              </w:rPr>
            </w:pPr>
          </w:p>
        </w:tc>
        <w:tc>
          <w:tcPr>
            <w:tcW w:w="1843" w:type="dxa"/>
            <w:tcBorders>
              <w:bottom w:val="nil"/>
            </w:tcBorders>
            <w:vAlign w:val="bottom"/>
          </w:tcPr>
          <w:p w14:paraId="32214865" w14:textId="77777777" w:rsidR="00C853FC" w:rsidRPr="001125DC" w:rsidRDefault="00C853FC" w:rsidP="00004D70">
            <w:pPr>
              <w:rPr>
                <w:rFonts w:eastAsia="MS Mincho" w:cs="Arial"/>
                <w:b/>
                <w:szCs w:val="16"/>
              </w:rPr>
            </w:pPr>
            <w:r w:rsidRPr="001125DC">
              <w:rPr>
                <w:rFonts w:eastAsia="MS Mincho" w:cs="Arial"/>
                <w:b/>
                <w:szCs w:val="16"/>
              </w:rPr>
              <w:t xml:space="preserve"> FY2026</w:t>
            </w:r>
          </w:p>
        </w:tc>
        <w:tc>
          <w:tcPr>
            <w:tcW w:w="1134" w:type="dxa"/>
            <w:tcBorders>
              <w:bottom w:val="nil"/>
            </w:tcBorders>
            <w:vAlign w:val="bottom"/>
          </w:tcPr>
          <w:p w14:paraId="41E32880" w14:textId="18FA1DCE" w:rsidR="00C853FC" w:rsidRPr="0049759F" w:rsidRDefault="00C853FC" w:rsidP="00004D70">
            <w:pPr>
              <w:rPr>
                <w:rFonts w:eastAsia="MS Mincho" w:cs="Arial"/>
                <w:szCs w:val="16"/>
              </w:rPr>
            </w:pPr>
            <w:r w:rsidRPr="0049759F">
              <w:rPr>
                <w:rFonts w:eastAsia="MS Mincho" w:cs="Arial"/>
                <w:szCs w:val="16"/>
              </w:rPr>
              <w:t>FY2025</w:t>
            </w:r>
          </w:p>
        </w:tc>
      </w:tr>
      <w:tr w:rsidR="00C853FC" w:rsidRPr="001125DC" w14:paraId="05148C6C" w14:textId="77777777" w:rsidTr="00C853FC">
        <w:tc>
          <w:tcPr>
            <w:tcW w:w="5670" w:type="dxa"/>
            <w:tcBorders>
              <w:top w:val="nil"/>
              <w:bottom w:val="single" w:sz="4" w:space="0" w:color="auto"/>
            </w:tcBorders>
          </w:tcPr>
          <w:p w14:paraId="01308FDD" w14:textId="77777777" w:rsidR="00C853FC" w:rsidRPr="001125DC" w:rsidRDefault="00C853FC" w:rsidP="00004D70">
            <w:pPr>
              <w:jc w:val="left"/>
              <w:rPr>
                <w:rFonts w:eastAsia="MS Mincho" w:cs="Arial"/>
                <w:szCs w:val="16"/>
              </w:rPr>
            </w:pPr>
          </w:p>
        </w:tc>
        <w:tc>
          <w:tcPr>
            <w:tcW w:w="1843" w:type="dxa"/>
            <w:tcBorders>
              <w:top w:val="nil"/>
              <w:bottom w:val="single" w:sz="4" w:space="0" w:color="auto"/>
            </w:tcBorders>
          </w:tcPr>
          <w:p w14:paraId="3F0BCD01" w14:textId="77777777" w:rsidR="00C853FC" w:rsidRPr="001125DC" w:rsidRDefault="00C853FC" w:rsidP="00004D70">
            <w:pPr>
              <w:rPr>
                <w:rFonts w:eastAsia="MS Mincho" w:cs="Arial"/>
                <w:b/>
                <w:szCs w:val="16"/>
              </w:rPr>
            </w:pPr>
            <w:r>
              <w:rPr>
                <w:rFonts w:eastAsia="MS Mincho" w:cs="Arial"/>
                <w:b/>
                <w:szCs w:val="16"/>
              </w:rPr>
              <w:t>£</w:t>
            </w:r>
            <w:r w:rsidRPr="001125DC">
              <w:rPr>
                <w:rFonts w:eastAsia="MS Mincho" w:cs="Arial"/>
                <w:b/>
                <w:szCs w:val="16"/>
              </w:rPr>
              <w:t>m</w:t>
            </w:r>
          </w:p>
        </w:tc>
        <w:tc>
          <w:tcPr>
            <w:tcW w:w="1134" w:type="dxa"/>
            <w:tcBorders>
              <w:top w:val="nil"/>
              <w:bottom w:val="single" w:sz="4" w:space="0" w:color="auto"/>
            </w:tcBorders>
          </w:tcPr>
          <w:p w14:paraId="42C4704A" w14:textId="77777777" w:rsidR="00C853FC" w:rsidRPr="0049759F" w:rsidRDefault="00C853FC" w:rsidP="00004D70">
            <w:pPr>
              <w:rPr>
                <w:rFonts w:eastAsia="MS Mincho" w:cs="Arial"/>
                <w:szCs w:val="16"/>
              </w:rPr>
            </w:pPr>
            <w:r w:rsidRPr="0049759F">
              <w:rPr>
                <w:rFonts w:eastAsia="MS Mincho" w:cs="Arial"/>
                <w:szCs w:val="16"/>
              </w:rPr>
              <w:t>£m</w:t>
            </w:r>
          </w:p>
        </w:tc>
      </w:tr>
      <w:tr w:rsidR="00C853FC" w:rsidRPr="001A0FEC" w14:paraId="5A32061F" w14:textId="77777777" w:rsidTr="00C853FC">
        <w:tc>
          <w:tcPr>
            <w:tcW w:w="5670" w:type="dxa"/>
            <w:tcBorders>
              <w:top w:val="single" w:sz="4" w:space="0" w:color="auto"/>
              <w:bottom w:val="nil"/>
            </w:tcBorders>
          </w:tcPr>
          <w:p w14:paraId="005BADEE" w14:textId="77777777" w:rsidR="00C853FC" w:rsidRPr="001125DC" w:rsidRDefault="00C853FC" w:rsidP="00004D70">
            <w:pPr>
              <w:spacing w:line="276" w:lineRule="auto"/>
              <w:jc w:val="left"/>
              <w:rPr>
                <w:rFonts w:eastAsia="MS Mincho" w:cs="Arial"/>
                <w:szCs w:val="16"/>
              </w:rPr>
            </w:pPr>
            <w:r w:rsidRPr="001125DC">
              <w:rPr>
                <w:rFonts w:eastAsia="MS Mincho" w:cs="Arial"/>
                <w:szCs w:val="16"/>
              </w:rPr>
              <w:t>Adjusted EBITDA</w:t>
            </w:r>
          </w:p>
        </w:tc>
        <w:tc>
          <w:tcPr>
            <w:tcW w:w="1843" w:type="dxa"/>
            <w:tcBorders>
              <w:top w:val="single" w:sz="4" w:space="0" w:color="auto"/>
              <w:bottom w:val="nil"/>
            </w:tcBorders>
          </w:tcPr>
          <w:p w14:paraId="582C3AC2" w14:textId="77777777" w:rsidR="00C853FC" w:rsidRPr="001125DC" w:rsidRDefault="00C853FC" w:rsidP="00004D70">
            <w:pPr>
              <w:rPr>
                <w:rFonts w:eastAsia="MS Mincho" w:cs="Arial"/>
                <w:b/>
                <w:szCs w:val="16"/>
              </w:rPr>
            </w:pPr>
            <w:r w:rsidRPr="001125DC">
              <w:rPr>
                <w:rFonts w:eastAsia="MS Mincho" w:cs="Arial"/>
                <w:b/>
                <w:szCs w:val="16"/>
              </w:rPr>
              <w:t>18.4</w:t>
            </w:r>
          </w:p>
        </w:tc>
        <w:tc>
          <w:tcPr>
            <w:tcW w:w="1134" w:type="dxa"/>
            <w:tcBorders>
              <w:top w:val="single" w:sz="4" w:space="0" w:color="auto"/>
              <w:bottom w:val="nil"/>
            </w:tcBorders>
          </w:tcPr>
          <w:p w14:paraId="33D70044" w14:textId="202A91AA" w:rsidR="00C853FC" w:rsidRPr="00291672" w:rsidRDefault="0049759F" w:rsidP="00291672">
            <w:pPr>
              <w:rPr>
                <w:rFonts w:eastAsia="MS Mincho" w:cs="Arial"/>
                <w:szCs w:val="16"/>
              </w:rPr>
            </w:pPr>
            <w:r w:rsidRPr="00291672">
              <w:rPr>
                <w:rFonts w:eastAsia="MS Mincho" w:cs="Arial"/>
                <w:szCs w:val="16"/>
              </w:rPr>
              <w:t>23.4</w:t>
            </w:r>
          </w:p>
        </w:tc>
      </w:tr>
      <w:tr w:rsidR="00C853FC" w:rsidRPr="001A0FEC" w14:paraId="7D3B3467" w14:textId="77777777" w:rsidTr="00C853FC">
        <w:tc>
          <w:tcPr>
            <w:tcW w:w="5670" w:type="dxa"/>
            <w:tcBorders>
              <w:top w:val="nil"/>
            </w:tcBorders>
          </w:tcPr>
          <w:p w14:paraId="4C21AFCC" w14:textId="77777777" w:rsidR="00C853FC" w:rsidRPr="001125DC" w:rsidRDefault="00C853FC" w:rsidP="00004D70">
            <w:pPr>
              <w:spacing w:line="276" w:lineRule="auto"/>
              <w:jc w:val="left"/>
              <w:rPr>
                <w:rFonts w:eastAsia="MS Mincho" w:cs="Arial"/>
                <w:szCs w:val="16"/>
              </w:rPr>
            </w:pPr>
            <w:r w:rsidRPr="001125DC">
              <w:rPr>
                <w:rFonts w:eastAsia="MS Mincho" w:cs="Arial"/>
                <w:szCs w:val="16"/>
              </w:rPr>
              <w:t>Add back for share-based payment charge</w:t>
            </w:r>
          </w:p>
        </w:tc>
        <w:tc>
          <w:tcPr>
            <w:tcW w:w="1843" w:type="dxa"/>
            <w:tcBorders>
              <w:top w:val="nil"/>
            </w:tcBorders>
          </w:tcPr>
          <w:p w14:paraId="43620B76" w14:textId="77777777" w:rsidR="00C853FC" w:rsidRPr="001125DC" w:rsidRDefault="00C853FC" w:rsidP="00004D70">
            <w:pPr>
              <w:rPr>
                <w:rFonts w:eastAsia="MS Mincho" w:cs="Arial"/>
                <w:b/>
                <w:szCs w:val="16"/>
              </w:rPr>
            </w:pPr>
            <w:r w:rsidRPr="001125DC">
              <w:rPr>
                <w:rFonts w:eastAsia="MS Mincho" w:cs="Arial"/>
                <w:b/>
                <w:szCs w:val="16"/>
              </w:rPr>
              <w:t>0.8</w:t>
            </w:r>
          </w:p>
        </w:tc>
        <w:tc>
          <w:tcPr>
            <w:tcW w:w="1134" w:type="dxa"/>
            <w:tcBorders>
              <w:top w:val="nil"/>
            </w:tcBorders>
          </w:tcPr>
          <w:p w14:paraId="235E8C5B" w14:textId="301A31E0" w:rsidR="00C853FC" w:rsidRPr="00291672" w:rsidRDefault="0049759F" w:rsidP="00291672">
            <w:pPr>
              <w:rPr>
                <w:rFonts w:eastAsia="MS Mincho" w:cs="Arial"/>
                <w:szCs w:val="16"/>
              </w:rPr>
            </w:pPr>
            <w:r w:rsidRPr="00291672">
              <w:rPr>
                <w:rFonts w:eastAsia="MS Mincho" w:cs="Arial"/>
                <w:szCs w:val="16"/>
              </w:rPr>
              <w:t>0.6</w:t>
            </w:r>
          </w:p>
        </w:tc>
      </w:tr>
      <w:tr w:rsidR="00C853FC" w:rsidRPr="001A0FEC" w14:paraId="309921AA" w14:textId="77777777" w:rsidTr="00C853FC">
        <w:tc>
          <w:tcPr>
            <w:tcW w:w="5670" w:type="dxa"/>
            <w:tcBorders>
              <w:bottom w:val="single" w:sz="4" w:space="0" w:color="auto"/>
            </w:tcBorders>
          </w:tcPr>
          <w:p w14:paraId="63566035" w14:textId="77777777" w:rsidR="00C853FC" w:rsidRPr="00706FF0" w:rsidRDefault="00C853FC" w:rsidP="00004D70">
            <w:pPr>
              <w:spacing w:line="276" w:lineRule="auto"/>
              <w:jc w:val="left"/>
              <w:rPr>
                <w:rFonts w:eastAsia="MS Mincho" w:cs="Arial"/>
                <w:szCs w:val="16"/>
              </w:rPr>
            </w:pPr>
            <w:r w:rsidRPr="00706FF0">
              <w:rPr>
                <w:rFonts w:eastAsia="MS Mincho" w:cs="Arial"/>
                <w:szCs w:val="16"/>
              </w:rPr>
              <w:t>Movements in working capital</w:t>
            </w:r>
          </w:p>
        </w:tc>
        <w:tc>
          <w:tcPr>
            <w:tcW w:w="1843" w:type="dxa"/>
            <w:tcBorders>
              <w:bottom w:val="single" w:sz="4" w:space="0" w:color="auto"/>
            </w:tcBorders>
          </w:tcPr>
          <w:p w14:paraId="03B5B6C9" w14:textId="505FE887" w:rsidR="00C853FC" w:rsidRPr="00706FF0" w:rsidRDefault="00C853FC" w:rsidP="00004D70">
            <w:pPr>
              <w:rPr>
                <w:rFonts w:eastAsia="MS Mincho" w:cs="Arial"/>
                <w:b/>
                <w:szCs w:val="16"/>
              </w:rPr>
            </w:pPr>
            <w:r w:rsidRPr="00706FF0">
              <w:rPr>
                <w:rFonts w:eastAsia="MS Mincho" w:cs="Arial"/>
                <w:b/>
                <w:szCs w:val="16"/>
              </w:rPr>
              <w:t>7.</w:t>
            </w:r>
            <w:r w:rsidR="00EB6BF7">
              <w:rPr>
                <w:rFonts w:eastAsia="MS Mincho" w:cs="Arial"/>
                <w:b/>
                <w:szCs w:val="16"/>
              </w:rPr>
              <w:t>2</w:t>
            </w:r>
          </w:p>
        </w:tc>
        <w:tc>
          <w:tcPr>
            <w:tcW w:w="1134" w:type="dxa"/>
            <w:tcBorders>
              <w:bottom w:val="single" w:sz="4" w:space="0" w:color="auto"/>
            </w:tcBorders>
          </w:tcPr>
          <w:p w14:paraId="6D31F537" w14:textId="0A686A39" w:rsidR="00C853FC" w:rsidRPr="00291672" w:rsidRDefault="0049759F" w:rsidP="00291672">
            <w:pPr>
              <w:rPr>
                <w:rFonts w:eastAsia="MS Mincho" w:cs="Arial"/>
                <w:szCs w:val="16"/>
              </w:rPr>
            </w:pPr>
            <w:r w:rsidRPr="00291672">
              <w:rPr>
                <w:rFonts w:eastAsia="MS Mincho" w:cs="Arial"/>
                <w:szCs w:val="16"/>
              </w:rPr>
              <w:t>(</w:t>
            </w:r>
            <w:r w:rsidR="00016244">
              <w:rPr>
                <w:rFonts w:eastAsia="MS Mincho" w:cs="Arial"/>
                <w:szCs w:val="16"/>
              </w:rPr>
              <w:t>8.3</w:t>
            </w:r>
            <w:r w:rsidRPr="00291672">
              <w:rPr>
                <w:rFonts w:eastAsia="MS Mincho" w:cs="Arial"/>
                <w:szCs w:val="16"/>
              </w:rPr>
              <w:t>)</w:t>
            </w:r>
          </w:p>
        </w:tc>
      </w:tr>
      <w:tr w:rsidR="00C853FC" w:rsidRPr="00FC3E6F" w14:paraId="2AFDA5F7" w14:textId="77777777" w:rsidTr="00C853FC">
        <w:tc>
          <w:tcPr>
            <w:tcW w:w="5670" w:type="dxa"/>
            <w:tcBorders>
              <w:top w:val="single" w:sz="4" w:space="0" w:color="auto"/>
              <w:bottom w:val="nil"/>
            </w:tcBorders>
          </w:tcPr>
          <w:p w14:paraId="7DAD32C6" w14:textId="77777777" w:rsidR="00C853FC" w:rsidRPr="00FC3E6F" w:rsidRDefault="00C853FC" w:rsidP="00004D70">
            <w:pPr>
              <w:spacing w:line="276" w:lineRule="auto"/>
              <w:jc w:val="left"/>
              <w:rPr>
                <w:rFonts w:eastAsia="MS Mincho" w:cs="Arial"/>
                <w:b/>
                <w:bCs/>
                <w:szCs w:val="16"/>
              </w:rPr>
            </w:pPr>
            <w:r w:rsidRPr="00FC3E6F">
              <w:rPr>
                <w:rFonts w:eastAsia="MS Mincho" w:cs="Arial"/>
                <w:b/>
                <w:bCs/>
                <w:szCs w:val="16"/>
              </w:rPr>
              <w:t>Adjusted cash generated from operations</w:t>
            </w:r>
          </w:p>
        </w:tc>
        <w:tc>
          <w:tcPr>
            <w:tcW w:w="1843" w:type="dxa"/>
            <w:tcBorders>
              <w:top w:val="single" w:sz="4" w:space="0" w:color="auto"/>
              <w:bottom w:val="nil"/>
            </w:tcBorders>
          </w:tcPr>
          <w:p w14:paraId="7881C2B9" w14:textId="62BFC4C0" w:rsidR="00C853FC" w:rsidRPr="00FC3E6F" w:rsidRDefault="00C853FC" w:rsidP="00004D70">
            <w:pPr>
              <w:rPr>
                <w:rFonts w:eastAsia="MS Mincho" w:cs="Arial"/>
                <w:b/>
                <w:szCs w:val="16"/>
              </w:rPr>
            </w:pPr>
            <w:r w:rsidRPr="00FC3E6F">
              <w:rPr>
                <w:rFonts w:eastAsia="MS Mincho" w:cs="Arial"/>
                <w:b/>
                <w:szCs w:val="16"/>
              </w:rPr>
              <w:t>26.</w:t>
            </w:r>
            <w:r w:rsidR="00EB6BF7">
              <w:rPr>
                <w:rFonts w:eastAsia="MS Mincho" w:cs="Arial"/>
                <w:b/>
                <w:szCs w:val="16"/>
              </w:rPr>
              <w:t>4</w:t>
            </w:r>
          </w:p>
        </w:tc>
        <w:tc>
          <w:tcPr>
            <w:tcW w:w="1134" w:type="dxa"/>
            <w:tcBorders>
              <w:top w:val="single" w:sz="4" w:space="0" w:color="auto"/>
              <w:bottom w:val="nil"/>
            </w:tcBorders>
          </w:tcPr>
          <w:p w14:paraId="25182985" w14:textId="71EBF4DB" w:rsidR="00C853FC" w:rsidRPr="00291672" w:rsidRDefault="0049759F" w:rsidP="00291672">
            <w:pPr>
              <w:rPr>
                <w:rFonts w:eastAsia="MS Mincho" w:cs="Arial"/>
                <w:szCs w:val="16"/>
              </w:rPr>
            </w:pPr>
            <w:r w:rsidRPr="00291672">
              <w:rPr>
                <w:rFonts w:eastAsia="MS Mincho" w:cs="Arial"/>
                <w:szCs w:val="16"/>
              </w:rPr>
              <w:t>1</w:t>
            </w:r>
            <w:r w:rsidR="00016244">
              <w:rPr>
                <w:rFonts w:eastAsia="MS Mincho" w:cs="Arial"/>
                <w:szCs w:val="16"/>
              </w:rPr>
              <w:t>5.7</w:t>
            </w:r>
          </w:p>
        </w:tc>
      </w:tr>
      <w:tr w:rsidR="00C853FC" w:rsidRPr="00FC3E6F" w14:paraId="46C900EE" w14:textId="77777777" w:rsidTr="00C853FC">
        <w:tc>
          <w:tcPr>
            <w:tcW w:w="5670" w:type="dxa"/>
            <w:tcBorders>
              <w:bottom w:val="single" w:sz="4" w:space="0" w:color="auto"/>
            </w:tcBorders>
          </w:tcPr>
          <w:p w14:paraId="5FD4B59E" w14:textId="77777777" w:rsidR="00C853FC" w:rsidRPr="00FC3E6F" w:rsidRDefault="00C853FC" w:rsidP="00004D70">
            <w:pPr>
              <w:spacing w:line="276" w:lineRule="auto"/>
              <w:jc w:val="left"/>
              <w:rPr>
                <w:rFonts w:eastAsia="MS Mincho" w:cs="Arial"/>
                <w:szCs w:val="16"/>
              </w:rPr>
            </w:pPr>
            <w:r w:rsidRPr="00FC3E6F">
              <w:rPr>
                <w:rFonts w:eastAsia="MS Mincho" w:cs="Arial"/>
                <w:szCs w:val="16"/>
              </w:rPr>
              <w:t>Adjusting items within cash generated from operations</w:t>
            </w:r>
          </w:p>
        </w:tc>
        <w:tc>
          <w:tcPr>
            <w:tcW w:w="1843" w:type="dxa"/>
            <w:tcBorders>
              <w:bottom w:val="single" w:sz="4" w:space="0" w:color="auto"/>
            </w:tcBorders>
          </w:tcPr>
          <w:p w14:paraId="7E4853C6" w14:textId="041D601C" w:rsidR="00C853FC" w:rsidRPr="00FC3E6F" w:rsidRDefault="00C853FC" w:rsidP="00004D70">
            <w:pPr>
              <w:rPr>
                <w:rFonts w:eastAsia="MS Mincho" w:cs="Arial"/>
                <w:b/>
                <w:szCs w:val="16"/>
              </w:rPr>
            </w:pPr>
            <w:r w:rsidRPr="00FC3E6F">
              <w:rPr>
                <w:rFonts w:eastAsia="MS Mincho" w:cs="Arial"/>
                <w:b/>
                <w:szCs w:val="16"/>
              </w:rPr>
              <w:t>(1.</w:t>
            </w:r>
            <w:r w:rsidR="008859E8">
              <w:rPr>
                <w:rFonts w:eastAsia="MS Mincho" w:cs="Arial"/>
                <w:b/>
                <w:szCs w:val="16"/>
              </w:rPr>
              <w:t>1</w:t>
            </w:r>
            <w:r w:rsidRPr="00FC3E6F">
              <w:rPr>
                <w:rFonts w:eastAsia="MS Mincho" w:cs="Arial"/>
                <w:b/>
                <w:szCs w:val="16"/>
              </w:rPr>
              <w:t>)</w:t>
            </w:r>
          </w:p>
        </w:tc>
        <w:tc>
          <w:tcPr>
            <w:tcW w:w="1134" w:type="dxa"/>
            <w:tcBorders>
              <w:bottom w:val="single" w:sz="4" w:space="0" w:color="auto"/>
            </w:tcBorders>
          </w:tcPr>
          <w:p w14:paraId="37C2C9EB" w14:textId="248EDB8A" w:rsidR="00C853FC" w:rsidRPr="00291672" w:rsidRDefault="0049759F" w:rsidP="00291672">
            <w:pPr>
              <w:rPr>
                <w:rFonts w:eastAsia="MS Mincho" w:cs="Arial"/>
                <w:szCs w:val="16"/>
              </w:rPr>
            </w:pPr>
            <w:r w:rsidRPr="00291672">
              <w:rPr>
                <w:rFonts w:eastAsia="MS Mincho" w:cs="Arial"/>
                <w:szCs w:val="16"/>
              </w:rPr>
              <w:t>(4.4)</w:t>
            </w:r>
          </w:p>
        </w:tc>
      </w:tr>
      <w:tr w:rsidR="00C853FC" w:rsidRPr="00FC3E6F" w14:paraId="69C03DFD" w14:textId="77777777" w:rsidTr="00C853FC">
        <w:tc>
          <w:tcPr>
            <w:tcW w:w="5670" w:type="dxa"/>
            <w:tcBorders>
              <w:top w:val="single" w:sz="4" w:space="0" w:color="auto"/>
            </w:tcBorders>
          </w:tcPr>
          <w:p w14:paraId="28358C05" w14:textId="77777777" w:rsidR="00C853FC" w:rsidRPr="00FC3E6F" w:rsidRDefault="00C853FC" w:rsidP="00004D70">
            <w:pPr>
              <w:spacing w:line="276" w:lineRule="auto"/>
              <w:jc w:val="left"/>
              <w:rPr>
                <w:rFonts w:eastAsia="MS Mincho" w:cs="Arial"/>
                <w:b/>
                <w:bCs/>
                <w:szCs w:val="16"/>
              </w:rPr>
            </w:pPr>
            <w:r w:rsidRPr="00FC3E6F">
              <w:rPr>
                <w:rFonts w:eastAsia="MS Mincho" w:cs="Arial"/>
                <w:b/>
                <w:bCs/>
                <w:szCs w:val="16"/>
              </w:rPr>
              <w:t>Cash generated from operations</w:t>
            </w:r>
          </w:p>
        </w:tc>
        <w:tc>
          <w:tcPr>
            <w:tcW w:w="1843" w:type="dxa"/>
            <w:tcBorders>
              <w:top w:val="single" w:sz="4" w:space="0" w:color="auto"/>
            </w:tcBorders>
          </w:tcPr>
          <w:p w14:paraId="29496253" w14:textId="75FCD109" w:rsidR="00C853FC" w:rsidRPr="00FC3E6F" w:rsidRDefault="00C853FC" w:rsidP="00004D70">
            <w:pPr>
              <w:rPr>
                <w:rFonts w:eastAsia="MS Mincho" w:cs="Arial"/>
                <w:b/>
                <w:szCs w:val="16"/>
              </w:rPr>
            </w:pPr>
            <w:r w:rsidRPr="00FC3E6F">
              <w:rPr>
                <w:rFonts w:eastAsia="MS Mincho" w:cs="Arial"/>
                <w:b/>
                <w:szCs w:val="16"/>
              </w:rPr>
              <w:t>2</w:t>
            </w:r>
            <w:r w:rsidR="00222E33">
              <w:rPr>
                <w:rFonts w:eastAsia="MS Mincho" w:cs="Arial"/>
                <w:b/>
                <w:szCs w:val="16"/>
              </w:rPr>
              <w:t>5</w:t>
            </w:r>
            <w:r w:rsidRPr="00FC3E6F">
              <w:rPr>
                <w:rFonts w:eastAsia="MS Mincho" w:cs="Arial"/>
                <w:b/>
                <w:szCs w:val="16"/>
              </w:rPr>
              <w:t>.</w:t>
            </w:r>
            <w:r w:rsidR="00F8358D">
              <w:rPr>
                <w:rFonts w:eastAsia="MS Mincho" w:cs="Arial"/>
                <w:b/>
                <w:szCs w:val="16"/>
              </w:rPr>
              <w:t>3</w:t>
            </w:r>
          </w:p>
        </w:tc>
        <w:tc>
          <w:tcPr>
            <w:tcW w:w="1134" w:type="dxa"/>
            <w:tcBorders>
              <w:top w:val="single" w:sz="4" w:space="0" w:color="auto"/>
            </w:tcBorders>
          </w:tcPr>
          <w:p w14:paraId="7F4DE111" w14:textId="7EEC2F51" w:rsidR="00C853FC" w:rsidRPr="00291672" w:rsidRDefault="0049759F" w:rsidP="00291672">
            <w:pPr>
              <w:rPr>
                <w:rFonts w:eastAsia="MS Mincho" w:cs="Arial"/>
                <w:szCs w:val="16"/>
              </w:rPr>
            </w:pPr>
            <w:r w:rsidRPr="00291672">
              <w:rPr>
                <w:rFonts w:eastAsia="MS Mincho" w:cs="Arial"/>
                <w:szCs w:val="16"/>
              </w:rPr>
              <w:t>1</w:t>
            </w:r>
            <w:r w:rsidR="00016244">
              <w:rPr>
                <w:rFonts w:eastAsia="MS Mincho" w:cs="Arial"/>
                <w:szCs w:val="16"/>
              </w:rPr>
              <w:t>1.3</w:t>
            </w:r>
          </w:p>
        </w:tc>
      </w:tr>
      <w:tr w:rsidR="00C853FC" w:rsidRPr="00FC3E6F" w14:paraId="5C42AE14" w14:textId="77777777" w:rsidTr="00C853FC">
        <w:tc>
          <w:tcPr>
            <w:tcW w:w="5670" w:type="dxa"/>
          </w:tcPr>
          <w:p w14:paraId="0F16F3A5" w14:textId="77777777" w:rsidR="00C853FC" w:rsidRPr="00FC3E6F" w:rsidRDefault="00C853FC" w:rsidP="00004D70">
            <w:pPr>
              <w:spacing w:line="276" w:lineRule="auto"/>
              <w:jc w:val="left"/>
              <w:rPr>
                <w:rFonts w:eastAsia="MS Mincho" w:cs="Arial"/>
                <w:szCs w:val="16"/>
              </w:rPr>
            </w:pPr>
            <w:r w:rsidRPr="00FC3E6F">
              <w:rPr>
                <w:rFonts w:eastAsia="MS Mincho" w:cs="Arial"/>
                <w:szCs w:val="16"/>
              </w:rPr>
              <w:t>Adjusting items within investing and financing activities</w:t>
            </w:r>
          </w:p>
        </w:tc>
        <w:tc>
          <w:tcPr>
            <w:tcW w:w="1843" w:type="dxa"/>
          </w:tcPr>
          <w:p w14:paraId="7E8DC785" w14:textId="77777777" w:rsidR="00C853FC" w:rsidRPr="00FC3E6F" w:rsidRDefault="00C853FC" w:rsidP="00004D70">
            <w:pPr>
              <w:rPr>
                <w:rFonts w:eastAsia="MS Mincho" w:cs="Arial"/>
                <w:b/>
                <w:szCs w:val="16"/>
              </w:rPr>
            </w:pPr>
            <w:r w:rsidRPr="00FC3E6F">
              <w:rPr>
                <w:rFonts w:eastAsia="MS Mincho" w:cs="Arial"/>
                <w:b/>
                <w:szCs w:val="16"/>
              </w:rPr>
              <w:t>3.0</w:t>
            </w:r>
          </w:p>
        </w:tc>
        <w:tc>
          <w:tcPr>
            <w:tcW w:w="1134" w:type="dxa"/>
          </w:tcPr>
          <w:p w14:paraId="202C3D91" w14:textId="2F478A7E" w:rsidR="00C853FC" w:rsidRPr="00291672" w:rsidRDefault="0049759F" w:rsidP="00291672">
            <w:pPr>
              <w:rPr>
                <w:rFonts w:eastAsia="MS Mincho" w:cs="Arial"/>
                <w:szCs w:val="16"/>
              </w:rPr>
            </w:pPr>
            <w:r w:rsidRPr="00291672">
              <w:rPr>
                <w:rFonts w:eastAsia="MS Mincho" w:cs="Arial"/>
                <w:szCs w:val="16"/>
              </w:rPr>
              <w:t>0.6</w:t>
            </w:r>
          </w:p>
        </w:tc>
      </w:tr>
      <w:tr w:rsidR="00C853FC" w:rsidRPr="001A0FEC" w14:paraId="4A23D573" w14:textId="77777777" w:rsidTr="00C853FC">
        <w:tc>
          <w:tcPr>
            <w:tcW w:w="5670" w:type="dxa"/>
          </w:tcPr>
          <w:p w14:paraId="051D1D45" w14:textId="77777777" w:rsidR="00C853FC" w:rsidRPr="00EC60C0" w:rsidRDefault="00C853FC" w:rsidP="00004D70">
            <w:pPr>
              <w:spacing w:line="276" w:lineRule="auto"/>
              <w:jc w:val="left"/>
              <w:rPr>
                <w:rFonts w:eastAsia="MS Mincho" w:cs="Arial"/>
                <w:szCs w:val="16"/>
              </w:rPr>
            </w:pPr>
            <w:r w:rsidRPr="00EC60C0">
              <w:rPr>
                <w:rFonts w:eastAsia="MS Mincho" w:cs="Arial"/>
                <w:szCs w:val="16"/>
              </w:rPr>
              <w:t>Capital expenditure (net of disposals of property, plant and equipment)</w:t>
            </w:r>
          </w:p>
        </w:tc>
        <w:tc>
          <w:tcPr>
            <w:tcW w:w="1843" w:type="dxa"/>
          </w:tcPr>
          <w:p w14:paraId="48F8980A" w14:textId="77777777" w:rsidR="00C853FC" w:rsidRPr="00EC60C0" w:rsidRDefault="00C853FC" w:rsidP="00004D70">
            <w:pPr>
              <w:rPr>
                <w:rFonts w:eastAsia="MS Mincho" w:cs="Arial"/>
                <w:b/>
                <w:szCs w:val="16"/>
              </w:rPr>
            </w:pPr>
            <w:r w:rsidRPr="00EC60C0">
              <w:rPr>
                <w:rFonts w:eastAsia="MS Mincho" w:cs="Arial"/>
                <w:b/>
                <w:szCs w:val="16"/>
              </w:rPr>
              <w:t>(2.9)</w:t>
            </w:r>
          </w:p>
        </w:tc>
        <w:tc>
          <w:tcPr>
            <w:tcW w:w="1134" w:type="dxa"/>
          </w:tcPr>
          <w:p w14:paraId="03ED856A" w14:textId="226779D6" w:rsidR="00C853FC" w:rsidRPr="00291672" w:rsidRDefault="0049759F" w:rsidP="00291672">
            <w:pPr>
              <w:rPr>
                <w:rFonts w:eastAsia="MS Mincho" w:cs="Arial"/>
                <w:szCs w:val="16"/>
              </w:rPr>
            </w:pPr>
            <w:r w:rsidRPr="00291672">
              <w:rPr>
                <w:rFonts w:eastAsia="MS Mincho" w:cs="Arial"/>
                <w:szCs w:val="16"/>
              </w:rPr>
              <w:t>(3.5)</w:t>
            </w:r>
          </w:p>
        </w:tc>
      </w:tr>
      <w:tr w:rsidR="00C853FC" w:rsidRPr="001A0FEC" w14:paraId="080E6A18" w14:textId="77777777" w:rsidTr="00C853FC">
        <w:tc>
          <w:tcPr>
            <w:tcW w:w="5670" w:type="dxa"/>
          </w:tcPr>
          <w:p w14:paraId="5BC0817B" w14:textId="77777777" w:rsidR="00C853FC" w:rsidRPr="004300A2" w:rsidRDefault="00C853FC" w:rsidP="00004D70">
            <w:pPr>
              <w:spacing w:line="276" w:lineRule="auto"/>
              <w:jc w:val="left"/>
              <w:rPr>
                <w:rFonts w:eastAsia="MS Mincho" w:cs="Arial"/>
                <w:szCs w:val="16"/>
              </w:rPr>
            </w:pPr>
            <w:r w:rsidRPr="004300A2">
              <w:rPr>
                <w:rFonts w:eastAsia="MS Mincho" w:cs="Arial"/>
                <w:szCs w:val="16"/>
              </w:rPr>
              <w:t>Tax paid</w:t>
            </w:r>
          </w:p>
        </w:tc>
        <w:tc>
          <w:tcPr>
            <w:tcW w:w="1843" w:type="dxa"/>
          </w:tcPr>
          <w:p w14:paraId="03342A52" w14:textId="77777777" w:rsidR="00C853FC" w:rsidRPr="004300A2" w:rsidRDefault="00C853FC" w:rsidP="00004D70">
            <w:pPr>
              <w:rPr>
                <w:rFonts w:eastAsia="MS Mincho" w:cs="Arial"/>
                <w:b/>
                <w:szCs w:val="16"/>
              </w:rPr>
            </w:pPr>
            <w:r w:rsidRPr="004300A2">
              <w:rPr>
                <w:rFonts w:eastAsia="MS Mincho" w:cs="Arial"/>
                <w:b/>
                <w:szCs w:val="16"/>
              </w:rPr>
              <w:t>(3.8)</w:t>
            </w:r>
          </w:p>
        </w:tc>
        <w:tc>
          <w:tcPr>
            <w:tcW w:w="1134" w:type="dxa"/>
          </w:tcPr>
          <w:p w14:paraId="03484F14" w14:textId="7C756D26" w:rsidR="00C853FC" w:rsidRPr="00291672" w:rsidRDefault="0049759F" w:rsidP="00291672">
            <w:pPr>
              <w:rPr>
                <w:rFonts w:eastAsia="MS Mincho" w:cs="Arial"/>
                <w:szCs w:val="16"/>
              </w:rPr>
            </w:pPr>
            <w:r w:rsidRPr="00291672">
              <w:rPr>
                <w:rFonts w:eastAsia="MS Mincho" w:cs="Arial"/>
                <w:szCs w:val="16"/>
              </w:rPr>
              <w:t>(6.8)</w:t>
            </w:r>
          </w:p>
        </w:tc>
      </w:tr>
      <w:tr w:rsidR="00C853FC" w:rsidRPr="001A0FEC" w14:paraId="7968B41A" w14:textId="77777777" w:rsidTr="00C853FC">
        <w:tc>
          <w:tcPr>
            <w:tcW w:w="5670" w:type="dxa"/>
          </w:tcPr>
          <w:p w14:paraId="2C08CB32" w14:textId="34351930" w:rsidR="00C853FC" w:rsidRPr="00AA378A" w:rsidRDefault="008F505D" w:rsidP="00004D70">
            <w:pPr>
              <w:spacing w:line="276" w:lineRule="auto"/>
              <w:jc w:val="left"/>
              <w:rPr>
                <w:rFonts w:eastAsia="MS Mincho" w:cs="Arial"/>
                <w:szCs w:val="16"/>
              </w:rPr>
            </w:pPr>
            <w:r>
              <w:rPr>
                <w:rFonts w:eastAsia="MS Mincho" w:cs="Arial"/>
                <w:szCs w:val="16"/>
              </w:rPr>
              <w:t>Net finance costs</w:t>
            </w:r>
            <w:r w:rsidRPr="00AA378A">
              <w:rPr>
                <w:rFonts w:eastAsia="MS Mincho" w:cs="Arial"/>
                <w:szCs w:val="16"/>
              </w:rPr>
              <w:t xml:space="preserve"> </w:t>
            </w:r>
            <w:r w:rsidR="00C853FC" w:rsidRPr="00AA378A">
              <w:rPr>
                <w:rFonts w:eastAsia="MS Mincho" w:cs="Arial"/>
                <w:szCs w:val="16"/>
              </w:rPr>
              <w:t>paid</w:t>
            </w:r>
          </w:p>
        </w:tc>
        <w:tc>
          <w:tcPr>
            <w:tcW w:w="1843" w:type="dxa"/>
          </w:tcPr>
          <w:p w14:paraId="6867FD05" w14:textId="7E45E406" w:rsidR="00C853FC" w:rsidRPr="00AA378A" w:rsidRDefault="00C853FC" w:rsidP="00004D70">
            <w:pPr>
              <w:rPr>
                <w:rFonts w:eastAsia="MS Mincho" w:cs="Arial"/>
                <w:b/>
                <w:szCs w:val="16"/>
              </w:rPr>
            </w:pPr>
            <w:r w:rsidRPr="00AA378A">
              <w:rPr>
                <w:rFonts w:eastAsia="MS Mincho" w:cs="Arial"/>
                <w:b/>
                <w:szCs w:val="16"/>
              </w:rPr>
              <w:t>(</w:t>
            </w:r>
            <w:r>
              <w:rPr>
                <w:rFonts w:eastAsia="MS Mincho" w:cs="Arial"/>
                <w:b/>
                <w:szCs w:val="16"/>
              </w:rPr>
              <w:t>0.7</w:t>
            </w:r>
            <w:r w:rsidR="00DF1879">
              <w:rPr>
                <w:rFonts w:eastAsia="MS Mincho" w:cs="Arial"/>
                <w:b/>
                <w:szCs w:val="16"/>
              </w:rPr>
              <w:t>)</w:t>
            </w:r>
          </w:p>
        </w:tc>
        <w:tc>
          <w:tcPr>
            <w:tcW w:w="1134" w:type="dxa"/>
          </w:tcPr>
          <w:p w14:paraId="786297DB" w14:textId="12964BBD" w:rsidR="00C853FC" w:rsidRPr="00291672" w:rsidRDefault="00E87045" w:rsidP="00291672">
            <w:pPr>
              <w:rPr>
                <w:rFonts w:eastAsia="MS Mincho" w:cs="Arial"/>
                <w:szCs w:val="16"/>
              </w:rPr>
            </w:pPr>
            <w:r w:rsidRPr="00291672">
              <w:rPr>
                <w:rFonts w:eastAsia="MS Mincho" w:cs="Arial"/>
                <w:szCs w:val="16"/>
              </w:rPr>
              <w:t>(0.5)</w:t>
            </w:r>
          </w:p>
        </w:tc>
      </w:tr>
      <w:tr w:rsidR="00C853FC" w:rsidRPr="001A0FEC" w14:paraId="1950FB28" w14:textId="77777777" w:rsidTr="00C853FC">
        <w:tc>
          <w:tcPr>
            <w:tcW w:w="5670" w:type="dxa"/>
          </w:tcPr>
          <w:p w14:paraId="40D239EA" w14:textId="77777777" w:rsidR="00C853FC" w:rsidRPr="00DF1879" w:rsidRDefault="00C853FC" w:rsidP="00004D70">
            <w:pPr>
              <w:spacing w:line="276" w:lineRule="auto"/>
              <w:jc w:val="left"/>
              <w:rPr>
                <w:rFonts w:eastAsia="MS Mincho" w:cs="Arial"/>
                <w:szCs w:val="16"/>
              </w:rPr>
            </w:pPr>
            <w:r w:rsidRPr="00DF1879">
              <w:rPr>
                <w:rFonts w:eastAsia="MS Mincho" w:cs="Arial"/>
                <w:szCs w:val="16"/>
              </w:rPr>
              <w:t>Lease liabilities principal repayments</w:t>
            </w:r>
          </w:p>
        </w:tc>
        <w:tc>
          <w:tcPr>
            <w:tcW w:w="1843" w:type="dxa"/>
          </w:tcPr>
          <w:p w14:paraId="5C049235" w14:textId="45E029BE" w:rsidR="00C853FC" w:rsidRPr="00DF1879" w:rsidRDefault="00C853FC" w:rsidP="00004D70">
            <w:pPr>
              <w:rPr>
                <w:rFonts w:eastAsia="MS Mincho" w:cs="Arial"/>
                <w:b/>
                <w:szCs w:val="16"/>
              </w:rPr>
            </w:pPr>
            <w:r w:rsidRPr="00DF1879">
              <w:rPr>
                <w:rFonts w:eastAsia="MS Mincho" w:cs="Arial"/>
                <w:b/>
                <w:szCs w:val="16"/>
              </w:rPr>
              <w:t>(3.</w:t>
            </w:r>
            <w:r w:rsidR="000C3ED3">
              <w:rPr>
                <w:rFonts w:eastAsia="MS Mincho" w:cs="Arial"/>
                <w:b/>
                <w:szCs w:val="16"/>
              </w:rPr>
              <w:t>5</w:t>
            </w:r>
            <w:r w:rsidRPr="00DF1879">
              <w:rPr>
                <w:rFonts w:eastAsia="MS Mincho" w:cs="Arial"/>
                <w:b/>
                <w:szCs w:val="16"/>
              </w:rPr>
              <w:t>)</w:t>
            </w:r>
          </w:p>
        </w:tc>
        <w:tc>
          <w:tcPr>
            <w:tcW w:w="1134" w:type="dxa"/>
          </w:tcPr>
          <w:p w14:paraId="3669F10B" w14:textId="46AD7C86" w:rsidR="00C853FC" w:rsidRPr="00291672" w:rsidRDefault="00E87045" w:rsidP="00291672">
            <w:pPr>
              <w:rPr>
                <w:rFonts w:eastAsia="MS Mincho" w:cs="Arial"/>
                <w:szCs w:val="16"/>
              </w:rPr>
            </w:pPr>
            <w:r w:rsidRPr="00291672">
              <w:rPr>
                <w:rFonts w:eastAsia="MS Mincho" w:cs="Arial"/>
                <w:szCs w:val="16"/>
              </w:rPr>
              <w:t>(4.4)</w:t>
            </w:r>
          </w:p>
        </w:tc>
      </w:tr>
      <w:tr w:rsidR="00C853FC" w:rsidRPr="001A0FEC" w14:paraId="61235853" w14:textId="77777777" w:rsidTr="00C853FC">
        <w:tc>
          <w:tcPr>
            <w:tcW w:w="5670" w:type="dxa"/>
          </w:tcPr>
          <w:p w14:paraId="52BFDDEF" w14:textId="77777777" w:rsidR="00C853FC" w:rsidRPr="00DF1879" w:rsidRDefault="00C853FC" w:rsidP="00004D70">
            <w:pPr>
              <w:spacing w:line="276" w:lineRule="auto"/>
              <w:jc w:val="left"/>
              <w:rPr>
                <w:rFonts w:eastAsia="MS Mincho" w:cs="Arial"/>
                <w:szCs w:val="16"/>
              </w:rPr>
            </w:pPr>
            <w:r w:rsidRPr="00DF1879">
              <w:rPr>
                <w:rFonts w:eastAsia="MS Mincho" w:cs="Arial"/>
                <w:szCs w:val="16"/>
              </w:rPr>
              <w:t>Dividends paid (including those paid to non-controlling interests)</w:t>
            </w:r>
          </w:p>
        </w:tc>
        <w:tc>
          <w:tcPr>
            <w:tcW w:w="1843" w:type="dxa"/>
          </w:tcPr>
          <w:p w14:paraId="25B200B4" w14:textId="741407B2" w:rsidR="00C853FC" w:rsidRPr="00DF1879" w:rsidRDefault="00AD203D" w:rsidP="00004D70">
            <w:pPr>
              <w:rPr>
                <w:rFonts w:eastAsia="MS Mincho" w:cs="Arial"/>
                <w:b/>
                <w:szCs w:val="16"/>
              </w:rPr>
            </w:pPr>
            <w:r>
              <w:rPr>
                <w:rFonts w:eastAsia="MS Mincho" w:cs="Arial"/>
                <w:b/>
                <w:szCs w:val="16"/>
              </w:rPr>
              <w:t>-</w:t>
            </w:r>
          </w:p>
        </w:tc>
        <w:tc>
          <w:tcPr>
            <w:tcW w:w="1134" w:type="dxa"/>
          </w:tcPr>
          <w:p w14:paraId="38D1BBED" w14:textId="06EE356E" w:rsidR="00C853FC" w:rsidRPr="00291672" w:rsidRDefault="00E87045" w:rsidP="00291672">
            <w:pPr>
              <w:rPr>
                <w:rFonts w:eastAsia="MS Mincho" w:cs="Arial"/>
                <w:szCs w:val="16"/>
              </w:rPr>
            </w:pPr>
            <w:r w:rsidRPr="00291672">
              <w:rPr>
                <w:rFonts w:eastAsia="MS Mincho" w:cs="Arial"/>
                <w:szCs w:val="16"/>
              </w:rPr>
              <w:t>(0.5)</w:t>
            </w:r>
          </w:p>
        </w:tc>
      </w:tr>
      <w:tr w:rsidR="00C853FC" w:rsidRPr="001A0FEC" w14:paraId="18132894" w14:textId="77777777" w:rsidTr="00C853FC">
        <w:tc>
          <w:tcPr>
            <w:tcW w:w="5670" w:type="dxa"/>
            <w:tcBorders>
              <w:bottom w:val="single" w:sz="4" w:space="0" w:color="auto"/>
            </w:tcBorders>
          </w:tcPr>
          <w:p w14:paraId="6F62290B" w14:textId="77777777" w:rsidR="00C853FC" w:rsidRPr="00DF1879" w:rsidRDefault="00C853FC" w:rsidP="00004D70">
            <w:pPr>
              <w:spacing w:line="276" w:lineRule="auto"/>
              <w:jc w:val="left"/>
              <w:rPr>
                <w:rFonts w:eastAsia="MS Mincho" w:cs="Arial"/>
                <w:szCs w:val="16"/>
              </w:rPr>
            </w:pPr>
            <w:r w:rsidRPr="00DF1879">
              <w:rPr>
                <w:rFonts w:eastAsia="MS Mincho" w:cs="Arial"/>
                <w:szCs w:val="16"/>
              </w:rPr>
              <w:t>FX and other</w:t>
            </w:r>
          </w:p>
        </w:tc>
        <w:tc>
          <w:tcPr>
            <w:tcW w:w="1843" w:type="dxa"/>
            <w:tcBorders>
              <w:bottom w:val="single" w:sz="4" w:space="0" w:color="auto"/>
            </w:tcBorders>
          </w:tcPr>
          <w:p w14:paraId="23CD8309" w14:textId="43AE267B" w:rsidR="00C853FC" w:rsidRPr="00DF1879" w:rsidRDefault="006B65C9" w:rsidP="00004D70">
            <w:pPr>
              <w:rPr>
                <w:rFonts w:eastAsia="MS Mincho" w:cs="Arial"/>
                <w:b/>
                <w:szCs w:val="16"/>
              </w:rPr>
            </w:pPr>
            <w:r w:rsidRPr="00DF1879">
              <w:rPr>
                <w:rFonts w:eastAsia="MS Mincho" w:cs="Arial"/>
                <w:b/>
                <w:szCs w:val="16"/>
              </w:rPr>
              <w:t>(</w:t>
            </w:r>
            <w:r w:rsidR="00EA3991">
              <w:rPr>
                <w:rFonts w:eastAsia="MS Mincho" w:cs="Arial"/>
                <w:b/>
                <w:szCs w:val="16"/>
              </w:rPr>
              <w:t>1.</w:t>
            </w:r>
            <w:r w:rsidR="000C3ED3">
              <w:rPr>
                <w:rFonts w:eastAsia="MS Mincho" w:cs="Arial"/>
                <w:b/>
                <w:szCs w:val="16"/>
              </w:rPr>
              <w:t>2</w:t>
            </w:r>
            <w:r w:rsidRPr="00DF1879">
              <w:rPr>
                <w:rFonts w:eastAsia="MS Mincho" w:cs="Arial"/>
                <w:b/>
                <w:szCs w:val="16"/>
              </w:rPr>
              <w:t>)</w:t>
            </w:r>
          </w:p>
        </w:tc>
        <w:tc>
          <w:tcPr>
            <w:tcW w:w="1134" w:type="dxa"/>
            <w:tcBorders>
              <w:bottom w:val="single" w:sz="4" w:space="0" w:color="auto"/>
            </w:tcBorders>
          </w:tcPr>
          <w:p w14:paraId="1E28A373" w14:textId="4CA8D067" w:rsidR="00C853FC" w:rsidRPr="00291672" w:rsidRDefault="00E87045" w:rsidP="00291672">
            <w:pPr>
              <w:rPr>
                <w:rFonts w:eastAsia="MS Mincho" w:cs="Arial"/>
                <w:szCs w:val="16"/>
              </w:rPr>
            </w:pPr>
            <w:r w:rsidRPr="00291672">
              <w:rPr>
                <w:rFonts w:eastAsia="MS Mincho" w:cs="Arial"/>
                <w:szCs w:val="16"/>
              </w:rPr>
              <w:t>(0.8)</w:t>
            </w:r>
          </w:p>
        </w:tc>
      </w:tr>
      <w:tr w:rsidR="00C853FC" w:rsidRPr="001A0FEC" w14:paraId="4A74C534" w14:textId="77777777" w:rsidTr="00E96AAD">
        <w:tc>
          <w:tcPr>
            <w:tcW w:w="5670" w:type="dxa"/>
            <w:tcBorders>
              <w:top w:val="single" w:sz="4" w:space="0" w:color="auto"/>
              <w:bottom w:val="nil"/>
            </w:tcBorders>
          </w:tcPr>
          <w:p w14:paraId="32087947" w14:textId="747EC846" w:rsidR="00C853FC" w:rsidRPr="00DF1879" w:rsidRDefault="00C853FC" w:rsidP="00004D70">
            <w:pPr>
              <w:spacing w:line="276" w:lineRule="auto"/>
              <w:jc w:val="left"/>
              <w:rPr>
                <w:rFonts w:eastAsia="MS Mincho" w:cs="Arial"/>
                <w:b/>
                <w:bCs/>
                <w:szCs w:val="16"/>
              </w:rPr>
            </w:pPr>
            <w:r w:rsidRPr="00DF1879">
              <w:rPr>
                <w:rFonts w:eastAsia="MS Mincho" w:cs="Arial"/>
                <w:b/>
                <w:bCs/>
                <w:szCs w:val="16"/>
              </w:rPr>
              <w:t xml:space="preserve">Movement in net cash </w:t>
            </w:r>
            <w:r w:rsidR="000A73F4" w:rsidRPr="00DF1879">
              <w:rPr>
                <w:rFonts w:eastAsia="MS Mincho" w:cs="Arial"/>
                <w:b/>
                <w:bCs/>
                <w:szCs w:val="16"/>
              </w:rPr>
              <w:t>from continuing operations</w:t>
            </w:r>
          </w:p>
        </w:tc>
        <w:tc>
          <w:tcPr>
            <w:tcW w:w="1843" w:type="dxa"/>
            <w:tcBorders>
              <w:top w:val="single" w:sz="4" w:space="0" w:color="auto"/>
              <w:bottom w:val="nil"/>
            </w:tcBorders>
          </w:tcPr>
          <w:p w14:paraId="0A216586" w14:textId="0B0708F7" w:rsidR="00C853FC" w:rsidRPr="00DF1879" w:rsidRDefault="006B65C9" w:rsidP="00004D70">
            <w:pPr>
              <w:rPr>
                <w:rFonts w:eastAsia="MS Mincho" w:cs="Arial"/>
                <w:b/>
                <w:szCs w:val="16"/>
              </w:rPr>
            </w:pPr>
            <w:r w:rsidRPr="00DF1879">
              <w:rPr>
                <w:rFonts w:eastAsia="MS Mincho" w:cs="Arial"/>
                <w:b/>
                <w:szCs w:val="16"/>
              </w:rPr>
              <w:t>1</w:t>
            </w:r>
            <w:r w:rsidR="00291672">
              <w:rPr>
                <w:rFonts w:eastAsia="MS Mincho" w:cs="Arial"/>
                <w:b/>
                <w:szCs w:val="16"/>
              </w:rPr>
              <w:t>6</w:t>
            </w:r>
            <w:r w:rsidRPr="00DF1879">
              <w:rPr>
                <w:rFonts w:eastAsia="MS Mincho" w:cs="Arial"/>
                <w:b/>
                <w:szCs w:val="16"/>
              </w:rPr>
              <w:t>.</w:t>
            </w:r>
            <w:r w:rsidR="000C3ED3">
              <w:rPr>
                <w:rFonts w:eastAsia="MS Mincho" w:cs="Arial"/>
                <w:b/>
                <w:szCs w:val="16"/>
              </w:rPr>
              <w:t>2</w:t>
            </w:r>
          </w:p>
        </w:tc>
        <w:tc>
          <w:tcPr>
            <w:tcW w:w="1134" w:type="dxa"/>
            <w:tcBorders>
              <w:top w:val="single" w:sz="4" w:space="0" w:color="auto"/>
              <w:bottom w:val="nil"/>
            </w:tcBorders>
          </w:tcPr>
          <w:p w14:paraId="3E407928" w14:textId="27EF9BC3" w:rsidR="00C853FC" w:rsidRPr="00291672" w:rsidRDefault="00291672" w:rsidP="00291672">
            <w:pPr>
              <w:rPr>
                <w:rFonts w:eastAsia="MS Mincho" w:cs="Arial"/>
                <w:szCs w:val="16"/>
              </w:rPr>
            </w:pPr>
            <w:r w:rsidRPr="00291672">
              <w:rPr>
                <w:rFonts w:eastAsia="MS Mincho" w:cs="Arial"/>
                <w:szCs w:val="16"/>
              </w:rPr>
              <w:t>(</w:t>
            </w:r>
            <w:r w:rsidR="00B024F4">
              <w:rPr>
                <w:rFonts w:eastAsia="MS Mincho" w:cs="Arial"/>
                <w:szCs w:val="16"/>
              </w:rPr>
              <w:t>4.6</w:t>
            </w:r>
            <w:r w:rsidRPr="00291672">
              <w:rPr>
                <w:rFonts w:eastAsia="MS Mincho" w:cs="Arial"/>
                <w:szCs w:val="16"/>
              </w:rPr>
              <w:t>)</w:t>
            </w:r>
          </w:p>
        </w:tc>
      </w:tr>
      <w:tr w:rsidR="00C853FC" w:rsidRPr="001A0FEC" w14:paraId="59357F09" w14:textId="77777777" w:rsidTr="00E96AAD">
        <w:tc>
          <w:tcPr>
            <w:tcW w:w="5670" w:type="dxa"/>
            <w:tcBorders>
              <w:top w:val="nil"/>
              <w:bottom w:val="nil"/>
            </w:tcBorders>
          </w:tcPr>
          <w:p w14:paraId="7CBE3547" w14:textId="7C1D563C" w:rsidR="00C853FC" w:rsidRPr="00DF1879" w:rsidRDefault="000A73F4" w:rsidP="00C853FC">
            <w:pPr>
              <w:spacing w:line="276" w:lineRule="auto"/>
              <w:jc w:val="left"/>
              <w:rPr>
                <w:rFonts w:eastAsia="MS Mincho" w:cs="Arial"/>
                <w:szCs w:val="16"/>
              </w:rPr>
            </w:pPr>
            <w:r w:rsidRPr="00DF1879">
              <w:rPr>
                <w:rFonts w:eastAsia="MS Mincho" w:cs="Arial"/>
                <w:szCs w:val="16"/>
              </w:rPr>
              <w:t>DG Americas cash outflow</w:t>
            </w:r>
          </w:p>
        </w:tc>
        <w:tc>
          <w:tcPr>
            <w:tcW w:w="1843" w:type="dxa"/>
            <w:tcBorders>
              <w:top w:val="nil"/>
              <w:bottom w:val="nil"/>
            </w:tcBorders>
          </w:tcPr>
          <w:p w14:paraId="280ED962" w14:textId="5CF06488" w:rsidR="00C853FC" w:rsidRPr="00DF1879" w:rsidRDefault="00E96AAD" w:rsidP="00C853FC">
            <w:pPr>
              <w:rPr>
                <w:rFonts w:eastAsia="MS Mincho" w:cs="Arial"/>
                <w:szCs w:val="16"/>
              </w:rPr>
            </w:pPr>
            <w:r w:rsidRPr="00DF1879">
              <w:rPr>
                <w:rFonts w:eastAsia="MS Mincho" w:cs="Arial"/>
                <w:szCs w:val="16"/>
              </w:rPr>
              <w:t>(25.8)</w:t>
            </w:r>
          </w:p>
        </w:tc>
        <w:tc>
          <w:tcPr>
            <w:tcW w:w="1134" w:type="dxa"/>
            <w:tcBorders>
              <w:top w:val="nil"/>
              <w:bottom w:val="nil"/>
            </w:tcBorders>
          </w:tcPr>
          <w:p w14:paraId="5CB6505A" w14:textId="406B8BFC" w:rsidR="00C853FC" w:rsidRPr="00291672" w:rsidRDefault="00291672" w:rsidP="00291672">
            <w:pPr>
              <w:rPr>
                <w:rFonts w:eastAsia="MS Mincho" w:cs="Arial"/>
                <w:szCs w:val="16"/>
              </w:rPr>
            </w:pPr>
            <w:r w:rsidRPr="00291672">
              <w:rPr>
                <w:rFonts w:eastAsia="MS Mincho" w:cs="Arial"/>
                <w:szCs w:val="16"/>
              </w:rPr>
              <w:t>(5.3)</w:t>
            </w:r>
          </w:p>
        </w:tc>
      </w:tr>
      <w:tr w:rsidR="00C853FC" w:rsidRPr="001A0FEC" w14:paraId="56413D35" w14:textId="77777777" w:rsidTr="00E96AAD">
        <w:tc>
          <w:tcPr>
            <w:tcW w:w="5670" w:type="dxa"/>
            <w:tcBorders>
              <w:top w:val="nil"/>
              <w:bottom w:val="single" w:sz="4" w:space="0" w:color="auto"/>
            </w:tcBorders>
          </w:tcPr>
          <w:p w14:paraId="74575D26" w14:textId="3FDD141B" w:rsidR="00C853FC" w:rsidRPr="00DF1879" w:rsidRDefault="000A73F4" w:rsidP="00C853FC">
            <w:pPr>
              <w:spacing w:line="276" w:lineRule="auto"/>
              <w:jc w:val="left"/>
              <w:rPr>
                <w:rFonts w:eastAsia="MS Mincho" w:cs="Arial"/>
                <w:szCs w:val="16"/>
              </w:rPr>
            </w:pPr>
            <w:r w:rsidRPr="00DF1879">
              <w:rPr>
                <w:rFonts w:eastAsia="MS Mincho" w:cs="Arial"/>
                <w:szCs w:val="16"/>
              </w:rPr>
              <w:t>DG Americas disposal costs</w:t>
            </w:r>
          </w:p>
        </w:tc>
        <w:tc>
          <w:tcPr>
            <w:tcW w:w="1843" w:type="dxa"/>
            <w:tcBorders>
              <w:top w:val="nil"/>
              <w:bottom w:val="single" w:sz="4" w:space="0" w:color="auto"/>
            </w:tcBorders>
          </w:tcPr>
          <w:p w14:paraId="569D75B0" w14:textId="36C00767" w:rsidR="00C853FC" w:rsidRPr="00DF1879" w:rsidRDefault="00E96AAD" w:rsidP="00E96AAD">
            <w:pPr>
              <w:rPr>
                <w:rFonts w:eastAsia="MS Mincho" w:cs="Arial"/>
                <w:szCs w:val="16"/>
              </w:rPr>
            </w:pPr>
            <w:r w:rsidRPr="00DF1879">
              <w:rPr>
                <w:rFonts w:eastAsia="MS Mincho" w:cs="Arial"/>
                <w:szCs w:val="16"/>
              </w:rPr>
              <w:t>(</w:t>
            </w:r>
            <w:r w:rsidR="00526369" w:rsidRPr="00DF1879">
              <w:rPr>
                <w:rFonts w:eastAsia="MS Mincho" w:cs="Arial"/>
                <w:szCs w:val="16"/>
              </w:rPr>
              <w:t>1.4)</w:t>
            </w:r>
          </w:p>
        </w:tc>
        <w:tc>
          <w:tcPr>
            <w:tcW w:w="1134" w:type="dxa"/>
            <w:tcBorders>
              <w:top w:val="nil"/>
              <w:bottom w:val="single" w:sz="4" w:space="0" w:color="auto"/>
            </w:tcBorders>
          </w:tcPr>
          <w:p w14:paraId="71B8B694" w14:textId="3F783FE2" w:rsidR="00C853FC" w:rsidRPr="00291672" w:rsidRDefault="00AD203D" w:rsidP="00291672">
            <w:pPr>
              <w:rPr>
                <w:rFonts w:eastAsia="MS Mincho" w:cs="Arial"/>
                <w:szCs w:val="16"/>
              </w:rPr>
            </w:pPr>
            <w:r>
              <w:rPr>
                <w:rFonts w:eastAsia="MS Mincho" w:cs="Arial"/>
                <w:b/>
                <w:szCs w:val="16"/>
              </w:rPr>
              <w:t>-</w:t>
            </w:r>
          </w:p>
        </w:tc>
      </w:tr>
      <w:tr w:rsidR="000A73F4" w:rsidRPr="001A0FEC" w14:paraId="011C0361" w14:textId="77777777" w:rsidTr="00E96AAD">
        <w:tc>
          <w:tcPr>
            <w:tcW w:w="5670" w:type="dxa"/>
            <w:tcBorders>
              <w:top w:val="single" w:sz="4" w:space="0" w:color="auto"/>
              <w:bottom w:val="nil"/>
            </w:tcBorders>
            <w:vAlign w:val="center"/>
          </w:tcPr>
          <w:p w14:paraId="0C91E1E0" w14:textId="33B032BB" w:rsidR="000A73F4" w:rsidRPr="00DF1879" w:rsidRDefault="000A73F4" w:rsidP="000A73F4">
            <w:pPr>
              <w:spacing w:line="276" w:lineRule="auto"/>
              <w:jc w:val="left"/>
              <w:rPr>
                <w:rFonts w:eastAsia="MS Mincho" w:cs="Arial"/>
                <w:szCs w:val="16"/>
              </w:rPr>
            </w:pPr>
            <w:r w:rsidRPr="00DF1879">
              <w:rPr>
                <w:rFonts w:eastAsia="MS Mincho" w:cs="Arial"/>
                <w:b/>
                <w:bCs/>
                <w:szCs w:val="16"/>
              </w:rPr>
              <w:t>Movement in net cash</w:t>
            </w:r>
          </w:p>
        </w:tc>
        <w:tc>
          <w:tcPr>
            <w:tcW w:w="1843" w:type="dxa"/>
            <w:tcBorders>
              <w:top w:val="single" w:sz="4" w:space="0" w:color="auto"/>
              <w:bottom w:val="nil"/>
            </w:tcBorders>
          </w:tcPr>
          <w:p w14:paraId="5392F3EA" w14:textId="1A66A785" w:rsidR="000A73F4" w:rsidRPr="00DF1879" w:rsidRDefault="00526369" w:rsidP="00C853FC">
            <w:pPr>
              <w:rPr>
                <w:rFonts w:eastAsia="MS Mincho" w:cs="Arial"/>
                <w:b/>
                <w:szCs w:val="16"/>
              </w:rPr>
            </w:pPr>
            <w:r w:rsidRPr="00DF1879">
              <w:rPr>
                <w:rFonts w:eastAsia="MS Mincho" w:cs="Arial"/>
                <w:b/>
                <w:szCs w:val="16"/>
              </w:rPr>
              <w:t>(</w:t>
            </w:r>
            <w:r w:rsidR="00016244" w:rsidRPr="00DF1879">
              <w:rPr>
                <w:rFonts w:eastAsia="MS Mincho" w:cs="Arial"/>
                <w:b/>
                <w:szCs w:val="16"/>
              </w:rPr>
              <w:t>1</w:t>
            </w:r>
            <w:r w:rsidR="00016244">
              <w:rPr>
                <w:rFonts w:eastAsia="MS Mincho" w:cs="Arial"/>
                <w:b/>
                <w:szCs w:val="16"/>
              </w:rPr>
              <w:t>1</w:t>
            </w:r>
            <w:r w:rsidRPr="00DF1879">
              <w:rPr>
                <w:rFonts w:eastAsia="MS Mincho" w:cs="Arial"/>
                <w:b/>
                <w:szCs w:val="16"/>
              </w:rPr>
              <w:t>.</w:t>
            </w:r>
            <w:r w:rsidR="00016244">
              <w:rPr>
                <w:rFonts w:eastAsia="MS Mincho" w:cs="Arial"/>
                <w:b/>
                <w:szCs w:val="16"/>
              </w:rPr>
              <w:t>0</w:t>
            </w:r>
            <w:r w:rsidRPr="00DF1879">
              <w:rPr>
                <w:rFonts w:eastAsia="MS Mincho" w:cs="Arial"/>
                <w:b/>
                <w:szCs w:val="16"/>
              </w:rPr>
              <w:t>)</w:t>
            </w:r>
          </w:p>
        </w:tc>
        <w:tc>
          <w:tcPr>
            <w:tcW w:w="1134" w:type="dxa"/>
            <w:tcBorders>
              <w:top w:val="single" w:sz="4" w:space="0" w:color="auto"/>
              <w:bottom w:val="nil"/>
            </w:tcBorders>
          </w:tcPr>
          <w:p w14:paraId="47A431EC" w14:textId="6F35564E" w:rsidR="000A73F4" w:rsidRPr="00291672" w:rsidRDefault="00291672" w:rsidP="00291672">
            <w:pPr>
              <w:rPr>
                <w:rFonts w:eastAsia="MS Mincho" w:cs="Arial"/>
                <w:szCs w:val="16"/>
              </w:rPr>
            </w:pPr>
            <w:r w:rsidRPr="00291672">
              <w:rPr>
                <w:rFonts w:eastAsia="MS Mincho" w:cs="Arial"/>
                <w:szCs w:val="16"/>
              </w:rPr>
              <w:t>(</w:t>
            </w:r>
            <w:r w:rsidR="00B024F4">
              <w:rPr>
                <w:rFonts w:eastAsia="MS Mincho" w:cs="Arial"/>
                <w:szCs w:val="16"/>
              </w:rPr>
              <w:t>9.9</w:t>
            </w:r>
            <w:r w:rsidRPr="00291672">
              <w:rPr>
                <w:rFonts w:eastAsia="MS Mincho" w:cs="Arial"/>
                <w:szCs w:val="16"/>
              </w:rPr>
              <w:t>)</w:t>
            </w:r>
          </w:p>
        </w:tc>
      </w:tr>
      <w:tr w:rsidR="00C853FC" w:rsidRPr="001A0FEC" w14:paraId="790700F4" w14:textId="77777777" w:rsidTr="00C853FC">
        <w:tc>
          <w:tcPr>
            <w:tcW w:w="5670" w:type="dxa"/>
            <w:tcBorders>
              <w:bottom w:val="single" w:sz="4" w:space="0" w:color="auto"/>
            </w:tcBorders>
          </w:tcPr>
          <w:p w14:paraId="1FD5F465" w14:textId="77777777" w:rsidR="00C853FC" w:rsidRPr="00DF1879" w:rsidRDefault="00C853FC" w:rsidP="00004D70">
            <w:pPr>
              <w:spacing w:line="276" w:lineRule="auto"/>
              <w:jc w:val="left"/>
              <w:rPr>
                <w:rFonts w:eastAsia="MS Mincho" w:cs="Arial"/>
                <w:szCs w:val="16"/>
              </w:rPr>
            </w:pPr>
            <w:r w:rsidRPr="00DF1879">
              <w:rPr>
                <w:rFonts w:eastAsia="MS Mincho" w:cs="Arial"/>
                <w:szCs w:val="16"/>
              </w:rPr>
              <w:t>Opening net cash</w:t>
            </w:r>
          </w:p>
        </w:tc>
        <w:tc>
          <w:tcPr>
            <w:tcW w:w="1843" w:type="dxa"/>
            <w:tcBorders>
              <w:bottom w:val="single" w:sz="4" w:space="0" w:color="auto"/>
            </w:tcBorders>
          </w:tcPr>
          <w:p w14:paraId="6E0D8DDF" w14:textId="5329B069" w:rsidR="00C853FC" w:rsidRPr="00DF1879" w:rsidRDefault="00526369" w:rsidP="00004D70">
            <w:pPr>
              <w:rPr>
                <w:rFonts w:eastAsia="MS Mincho" w:cs="Arial"/>
                <w:b/>
                <w:szCs w:val="16"/>
              </w:rPr>
            </w:pPr>
            <w:r w:rsidRPr="00DF1879">
              <w:rPr>
                <w:rFonts w:eastAsia="MS Mincho" w:cs="Arial"/>
                <w:b/>
                <w:szCs w:val="16"/>
              </w:rPr>
              <w:t>65.6</w:t>
            </w:r>
          </w:p>
        </w:tc>
        <w:tc>
          <w:tcPr>
            <w:tcW w:w="1134" w:type="dxa"/>
            <w:tcBorders>
              <w:bottom w:val="single" w:sz="4" w:space="0" w:color="auto"/>
            </w:tcBorders>
          </w:tcPr>
          <w:p w14:paraId="19089348" w14:textId="6F3DA547" w:rsidR="00C853FC" w:rsidRPr="00291672" w:rsidRDefault="00291672" w:rsidP="00291672">
            <w:pPr>
              <w:rPr>
                <w:rFonts w:eastAsia="MS Mincho" w:cs="Arial"/>
                <w:szCs w:val="16"/>
              </w:rPr>
            </w:pPr>
            <w:r w:rsidRPr="00291672">
              <w:rPr>
                <w:rFonts w:eastAsia="MS Mincho" w:cs="Arial"/>
                <w:szCs w:val="16"/>
              </w:rPr>
              <w:t>75.5</w:t>
            </w:r>
          </w:p>
        </w:tc>
      </w:tr>
      <w:tr w:rsidR="00C853FC" w:rsidRPr="001A0FEC" w14:paraId="13B02670" w14:textId="77777777" w:rsidTr="00C853FC">
        <w:tc>
          <w:tcPr>
            <w:tcW w:w="5670" w:type="dxa"/>
            <w:tcBorders>
              <w:top w:val="single" w:sz="4" w:space="0" w:color="auto"/>
            </w:tcBorders>
          </w:tcPr>
          <w:p w14:paraId="1CBC7BA4" w14:textId="77777777" w:rsidR="00C853FC" w:rsidRPr="00DF1879" w:rsidRDefault="00C853FC" w:rsidP="00004D70">
            <w:pPr>
              <w:spacing w:line="276" w:lineRule="auto"/>
              <w:jc w:val="left"/>
              <w:rPr>
                <w:rFonts w:eastAsia="MS Mincho" w:cs="Arial"/>
                <w:b/>
                <w:bCs/>
                <w:szCs w:val="16"/>
              </w:rPr>
            </w:pPr>
            <w:r w:rsidRPr="00DF1879">
              <w:rPr>
                <w:rFonts w:eastAsia="MS Mincho" w:cs="Arial"/>
                <w:b/>
                <w:bCs/>
                <w:szCs w:val="16"/>
              </w:rPr>
              <w:t>Closing net cash</w:t>
            </w:r>
          </w:p>
        </w:tc>
        <w:tc>
          <w:tcPr>
            <w:tcW w:w="1843" w:type="dxa"/>
            <w:tcBorders>
              <w:top w:val="single" w:sz="4" w:space="0" w:color="auto"/>
            </w:tcBorders>
          </w:tcPr>
          <w:p w14:paraId="05E004BE" w14:textId="6C3CE8FE" w:rsidR="00C853FC" w:rsidRPr="00DF1879" w:rsidRDefault="00526369" w:rsidP="00004D70">
            <w:pPr>
              <w:rPr>
                <w:rFonts w:eastAsia="MS Mincho" w:cs="Arial"/>
                <w:b/>
                <w:szCs w:val="16"/>
              </w:rPr>
            </w:pPr>
            <w:r w:rsidRPr="00DF1879">
              <w:rPr>
                <w:rFonts w:eastAsia="MS Mincho" w:cs="Arial"/>
                <w:b/>
                <w:szCs w:val="16"/>
              </w:rPr>
              <w:t>5</w:t>
            </w:r>
            <w:r w:rsidR="00C853FC" w:rsidRPr="00DF1879">
              <w:rPr>
                <w:rFonts w:eastAsia="MS Mincho" w:cs="Arial"/>
                <w:b/>
                <w:szCs w:val="16"/>
              </w:rPr>
              <w:t>4.</w:t>
            </w:r>
            <w:r w:rsidR="00016244">
              <w:rPr>
                <w:rFonts w:eastAsia="MS Mincho" w:cs="Arial"/>
                <w:b/>
                <w:szCs w:val="16"/>
              </w:rPr>
              <w:t>6</w:t>
            </w:r>
          </w:p>
        </w:tc>
        <w:tc>
          <w:tcPr>
            <w:tcW w:w="1134" w:type="dxa"/>
            <w:tcBorders>
              <w:top w:val="single" w:sz="4" w:space="0" w:color="auto"/>
            </w:tcBorders>
          </w:tcPr>
          <w:p w14:paraId="7E22AF68" w14:textId="77C33F72" w:rsidR="00C853FC" w:rsidRPr="00291672" w:rsidRDefault="00291672" w:rsidP="00291672">
            <w:pPr>
              <w:rPr>
                <w:rFonts w:eastAsia="MS Mincho" w:cs="Arial"/>
                <w:szCs w:val="16"/>
              </w:rPr>
            </w:pPr>
            <w:r w:rsidRPr="00291672">
              <w:rPr>
                <w:rFonts w:eastAsia="MS Mincho" w:cs="Arial"/>
                <w:szCs w:val="16"/>
              </w:rPr>
              <w:t>6</w:t>
            </w:r>
            <w:r w:rsidR="002E7221">
              <w:rPr>
                <w:rFonts w:eastAsia="MS Mincho" w:cs="Arial"/>
                <w:szCs w:val="16"/>
              </w:rPr>
              <w:t>5.6</w:t>
            </w:r>
          </w:p>
        </w:tc>
      </w:tr>
      <w:bookmarkEnd w:id="21"/>
    </w:tbl>
    <w:p w14:paraId="67BF61B0" w14:textId="77777777" w:rsidR="00C853FC" w:rsidRDefault="00C853FC"/>
    <w:p w14:paraId="503DA5EC" w14:textId="0337A3A3" w:rsidR="000126F3" w:rsidRDefault="000126F3" w:rsidP="000126F3">
      <w:pPr>
        <w:spacing w:line="276" w:lineRule="auto"/>
        <w:rPr>
          <w:rFonts w:eastAsia="MS Mincho" w:cs="Arial"/>
          <w:szCs w:val="16"/>
        </w:rPr>
      </w:pPr>
      <w:r w:rsidRPr="000126F3">
        <w:rPr>
          <w:rFonts w:eastAsia="MS Mincho" w:cs="Arial"/>
          <w:szCs w:val="16"/>
        </w:rPr>
        <w:t>Cash generation was strong during the year, with the Group delivering £26.</w:t>
      </w:r>
      <w:r w:rsidR="008118C3">
        <w:rPr>
          <w:rFonts w:eastAsia="MS Mincho" w:cs="Arial"/>
          <w:szCs w:val="16"/>
        </w:rPr>
        <w:t>4</w:t>
      </w:r>
      <w:r w:rsidR="008118C3" w:rsidRPr="000126F3">
        <w:rPr>
          <w:rFonts w:eastAsia="MS Mincho" w:cs="Arial"/>
          <w:szCs w:val="16"/>
        </w:rPr>
        <w:t xml:space="preserve"> </w:t>
      </w:r>
      <w:r w:rsidRPr="000126F3">
        <w:rPr>
          <w:rFonts w:eastAsia="MS Mincho" w:cs="Arial"/>
          <w:szCs w:val="16"/>
        </w:rPr>
        <w:t>million of adjusted cash generated from operations (FY</w:t>
      </w:r>
      <w:r>
        <w:rPr>
          <w:rFonts w:eastAsia="MS Mincho" w:cs="Arial"/>
          <w:szCs w:val="16"/>
        </w:rPr>
        <w:t>20</w:t>
      </w:r>
      <w:r w:rsidRPr="000126F3">
        <w:rPr>
          <w:rFonts w:eastAsia="MS Mincho" w:cs="Arial"/>
          <w:szCs w:val="16"/>
        </w:rPr>
        <w:t>25: £</w:t>
      </w:r>
      <w:r w:rsidR="008118C3">
        <w:rPr>
          <w:rFonts w:eastAsia="MS Mincho" w:cs="Arial"/>
          <w:szCs w:val="16"/>
        </w:rPr>
        <w:t>15</w:t>
      </w:r>
      <w:r w:rsidR="00291672">
        <w:rPr>
          <w:rFonts w:eastAsia="MS Mincho" w:cs="Arial"/>
          <w:szCs w:val="16"/>
        </w:rPr>
        <w:t>.</w:t>
      </w:r>
      <w:r w:rsidR="008118C3">
        <w:rPr>
          <w:rFonts w:eastAsia="MS Mincho" w:cs="Arial"/>
          <w:szCs w:val="16"/>
        </w:rPr>
        <w:t>7</w:t>
      </w:r>
      <w:r w:rsidR="008118C3" w:rsidRPr="000126F3">
        <w:rPr>
          <w:rFonts w:eastAsia="MS Mincho" w:cs="Arial"/>
          <w:szCs w:val="16"/>
        </w:rPr>
        <w:t xml:space="preserve"> </w:t>
      </w:r>
      <w:r w:rsidRPr="000126F3">
        <w:rPr>
          <w:rFonts w:eastAsia="MS Mincho" w:cs="Arial"/>
          <w:szCs w:val="16"/>
        </w:rPr>
        <w:t>million), driven by</w:t>
      </w:r>
      <w:r w:rsidRPr="000126F3" w:rsidDel="00FB389B">
        <w:rPr>
          <w:rFonts w:eastAsia="MS Mincho" w:cs="Arial"/>
          <w:szCs w:val="16"/>
        </w:rPr>
        <w:t xml:space="preserve"> </w:t>
      </w:r>
      <w:r w:rsidRPr="000126F3">
        <w:rPr>
          <w:rFonts w:eastAsia="MS Mincho" w:cs="Arial"/>
          <w:szCs w:val="16"/>
        </w:rPr>
        <w:t>significant improvement in working capital. Excluding the impact of DG Americas, the continuing Group generated £1</w:t>
      </w:r>
      <w:r w:rsidR="00291672">
        <w:rPr>
          <w:rFonts w:eastAsia="MS Mincho" w:cs="Arial"/>
          <w:szCs w:val="16"/>
        </w:rPr>
        <w:t>6</w:t>
      </w:r>
      <w:r w:rsidR="0066223C">
        <w:rPr>
          <w:rFonts w:eastAsia="MS Mincho" w:cs="Arial"/>
          <w:szCs w:val="16"/>
        </w:rPr>
        <w:t>.</w:t>
      </w:r>
      <w:r w:rsidR="00B52B3A">
        <w:rPr>
          <w:rFonts w:eastAsia="MS Mincho" w:cs="Arial"/>
          <w:szCs w:val="16"/>
        </w:rPr>
        <w:t>2</w:t>
      </w:r>
      <w:r w:rsidR="00B52B3A" w:rsidRPr="000126F3">
        <w:rPr>
          <w:rFonts w:eastAsia="MS Mincho" w:cs="Arial"/>
          <w:szCs w:val="16"/>
        </w:rPr>
        <w:t xml:space="preserve"> </w:t>
      </w:r>
      <w:r w:rsidRPr="000126F3">
        <w:rPr>
          <w:rFonts w:eastAsia="MS Mincho" w:cs="Arial"/>
          <w:szCs w:val="16"/>
        </w:rPr>
        <w:t>million of cash, demonstrating the underlying strength of cash conversion across the business.</w:t>
      </w:r>
    </w:p>
    <w:p w14:paraId="2D8E24E0" w14:textId="77777777" w:rsidR="00927F10" w:rsidRPr="000126F3" w:rsidRDefault="00927F10" w:rsidP="000126F3">
      <w:pPr>
        <w:spacing w:line="276" w:lineRule="auto"/>
        <w:rPr>
          <w:rFonts w:eastAsia="MS Mincho" w:cs="Arial"/>
          <w:szCs w:val="16"/>
        </w:rPr>
      </w:pPr>
    </w:p>
    <w:p w14:paraId="68131FA8" w14:textId="2EDA26DD" w:rsidR="000126F3" w:rsidRPr="000126F3" w:rsidRDefault="000126F3" w:rsidP="000126F3">
      <w:pPr>
        <w:spacing w:line="276" w:lineRule="auto"/>
        <w:rPr>
          <w:rFonts w:eastAsia="MS Mincho" w:cs="Arial"/>
          <w:szCs w:val="16"/>
        </w:rPr>
      </w:pPr>
      <w:r w:rsidRPr="000126F3">
        <w:rPr>
          <w:rFonts w:eastAsia="MS Mincho" w:cs="Arial"/>
          <w:szCs w:val="16"/>
        </w:rPr>
        <w:t>The increase in cash generation was primarily driven by a £7.</w:t>
      </w:r>
      <w:r w:rsidR="003E3A91">
        <w:rPr>
          <w:rFonts w:eastAsia="MS Mincho" w:cs="Arial"/>
          <w:szCs w:val="16"/>
        </w:rPr>
        <w:t>2</w:t>
      </w:r>
      <w:r w:rsidR="003E3A91" w:rsidRPr="000126F3">
        <w:rPr>
          <w:rFonts w:eastAsia="MS Mincho" w:cs="Arial"/>
          <w:szCs w:val="16"/>
        </w:rPr>
        <w:t xml:space="preserve"> </w:t>
      </w:r>
      <w:r w:rsidRPr="000126F3">
        <w:rPr>
          <w:rFonts w:eastAsia="MS Mincho" w:cs="Arial"/>
          <w:szCs w:val="16"/>
        </w:rPr>
        <w:t>million working capital inflow (FY</w:t>
      </w:r>
      <w:r w:rsidR="0066223C">
        <w:rPr>
          <w:rFonts w:eastAsia="MS Mincho" w:cs="Arial"/>
          <w:szCs w:val="16"/>
        </w:rPr>
        <w:t>20</w:t>
      </w:r>
      <w:r w:rsidRPr="000126F3">
        <w:rPr>
          <w:rFonts w:eastAsia="MS Mincho" w:cs="Arial"/>
          <w:szCs w:val="16"/>
        </w:rPr>
        <w:t>25: £</w:t>
      </w:r>
      <w:r w:rsidR="003E3A91">
        <w:rPr>
          <w:rFonts w:eastAsia="MS Mincho" w:cs="Arial"/>
          <w:szCs w:val="16"/>
        </w:rPr>
        <w:t>8</w:t>
      </w:r>
      <w:r w:rsidR="00291672">
        <w:rPr>
          <w:rFonts w:eastAsia="MS Mincho" w:cs="Arial"/>
          <w:szCs w:val="16"/>
        </w:rPr>
        <w:t>.</w:t>
      </w:r>
      <w:r w:rsidR="003E3A91">
        <w:rPr>
          <w:rFonts w:eastAsia="MS Mincho" w:cs="Arial"/>
          <w:szCs w:val="16"/>
        </w:rPr>
        <w:t>3</w:t>
      </w:r>
      <w:r w:rsidRPr="000126F3">
        <w:rPr>
          <w:rFonts w:eastAsia="MS Mincho" w:cs="Arial"/>
          <w:szCs w:val="16"/>
        </w:rPr>
        <w:t xml:space="preserve"> million outflow), reflecting a normalisation of inventory levels, particularly in Europe. In the prior year, inventory had been elevated following supply chain disruptions at a key retail partner; this reversed during FY</w:t>
      </w:r>
      <w:r w:rsidR="00DB7479">
        <w:rPr>
          <w:rFonts w:eastAsia="MS Mincho" w:cs="Arial"/>
          <w:szCs w:val="16"/>
        </w:rPr>
        <w:t>20</w:t>
      </w:r>
      <w:r w:rsidRPr="000126F3">
        <w:rPr>
          <w:rFonts w:eastAsia="MS Mincho" w:cs="Arial"/>
          <w:szCs w:val="16"/>
        </w:rPr>
        <w:t>26 as stock levels reduced, releas</w:t>
      </w:r>
      <w:r w:rsidR="00581BC1">
        <w:rPr>
          <w:rFonts w:eastAsia="MS Mincho" w:cs="Arial"/>
          <w:szCs w:val="16"/>
        </w:rPr>
        <w:t>ing</w:t>
      </w:r>
      <w:r w:rsidRPr="000126F3">
        <w:rPr>
          <w:rFonts w:eastAsia="MS Mincho" w:cs="Arial"/>
          <w:szCs w:val="16"/>
        </w:rPr>
        <w:t xml:space="preserve"> cash.</w:t>
      </w:r>
    </w:p>
    <w:p w14:paraId="4D92AFAA" w14:textId="77777777" w:rsidR="00927F10" w:rsidRDefault="00927F10" w:rsidP="000126F3">
      <w:pPr>
        <w:spacing w:line="276" w:lineRule="auto"/>
        <w:rPr>
          <w:rFonts w:eastAsia="MS Mincho" w:cs="Arial"/>
          <w:szCs w:val="16"/>
        </w:rPr>
      </w:pPr>
    </w:p>
    <w:p w14:paraId="40B25077" w14:textId="6D8F9DFA" w:rsidR="000126F3" w:rsidRDefault="000126F3" w:rsidP="000126F3">
      <w:pPr>
        <w:spacing w:line="276" w:lineRule="auto"/>
        <w:rPr>
          <w:rFonts w:eastAsia="MS Mincho" w:cs="Arial"/>
          <w:szCs w:val="16"/>
        </w:rPr>
      </w:pPr>
      <w:r w:rsidRPr="000126F3">
        <w:rPr>
          <w:rFonts w:eastAsia="MS Mincho" w:cs="Arial"/>
          <w:szCs w:val="16"/>
        </w:rPr>
        <w:t>Cash flows also benefi</w:t>
      </w:r>
      <w:r w:rsidR="001C075A">
        <w:rPr>
          <w:rFonts w:eastAsia="MS Mincho" w:cs="Arial"/>
          <w:szCs w:val="16"/>
        </w:rPr>
        <w:t>t</w:t>
      </w:r>
      <w:r w:rsidRPr="000126F3">
        <w:rPr>
          <w:rFonts w:eastAsia="MS Mincho" w:cs="Arial"/>
          <w:szCs w:val="16"/>
        </w:rPr>
        <w:t>ted from the disposal of a surplus UK warehouse, generating £3</w:t>
      </w:r>
      <w:r w:rsidR="00A408C9">
        <w:rPr>
          <w:rFonts w:eastAsia="MS Mincho" w:cs="Arial"/>
          <w:szCs w:val="16"/>
        </w:rPr>
        <w:t>.0</w:t>
      </w:r>
      <w:r w:rsidRPr="000126F3">
        <w:rPr>
          <w:rFonts w:eastAsia="MS Mincho" w:cs="Arial"/>
          <w:szCs w:val="16"/>
        </w:rPr>
        <w:t xml:space="preserve"> million of </w:t>
      </w:r>
      <w:r w:rsidR="00A408C9">
        <w:rPr>
          <w:rFonts w:eastAsia="MS Mincho" w:cs="Arial"/>
          <w:szCs w:val="16"/>
        </w:rPr>
        <w:t xml:space="preserve">net </w:t>
      </w:r>
      <w:r w:rsidRPr="000126F3">
        <w:rPr>
          <w:rFonts w:eastAsia="MS Mincho" w:cs="Arial"/>
          <w:szCs w:val="16"/>
        </w:rPr>
        <w:t>proceeds, further strengthening the Group’s liquidity position.</w:t>
      </w:r>
    </w:p>
    <w:p w14:paraId="75E6E718" w14:textId="77777777" w:rsidR="00581BC1" w:rsidRDefault="00581BC1" w:rsidP="000126F3">
      <w:pPr>
        <w:spacing w:line="276" w:lineRule="auto"/>
        <w:rPr>
          <w:rFonts w:eastAsia="MS Mincho" w:cs="Arial"/>
          <w:szCs w:val="16"/>
        </w:rPr>
      </w:pPr>
    </w:p>
    <w:p w14:paraId="33A000F7" w14:textId="6AF338B2" w:rsidR="00581BC1" w:rsidRDefault="00581BC1" w:rsidP="00581BC1">
      <w:pPr>
        <w:spacing w:line="276" w:lineRule="auto"/>
        <w:rPr>
          <w:rFonts w:eastAsia="MS Mincho" w:cs="Arial"/>
          <w:szCs w:val="16"/>
        </w:rPr>
      </w:pPr>
      <w:r w:rsidRPr="00581BC1">
        <w:rPr>
          <w:rFonts w:eastAsia="MS Mincho" w:cs="Arial"/>
          <w:szCs w:val="16"/>
        </w:rPr>
        <w:t>Capital expenditure was</w:t>
      </w:r>
      <w:r>
        <w:rPr>
          <w:rFonts w:eastAsia="MS Mincho" w:cs="Arial"/>
          <w:szCs w:val="16"/>
        </w:rPr>
        <w:t xml:space="preserve"> largely</w:t>
      </w:r>
      <w:r w:rsidRPr="00581BC1">
        <w:rPr>
          <w:rFonts w:eastAsia="MS Mincho" w:cs="Arial"/>
          <w:szCs w:val="16"/>
        </w:rPr>
        <w:t xml:space="preserve"> in line with the prior year, with outflows </w:t>
      </w:r>
      <w:r>
        <w:rPr>
          <w:rFonts w:eastAsia="MS Mincho" w:cs="Arial"/>
          <w:szCs w:val="16"/>
        </w:rPr>
        <w:t>predominantly</w:t>
      </w:r>
      <w:r w:rsidRPr="00581BC1">
        <w:rPr>
          <w:rFonts w:eastAsia="MS Mincho" w:cs="Arial"/>
          <w:szCs w:val="16"/>
        </w:rPr>
        <w:t xml:space="preserve"> relating to maintenance capex, alongside investment </w:t>
      </w:r>
      <w:r w:rsidR="00A408C9">
        <w:rPr>
          <w:rFonts w:eastAsia="MS Mincho" w:cs="Arial"/>
          <w:szCs w:val="16"/>
        </w:rPr>
        <w:t xml:space="preserve">such as </w:t>
      </w:r>
      <w:r w:rsidRPr="00581BC1">
        <w:rPr>
          <w:rFonts w:eastAsia="MS Mincho" w:cs="Arial"/>
          <w:szCs w:val="16"/>
        </w:rPr>
        <w:t>electric forklifts following the relocation of the DG Australia warehouse.</w:t>
      </w:r>
    </w:p>
    <w:p w14:paraId="42A8F8DE" w14:textId="77777777" w:rsidR="005D6595" w:rsidRDefault="005D6595" w:rsidP="00581BC1">
      <w:pPr>
        <w:spacing w:line="276" w:lineRule="auto"/>
        <w:rPr>
          <w:rFonts w:eastAsia="MS Mincho" w:cs="Arial"/>
          <w:szCs w:val="16"/>
        </w:rPr>
      </w:pPr>
    </w:p>
    <w:p w14:paraId="7C483528" w14:textId="1D432675" w:rsidR="001154E1" w:rsidRPr="00545100" w:rsidRDefault="00E7763A" w:rsidP="001154E1">
      <w:pPr>
        <w:spacing w:line="276" w:lineRule="auto"/>
        <w:rPr>
          <w:rFonts w:eastAsia="MS Mincho" w:cs="Arial"/>
          <w:szCs w:val="16"/>
        </w:rPr>
      </w:pPr>
      <w:r>
        <w:rPr>
          <w:rFonts w:eastAsia="MS Mincho" w:cs="Arial"/>
          <w:szCs w:val="16"/>
        </w:rPr>
        <w:t>Overall cash movements in the year are also impacted by interest</w:t>
      </w:r>
      <w:r w:rsidR="001E02E5">
        <w:rPr>
          <w:rFonts w:eastAsia="MS Mincho" w:cs="Arial"/>
          <w:szCs w:val="16"/>
        </w:rPr>
        <w:t xml:space="preserve"> and</w:t>
      </w:r>
      <w:r>
        <w:rPr>
          <w:rFonts w:eastAsia="MS Mincho" w:cs="Arial"/>
          <w:szCs w:val="16"/>
        </w:rPr>
        <w:t xml:space="preserve"> tax payments</w:t>
      </w:r>
      <w:r w:rsidR="00AC0C63">
        <w:rPr>
          <w:rFonts w:eastAsia="MS Mincho" w:cs="Arial"/>
          <w:szCs w:val="16"/>
        </w:rPr>
        <w:t>, with</w:t>
      </w:r>
      <w:r w:rsidR="00A85826">
        <w:rPr>
          <w:rFonts w:eastAsia="MS Mincho" w:cs="Arial"/>
          <w:szCs w:val="16"/>
        </w:rPr>
        <w:t xml:space="preserve"> lower t</w:t>
      </w:r>
      <w:r w:rsidR="00962DBC">
        <w:rPr>
          <w:rFonts w:eastAsia="MS Mincho" w:cs="Arial"/>
          <w:szCs w:val="16"/>
        </w:rPr>
        <w:t xml:space="preserve">ax payments </w:t>
      </w:r>
      <w:r w:rsidR="00FE5D48">
        <w:rPr>
          <w:rFonts w:eastAsia="MS Mincho" w:cs="Arial"/>
          <w:szCs w:val="16"/>
        </w:rPr>
        <w:t>reflect</w:t>
      </w:r>
      <w:r w:rsidR="00AC0C63">
        <w:rPr>
          <w:rFonts w:eastAsia="MS Mincho" w:cs="Arial"/>
          <w:szCs w:val="16"/>
        </w:rPr>
        <w:t>ing</w:t>
      </w:r>
      <w:r w:rsidR="00FE5D48">
        <w:rPr>
          <w:rFonts w:eastAsia="MS Mincho" w:cs="Arial"/>
          <w:szCs w:val="16"/>
        </w:rPr>
        <w:t xml:space="preserve"> the impact of reduced profitability </w:t>
      </w:r>
      <w:r w:rsidR="001F3AAC">
        <w:rPr>
          <w:rFonts w:eastAsia="MS Mincho" w:cs="Arial"/>
          <w:szCs w:val="16"/>
        </w:rPr>
        <w:t xml:space="preserve">in </w:t>
      </w:r>
      <w:r w:rsidR="002864CB">
        <w:rPr>
          <w:rFonts w:eastAsia="MS Mincho" w:cs="Arial"/>
          <w:szCs w:val="16"/>
        </w:rPr>
        <w:t>Europe in the prior year.</w:t>
      </w:r>
    </w:p>
    <w:p w14:paraId="4EFA406D" w14:textId="77777777" w:rsidR="007937FA" w:rsidRDefault="007937FA" w:rsidP="00545100">
      <w:pPr>
        <w:spacing w:line="276" w:lineRule="auto"/>
        <w:rPr>
          <w:rFonts w:eastAsia="MS Mincho" w:cs="Arial"/>
          <w:szCs w:val="16"/>
        </w:rPr>
      </w:pPr>
    </w:p>
    <w:p w14:paraId="622FC651" w14:textId="7EA3833D" w:rsidR="005517C7" w:rsidRDefault="007937FA" w:rsidP="005517C7">
      <w:pPr>
        <w:spacing w:line="276" w:lineRule="auto"/>
        <w:rPr>
          <w:rFonts w:eastAsia="MS Mincho" w:cs="Arial"/>
          <w:szCs w:val="16"/>
        </w:rPr>
      </w:pPr>
      <w:r>
        <w:rPr>
          <w:rFonts w:eastAsia="MS Mincho" w:cs="Arial"/>
          <w:szCs w:val="16"/>
        </w:rPr>
        <w:t xml:space="preserve">Cash movements also include one-off impacts relating to </w:t>
      </w:r>
      <w:r w:rsidR="00B8299D" w:rsidRPr="00B8299D">
        <w:rPr>
          <w:rFonts w:eastAsia="MS Mincho" w:cs="Arial"/>
          <w:szCs w:val="16"/>
        </w:rPr>
        <w:t>DG Americas</w:t>
      </w:r>
      <w:r>
        <w:rPr>
          <w:rFonts w:eastAsia="MS Mincho" w:cs="Arial"/>
          <w:szCs w:val="16"/>
        </w:rPr>
        <w:t xml:space="preserve"> of </w:t>
      </w:r>
      <w:r w:rsidR="00B8299D">
        <w:rPr>
          <w:rFonts w:eastAsia="MS Mincho" w:cs="Arial"/>
          <w:szCs w:val="16"/>
        </w:rPr>
        <w:t>£</w:t>
      </w:r>
      <w:r w:rsidR="000727C5">
        <w:rPr>
          <w:rFonts w:eastAsia="MS Mincho" w:cs="Arial"/>
          <w:szCs w:val="16"/>
        </w:rPr>
        <w:t>27</w:t>
      </w:r>
      <w:r w:rsidR="00B8299D">
        <w:rPr>
          <w:rFonts w:eastAsia="MS Mincho" w:cs="Arial"/>
          <w:szCs w:val="16"/>
        </w:rPr>
        <w:t>.</w:t>
      </w:r>
      <w:r w:rsidR="000727C5">
        <w:rPr>
          <w:rFonts w:eastAsia="MS Mincho" w:cs="Arial"/>
          <w:szCs w:val="16"/>
        </w:rPr>
        <w:t>2</w:t>
      </w:r>
      <w:r w:rsidR="000727C5" w:rsidRPr="00B8299D">
        <w:rPr>
          <w:rFonts w:eastAsia="MS Mincho" w:cs="Arial"/>
          <w:szCs w:val="16"/>
        </w:rPr>
        <w:t xml:space="preserve"> </w:t>
      </w:r>
      <w:r w:rsidR="00B8299D" w:rsidRPr="00B8299D">
        <w:rPr>
          <w:rFonts w:eastAsia="MS Mincho" w:cs="Arial"/>
          <w:szCs w:val="16"/>
        </w:rPr>
        <w:t>million</w:t>
      </w:r>
      <w:r w:rsidR="00350C06">
        <w:rPr>
          <w:rFonts w:eastAsia="MS Mincho" w:cs="Arial"/>
          <w:szCs w:val="16"/>
        </w:rPr>
        <w:t>,</w:t>
      </w:r>
      <w:r>
        <w:rPr>
          <w:rFonts w:eastAsia="MS Mincho" w:cs="Arial"/>
          <w:szCs w:val="16"/>
        </w:rPr>
        <w:t xml:space="preserve"> which includes</w:t>
      </w:r>
      <w:r w:rsidR="00B8299D" w:rsidRPr="00B8299D">
        <w:rPr>
          <w:rFonts w:eastAsia="MS Mincho" w:cs="Arial"/>
          <w:szCs w:val="16"/>
        </w:rPr>
        <w:t xml:space="preserve"> </w:t>
      </w:r>
      <w:r w:rsidR="00B8299D">
        <w:rPr>
          <w:rFonts w:eastAsia="MS Mincho" w:cs="Arial"/>
          <w:szCs w:val="16"/>
        </w:rPr>
        <w:t>£</w:t>
      </w:r>
      <w:r w:rsidR="00C35F42">
        <w:rPr>
          <w:rFonts w:eastAsia="MS Mincho" w:cs="Arial"/>
          <w:szCs w:val="16"/>
        </w:rPr>
        <w:t>7.9</w:t>
      </w:r>
      <w:r w:rsidR="00B8299D" w:rsidRPr="00B8299D">
        <w:rPr>
          <w:rFonts w:eastAsia="MS Mincho" w:cs="Arial"/>
          <w:szCs w:val="16"/>
        </w:rPr>
        <w:t xml:space="preserve"> million of cash balance on disposal, and </w:t>
      </w:r>
      <w:r w:rsidR="00B8299D">
        <w:rPr>
          <w:rFonts w:eastAsia="MS Mincho" w:cs="Arial"/>
          <w:szCs w:val="16"/>
        </w:rPr>
        <w:t>£</w:t>
      </w:r>
      <w:r w:rsidR="00B8299D" w:rsidRPr="00B8299D">
        <w:rPr>
          <w:rFonts w:eastAsia="MS Mincho" w:cs="Arial"/>
          <w:szCs w:val="16"/>
        </w:rPr>
        <w:t>1.</w:t>
      </w:r>
      <w:r w:rsidR="00B8299D">
        <w:rPr>
          <w:rFonts w:eastAsia="MS Mincho" w:cs="Arial"/>
          <w:szCs w:val="16"/>
        </w:rPr>
        <w:t>4</w:t>
      </w:r>
      <w:r w:rsidR="00B8299D" w:rsidRPr="00B8299D">
        <w:rPr>
          <w:rFonts w:eastAsia="MS Mincho" w:cs="Arial"/>
          <w:szCs w:val="16"/>
        </w:rPr>
        <w:t xml:space="preserve"> million of disposal costs. See note </w:t>
      </w:r>
      <w:r w:rsidR="006A5966">
        <w:rPr>
          <w:rFonts w:eastAsia="MS Mincho" w:cs="Arial"/>
          <w:szCs w:val="16"/>
        </w:rPr>
        <w:t>4</w:t>
      </w:r>
      <w:r w:rsidR="00B8299D" w:rsidRPr="00B8299D">
        <w:rPr>
          <w:rFonts w:eastAsia="MS Mincho" w:cs="Arial"/>
          <w:szCs w:val="16"/>
        </w:rPr>
        <w:t xml:space="preserve"> for further details</w:t>
      </w:r>
      <w:r>
        <w:rPr>
          <w:rFonts w:eastAsia="MS Mincho" w:cs="Arial"/>
          <w:szCs w:val="16"/>
        </w:rPr>
        <w:t xml:space="preserve">. </w:t>
      </w:r>
    </w:p>
    <w:p w14:paraId="437FB24D" w14:textId="77777777" w:rsidR="005517C7" w:rsidRDefault="005517C7" w:rsidP="005517C7">
      <w:pPr>
        <w:spacing w:line="276" w:lineRule="auto"/>
        <w:rPr>
          <w:rFonts w:eastAsia="MS Mincho" w:cs="Arial"/>
          <w:szCs w:val="16"/>
        </w:rPr>
      </w:pPr>
    </w:p>
    <w:p w14:paraId="53CA7024" w14:textId="577EB383" w:rsidR="005517C7" w:rsidRDefault="005517C7" w:rsidP="005517C7">
      <w:pPr>
        <w:spacing w:line="276" w:lineRule="auto"/>
        <w:rPr>
          <w:rFonts w:eastAsia="MS Mincho" w:cs="Arial"/>
          <w:szCs w:val="16"/>
        </w:rPr>
      </w:pPr>
      <w:r w:rsidRPr="00545100">
        <w:rPr>
          <w:rFonts w:eastAsia="MS Mincho" w:cs="Arial"/>
          <w:szCs w:val="16"/>
        </w:rPr>
        <w:t>As a result, the Group closed the year with net cash of £54.</w:t>
      </w:r>
      <w:r w:rsidR="001A08FC">
        <w:rPr>
          <w:rFonts w:eastAsia="MS Mincho" w:cs="Arial"/>
          <w:szCs w:val="16"/>
        </w:rPr>
        <w:t>6</w:t>
      </w:r>
      <w:r w:rsidR="001A08FC" w:rsidRPr="00545100">
        <w:rPr>
          <w:rFonts w:eastAsia="MS Mincho" w:cs="Arial"/>
          <w:szCs w:val="16"/>
        </w:rPr>
        <w:t xml:space="preserve"> </w:t>
      </w:r>
      <w:r w:rsidRPr="00545100">
        <w:rPr>
          <w:rFonts w:eastAsia="MS Mincho" w:cs="Arial"/>
          <w:szCs w:val="16"/>
        </w:rPr>
        <w:t>million (FY</w:t>
      </w:r>
      <w:r w:rsidR="00291672">
        <w:rPr>
          <w:rFonts w:eastAsia="MS Mincho" w:cs="Arial"/>
          <w:szCs w:val="16"/>
        </w:rPr>
        <w:t>20</w:t>
      </w:r>
      <w:r w:rsidRPr="00545100">
        <w:rPr>
          <w:rFonts w:eastAsia="MS Mincho" w:cs="Arial"/>
          <w:szCs w:val="16"/>
        </w:rPr>
        <w:t>25: £</w:t>
      </w:r>
      <w:r w:rsidR="001A08FC" w:rsidRPr="00545100">
        <w:rPr>
          <w:rFonts w:eastAsia="MS Mincho" w:cs="Arial"/>
          <w:szCs w:val="16"/>
        </w:rPr>
        <w:t>6</w:t>
      </w:r>
      <w:r w:rsidR="001A08FC">
        <w:rPr>
          <w:rFonts w:eastAsia="MS Mincho" w:cs="Arial"/>
          <w:szCs w:val="16"/>
        </w:rPr>
        <w:t>5</w:t>
      </w:r>
      <w:r w:rsidRPr="00545100">
        <w:rPr>
          <w:rFonts w:eastAsia="MS Mincho" w:cs="Arial"/>
          <w:szCs w:val="16"/>
        </w:rPr>
        <w:t>.</w:t>
      </w:r>
      <w:r w:rsidR="001A08FC">
        <w:rPr>
          <w:rFonts w:eastAsia="MS Mincho" w:cs="Arial"/>
          <w:szCs w:val="16"/>
        </w:rPr>
        <w:t>6</w:t>
      </w:r>
      <w:r w:rsidR="001A08FC" w:rsidRPr="00545100">
        <w:rPr>
          <w:rFonts w:eastAsia="MS Mincho" w:cs="Arial"/>
          <w:szCs w:val="16"/>
        </w:rPr>
        <w:t xml:space="preserve"> </w:t>
      </w:r>
      <w:r w:rsidRPr="00545100">
        <w:rPr>
          <w:rFonts w:eastAsia="MS Mincho" w:cs="Arial"/>
          <w:szCs w:val="16"/>
        </w:rPr>
        <w:t>million).</w:t>
      </w:r>
    </w:p>
    <w:p w14:paraId="07FEADA1" w14:textId="77777777" w:rsidR="00545100" w:rsidRPr="00545100" w:rsidRDefault="00545100" w:rsidP="00545100">
      <w:pPr>
        <w:spacing w:line="276" w:lineRule="auto"/>
        <w:rPr>
          <w:rFonts w:eastAsia="MS Mincho" w:cs="Arial"/>
          <w:szCs w:val="16"/>
        </w:rPr>
      </w:pPr>
    </w:p>
    <w:p w14:paraId="5D5C8397" w14:textId="77777777" w:rsidR="008858D5" w:rsidRPr="00124DCE" w:rsidRDefault="008858D5" w:rsidP="00A36EA9">
      <w:pPr>
        <w:pStyle w:val="Heading2"/>
        <w:rPr>
          <w:rFonts w:eastAsia="MS Mincho" w:cs="Arial"/>
          <w:i/>
          <w:szCs w:val="16"/>
        </w:rPr>
      </w:pPr>
      <w:r w:rsidRPr="00A36EA9">
        <w:rPr>
          <w:sz w:val="16"/>
          <w:szCs w:val="16"/>
        </w:rPr>
        <w:t xml:space="preserve">Average leverage </w:t>
      </w:r>
    </w:p>
    <w:p w14:paraId="5199FF64" w14:textId="3484654E" w:rsidR="00B458CA" w:rsidRPr="00B458CA" w:rsidRDefault="00B458CA" w:rsidP="008858D5">
      <w:pPr>
        <w:spacing w:line="276" w:lineRule="auto"/>
        <w:rPr>
          <w:rFonts w:eastAsia="MS Mincho" w:cs="Arial"/>
          <w:szCs w:val="16"/>
        </w:rPr>
      </w:pPr>
      <w:r w:rsidRPr="00B458CA">
        <w:rPr>
          <w:rFonts w:eastAsia="MS Mincho" w:cs="Arial"/>
          <w:szCs w:val="16"/>
        </w:rPr>
        <w:t xml:space="preserve">Average leverage remains a key indicator of the Group’s balance sheet strength and liquidity management, given the seasonal nature of working capital requirements. </w:t>
      </w:r>
      <w:r w:rsidR="00A408C9">
        <w:rPr>
          <w:rFonts w:eastAsia="MS Mincho" w:cs="Arial"/>
          <w:szCs w:val="16"/>
        </w:rPr>
        <w:t>T</w:t>
      </w:r>
      <w:r w:rsidRPr="00B458CA">
        <w:rPr>
          <w:rFonts w:eastAsia="MS Mincho" w:cs="Arial"/>
          <w:szCs w:val="16"/>
        </w:rPr>
        <w:t>he Group maintained a</w:t>
      </w:r>
      <w:r w:rsidR="00A408C9">
        <w:rPr>
          <w:rFonts w:eastAsia="MS Mincho" w:cs="Arial"/>
          <w:szCs w:val="16"/>
        </w:rPr>
        <w:t>n average</w:t>
      </w:r>
      <w:r w:rsidRPr="00B458CA">
        <w:rPr>
          <w:rFonts w:eastAsia="MS Mincho" w:cs="Arial"/>
          <w:szCs w:val="16"/>
        </w:rPr>
        <w:t xml:space="preserve"> net cash position, resulting in average leverage of 0.0x (FY2025: 0.0x), supported by an average net cash balance of £23.9 million (FY2025: £31.7 million). This reflects continued discipline in cash management and ensures adequate headroom within banking facilities during peak funding periods.</w:t>
      </w:r>
    </w:p>
    <w:p w14:paraId="324A32B0" w14:textId="77777777" w:rsidR="00B458CA" w:rsidRPr="00B458CA" w:rsidRDefault="00B458CA" w:rsidP="008858D5">
      <w:pPr>
        <w:spacing w:line="276" w:lineRule="auto"/>
        <w:rPr>
          <w:rFonts w:eastAsia="MS Mincho" w:cs="Arial"/>
          <w:szCs w:val="16"/>
        </w:rPr>
      </w:pPr>
    </w:p>
    <w:p w14:paraId="2E2D4DAA" w14:textId="77777777" w:rsidR="008858D5" w:rsidRPr="00B458CA" w:rsidRDefault="008858D5" w:rsidP="008858D5">
      <w:pPr>
        <w:spacing w:line="276" w:lineRule="auto"/>
        <w:rPr>
          <w:rFonts w:eastAsia="MS Mincho" w:cs="Arial"/>
          <w:szCs w:val="16"/>
        </w:rPr>
      </w:pPr>
      <w:r w:rsidRPr="00B458CA">
        <w:rPr>
          <w:rFonts w:eastAsia="MS Mincho" w:cs="Arial"/>
          <w:szCs w:val="16"/>
        </w:rPr>
        <w:t>The definition of average leverage excludes lease liabilities from the measurement of debt, with adjusted EBITDA correspondingly reduced for lease payments, consistent with the methodology applied in prior periods.</w:t>
      </w:r>
    </w:p>
    <w:p w14:paraId="1B0947BB" w14:textId="77777777" w:rsidR="008858D5" w:rsidRPr="00B8452B" w:rsidRDefault="008858D5" w:rsidP="008858D5">
      <w:pPr>
        <w:spacing w:line="276" w:lineRule="auto"/>
        <w:rPr>
          <w:rFonts w:eastAsia="MS Mincho" w:cs="Arial"/>
          <w:szCs w:val="16"/>
        </w:rPr>
      </w:pPr>
    </w:p>
    <w:p w14:paraId="4E1183A9" w14:textId="77777777" w:rsidR="008858D5" w:rsidRPr="00B458CA" w:rsidRDefault="008858D5" w:rsidP="00A36EA9">
      <w:pPr>
        <w:pStyle w:val="Heading2"/>
        <w:rPr>
          <w:rFonts w:eastAsia="MS Mincho" w:cs="Arial"/>
          <w:i/>
          <w:szCs w:val="16"/>
        </w:rPr>
      </w:pPr>
      <w:r w:rsidRPr="00A36EA9">
        <w:rPr>
          <w:sz w:val="16"/>
          <w:szCs w:val="16"/>
        </w:rPr>
        <w:lastRenderedPageBreak/>
        <w:t xml:space="preserve">Banking facilities </w:t>
      </w:r>
    </w:p>
    <w:p w14:paraId="7986B79F" w14:textId="5686F8D2" w:rsidR="008858D5" w:rsidRPr="00AD1CC4" w:rsidRDefault="00AD1CC4" w:rsidP="008858D5">
      <w:pPr>
        <w:spacing w:line="276" w:lineRule="auto"/>
        <w:rPr>
          <w:rFonts w:eastAsia="MS Mincho" w:cs="Arial"/>
          <w:szCs w:val="16"/>
        </w:rPr>
      </w:pPr>
      <w:r w:rsidRPr="00AD1CC4">
        <w:rPr>
          <w:rFonts w:eastAsia="MS Mincho" w:cs="Arial"/>
          <w:szCs w:val="16"/>
        </w:rPr>
        <w:t xml:space="preserve">On 11 July 2025, the Group entered into a new Receivables Finance </w:t>
      </w:r>
      <w:r w:rsidR="00ED6ACC">
        <w:rPr>
          <w:rFonts w:eastAsia="MS Mincho" w:cs="Arial"/>
          <w:szCs w:val="16"/>
        </w:rPr>
        <w:t>f</w:t>
      </w:r>
      <w:r w:rsidR="00ED6ACC" w:rsidRPr="00AD1CC4">
        <w:rPr>
          <w:rFonts w:eastAsia="MS Mincho" w:cs="Arial"/>
          <w:szCs w:val="16"/>
        </w:rPr>
        <w:t xml:space="preserve">acility </w:t>
      </w:r>
      <w:r w:rsidRPr="00AD1CC4">
        <w:rPr>
          <w:rFonts w:eastAsia="MS Mincho" w:cs="Arial"/>
          <w:szCs w:val="16"/>
        </w:rPr>
        <w:t xml:space="preserve">with HSBC and NatWest. The facility has an initial minimum period of 36 months and </w:t>
      </w:r>
      <w:r w:rsidR="001F4761">
        <w:rPr>
          <w:rFonts w:eastAsia="MS Mincho" w:cs="Arial"/>
          <w:szCs w:val="16"/>
        </w:rPr>
        <w:t xml:space="preserve">a </w:t>
      </w:r>
      <w:r w:rsidRPr="00AD1CC4">
        <w:rPr>
          <w:rFonts w:eastAsia="MS Mincho" w:cs="Arial"/>
          <w:szCs w:val="16"/>
        </w:rPr>
        <w:t>provides maximum £40 million borrowing base linked to eligible receivables across</w:t>
      </w:r>
      <w:r w:rsidRPr="00AD1CC4" w:rsidDel="007955A4">
        <w:rPr>
          <w:rFonts w:eastAsia="MS Mincho" w:cs="Arial"/>
          <w:szCs w:val="16"/>
        </w:rPr>
        <w:t xml:space="preserve"> </w:t>
      </w:r>
      <w:r w:rsidRPr="00AD1CC4">
        <w:rPr>
          <w:rFonts w:eastAsia="MS Mincho" w:cs="Arial"/>
          <w:szCs w:val="16"/>
        </w:rPr>
        <w:t xml:space="preserve">participating Group companies. Availability under the facility is determined by reference to the value of receivables, subject to eligibility criteria and concentration limits. The facility does not include financial ratio covenants but is subject to certain operational covenants. Further details are set out in note </w:t>
      </w:r>
      <w:r w:rsidR="006A5966">
        <w:rPr>
          <w:rFonts w:eastAsia="MS Mincho" w:cs="Arial"/>
          <w:szCs w:val="16"/>
        </w:rPr>
        <w:t>1</w:t>
      </w:r>
      <w:r w:rsidR="008A6048">
        <w:rPr>
          <w:rFonts w:eastAsia="MS Mincho" w:cs="Arial"/>
          <w:szCs w:val="16"/>
        </w:rPr>
        <w:t>5</w:t>
      </w:r>
      <w:r w:rsidRPr="00AD1CC4">
        <w:rPr>
          <w:rFonts w:eastAsia="MS Mincho" w:cs="Arial"/>
          <w:szCs w:val="16"/>
        </w:rPr>
        <w:t>.</w:t>
      </w:r>
    </w:p>
    <w:p w14:paraId="55300939" w14:textId="77777777" w:rsidR="008858D5" w:rsidRPr="00B8452B" w:rsidRDefault="008858D5" w:rsidP="008858D5">
      <w:pPr>
        <w:spacing w:line="276" w:lineRule="auto"/>
        <w:rPr>
          <w:rFonts w:eastAsia="MS Mincho" w:cs="Arial"/>
          <w:szCs w:val="16"/>
        </w:rPr>
      </w:pPr>
    </w:p>
    <w:p w14:paraId="2EDEA4D4" w14:textId="77777777" w:rsidR="008858D5" w:rsidRPr="00F911AA" w:rsidRDefault="008858D5" w:rsidP="00A36EA9">
      <w:pPr>
        <w:pStyle w:val="Heading2"/>
        <w:rPr>
          <w:rFonts w:eastAsia="MS Mincho" w:cs="Arial"/>
          <w:szCs w:val="16"/>
        </w:rPr>
      </w:pPr>
      <w:r w:rsidRPr="00A36EA9">
        <w:rPr>
          <w:sz w:val="16"/>
          <w:szCs w:val="16"/>
        </w:rPr>
        <w:t>Foreign exchange exposure management</w:t>
      </w:r>
      <w:r w:rsidRPr="00F911AA">
        <w:rPr>
          <w:rFonts w:eastAsia="MS Mincho" w:cs="Arial"/>
          <w:bCs/>
          <w:szCs w:val="16"/>
        </w:rPr>
        <w:t xml:space="preserve"> </w:t>
      </w:r>
    </w:p>
    <w:p w14:paraId="2E6619AE" w14:textId="7A41BE32" w:rsidR="008858D5" w:rsidRDefault="008858D5" w:rsidP="008858D5">
      <w:pPr>
        <w:spacing w:line="276" w:lineRule="auto"/>
        <w:rPr>
          <w:rFonts w:eastAsia="MS Mincho" w:cs="Arial"/>
          <w:szCs w:val="16"/>
        </w:rPr>
      </w:pPr>
      <w:r w:rsidRPr="00F911AA">
        <w:rPr>
          <w:rFonts w:eastAsia="MS Mincho" w:cs="Arial"/>
          <w:szCs w:val="16"/>
        </w:rPr>
        <w:t>The Group’s foreign exchange (FX) exposure is split into two areas:</w:t>
      </w:r>
      <w:r w:rsidR="00FD16F4" w:rsidRPr="00FD16F4">
        <w:t xml:space="preserve"> </w:t>
      </w:r>
      <w:r w:rsidR="00FD16F4" w:rsidRPr="00FD16F4">
        <w:rPr>
          <w:rFonts w:eastAsia="MS Mincho" w:cs="Arial"/>
          <w:szCs w:val="16"/>
        </w:rPr>
        <w:t>translational and transactional.</w:t>
      </w:r>
    </w:p>
    <w:p w14:paraId="42DE6814" w14:textId="77777777" w:rsidR="00570604" w:rsidRDefault="00570604" w:rsidP="008858D5">
      <w:pPr>
        <w:spacing w:line="276" w:lineRule="auto"/>
        <w:rPr>
          <w:rFonts w:eastAsia="MS Mincho" w:cs="Arial"/>
          <w:szCs w:val="16"/>
        </w:rPr>
      </w:pPr>
    </w:p>
    <w:p w14:paraId="17F18258" w14:textId="2CA5ED18" w:rsidR="00F84E13" w:rsidRPr="00B8452B" w:rsidRDefault="00570604" w:rsidP="00F84E13">
      <w:pPr>
        <w:spacing w:line="276" w:lineRule="auto"/>
        <w:rPr>
          <w:rFonts w:eastAsia="MS Mincho" w:cs="Arial"/>
          <w:szCs w:val="16"/>
        </w:rPr>
      </w:pPr>
      <w:r w:rsidRPr="00F84E13">
        <w:rPr>
          <w:rFonts w:eastAsia="MS Mincho" w:cs="Arial"/>
          <w:i/>
          <w:iCs/>
          <w:szCs w:val="16"/>
        </w:rPr>
        <w:t>Translational FX exposure</w:t>
      </w:r>
      <w:r w:rsidRPr="00570604">
        <w:rPr>
          <w:rFonts w:eastAsia="MS Mincho" w:cs="Arial"/>
          <w:szCs w:val="16"/>
        </w:rPr>
        <w:t xml:space="preserve"> arises from the requirement to present the Group’s results in a single reporting currency. </w:t>
      </w:r>
      <w:r w:rsidR="003E3C02" w:rsidRPr="003E3C02">
        <w:rPr>
          <w:rFonts w:eastAsia="MS Mincho" w:cs="Arial"/>
          <w:szCs w:val="16"/>
        </w:rPr>
        <w:t>This necessitates the translation of our regional business units’ local currency financial results into the Group’s adopted reported currency.</w:t>
      </w:r>
      <w:r w:rsidR="00F84E13">
        <w:rPr>
          <w:rFonts w:eastAsia="MS Mincho" w:cs="Arial"/>
          <w:szCs w:val="16"/>
        </w:rPr>
        <w:t xml:space="preserve"> </w:t>
      </w:r>
      <w:r w:rsidRPr="00570604">
        <w:rPr>
          <w:rFonts w:eastAsia="MS Mincho" w:cs="Arial"/>
          <w:szCs w:val="16"/>
        </w:rPr>
        <w:t>Following the strategic review of the Group’s reporting approach, GBP has been adopted as the presentation currency for the consolidated financial statements in FY2026, reflecting the Group’s current structure and the reduced exposure to US</w:t>
      </w:r>
      <w:r w:rsidR="00210D35">
        <w:rPr>
          <w:rFonts w:eastAsia="MS Mincho" w:cs="Arial"/>
          <w:szCs w:val="16"/>
        </w:rPr>
        <w:t>D</w:t>
      </w:r>
      <w:r w:rsidR="00E23B08">
        <w:rPr>
          <w:rFonts w:eastAsia="MS Mincho" w:cs="Arial"/>
          <w:szCs w:val="16"/>
        </w:rPr>
        <w:t>-</w:t>
      </w:r>
      <w:r w:rsidRPr="00570604">
        <w:rPr>
          <w:rFonts w:eastAsia="MS Mincho" w:cs="Arial"/>
          <w:szCs w:val="16"/>
        </w:rPr>
        <w:t>denominated revenues and profits following the disposal of DG Americas. Prior period results have been translated into GBP</w:t>
      </w:r>
      <w:r w:rsidRPr="00F84E13">
        <w:rPr>
          <w:rFonts w:eastAsia="MS Mincho" w:cs="Arial"/>
          <w:szCs w:val="16"/>
        </w:rPr>
        <w:t>.</w:t>
      </w:r>
      <w:r w:rsidR="00F84E13" w:rsidRPr="00F84E13">
        <w:rPr>
          <w:rFonts w:eastAsia="MS Mincho" w:cs="Arial"/>
          <w:szCs w:val="16"/>
        </w:rPr>
        <w:t xml:space="preserve"> To aid comparability between periods, constant currency figures are provided by retranslating the prior year’s results using current year exchange rates</w:t>
      </w:r>
      <w:r w:rsidR="00F84E13" w:rsidRPr="000078AB">
        <w:rPr>
          <w:rFonts w:eastAsia="MS Mincho" w:cs="Arial"/>
          <w:szCs w:val="16"/>
        </w:rPr>
        <w:t>.</w:t>
      </w:r>
      <w:r w:rsidR="000078AB" w:rsidRPr="000078AB">
        <w:rPr>
          <w:rFonts w:eastAsia="MS Mincho" w:cs="Arial"/>
          <w:szCs w:val="16"/>
        </w:rPr>
        <w:t xml:space="preserve"> In FY2026, currency movements had a </w:t>
      </w:r>
      <w:r w:rsidR="001B2EF3" w:rsidRPr="00E225E3">
        <w:rPr>
          <w:rFonts w:eastAsia="MS Mincho" w:cs="Arial"/>
          <w:szCs w:val="16"/>
        </w:rPr>
        <w:t>modest</w:t>
      </w:r>
      <w:r w:rsidR="00221AC2" w:rsidRPr="00E225E3">
        <w:rPr>
          <w:rFonts w:eastAsia="MS Mincho" w:cs="Arial"/>
          <w:szCs w:val="16"/>
        </w:rPr>
        <w:t xml:space="preserve"> favourable</w:t>
      </w:r>
      <w:r w:rsidR="000078AB" w:rsidRPr="00E225E3">
        <w:rPr>
          <w:rFonts w:eastAsia="MS Mincho" w:cs="Arial"/>
          <w:szCs w:val="16"/>
        </w:rPr>
        <w:t xml:space="preserve"> impact. On a constant currency basis, the revenue decline would have been £</w:t>
      </w:r>
      <w:r w:rsidR="0027154D" w:rsidRPr="00E225E3">
        <w:rPr>
          <w:rFonts w:eastAsia="MS Mincho" w:cs="Arial"/>
          <w:szCs w:val="16"/>
        </w:rPr>
        <w:t>2.</w:t>
      </w:r>
      <w:r w:rsidR="00FB1A51" w:rsidRPr="00E225E3">
        <w:rPr>
          <w:rFonts w:eastAsia="MS Mincho" w:cs="Arial"/>
          <w:szCs w:val="16"/>
        </w:rPr>
        <w:t>2</w:t>
      </w:r>
      <w:r w:rsidR="000078AB" w:rsidRPr="00E225E3">
        <w:rPr>
          <w:rFonts w:eastAsia="MS Mincho" w:cs="Arial"/>
          <w:szCs w:val="16"/>
        </w:rPr>
        <w:t xml:space="preserve"> million higher, and the decline in adjusted profit before tax would have been £</w:t>
      </w:r>
      <w:r w:rsidR="00E225E3" w:rsidRPr="00E225E3">
        <w:rPr>
          <w:rFonts w:eastAsia="MS Mincho" w:cs="Arial"/>
          <w:szCs w:val="16"/>
        </w:rPr>
        <w:t>0.5</w:t>
      </w:r>
      <w:r w:rsidR="000078AB" w:rsidRPr="00E225E3">
        <w:rPr>
          <w:rFonts w:eastAsia="MS Mincho" w:cs="Arial"/>
          <w:szCs w:val="16"/>
        </w:rPr>
        <w:t xml:space="preserve"> million greater, had</w:t>
      </w:r>
      <w:r w:rsidR="000078AB" w:rsidRPr="000078AB">
        <w:rPr>
          <w:rFonts w:eastAsia="MS Mincho" w:cs="Arial"/>
          <w:szCs w:val="16"/>
        </w:rPr>
        <w:t xml:space="preserve"> FY2025 results been translated at FY2026 rates. </w:t>
      </w:r>
    </w:p>
    <w:p w14:paraId="3B195482" w14:textId="27221C79" w:rsidR="00570604" w:rsidRDefault="00570604" w:rsidP="00570604">
      <w:pPr>
        <w:spacing w:line="276" w:lineRule="auto"/>
        <w:rPr>
          <w:rFonts w:eastAsia="MS Mincho" w:cs="Arial"/>
          <w:szCs w:val="16"/>
        </w:rPr>
      </w:pPr>
    </w:p>
    <w:p w14:paraId="13E96C12" w14:textId="55CBCD13" w:rsidR="00570604" w:rsidRPr="00F911AA" w:rsidRDefault="00570604" w:rsidP="00570604">
      <w:pPr>
        <w:spacing w:line="276" w:lineRule="auto"/>
        <w:rPr>
          <w:rFonts w:eastAsia="MS Mincho" w:cs="Arial"/>
          <w:szCs w:val="16"/>
        </w:rPr>
      </w:pPr>
      <w:r w:rsidRPr="00F84E13">
        <w:rPr>
          <w:rFonts w:eastAsia="MS Mincho" w:cs="Arial"/>
          <w:i/>
          <w:iCs/>
          <w:szCs w:val="16"/>
        </w:rPr>
        <w:t>Transactional FX exposure</w:t>
      </w:r>
      <w:r w:rsidRPr="00570604">
        <w:rPr>
          <w:rFonts w:eastAsia="MS Mincho" w:cs="Arial"/>
          <w:szCs w:val="16"/>
        </w:rPr>
        <w:t xml:space="preserve"> is managed through a combination of natural hedging and active financial hedging. The Group seeks to mitigate the impact of foreign exchange movements by aligning purchases and sales in the same currency where possible, with the majority of this achieved through US dollar flows within the Group. Residual exposures are managed through the use of forward exchange contracts and similar derivatives, ensuring that foreign exchange volatility is minimised as far as practicable.</w:t>
      </w:r>
    </w:p>
    <w:p w14:paraId="1DF3F8B0" w14:textId="77777777" w:rsidR="008858D5" w:rsidRPr="00B8452B" w:rsidRDefault="008858D5" w:rsidP="008858D5">
      <w:pPr>
        <w:spacing w:line="276" w:lineRule="auto"/>
        <w:rPr>
          <w:rFonts w:eastAsia="MS Mincho" w:cs="Arial"/>
          <w:szCs w:val="16"/>
        </w:rPr>
      </w:pPr>
    </w:p>
    <w:p w14:paraId="13BB3C4A" w14:textId="77777777" w:rsidR="008858D5" w:rsidRPr="003970B0" w:rsidRDefault="008858D5" w:rsidP="00A36EA9">
      <w:pPr>
        <w:pStyle w:val="Heading2"/>
        <w:rPr>
          <w:rFonts w:eastAsia="MS Mincho" w:cs="Arial"/>
          <w:szCs w:val="16"/>
        </w:rPr>
      </w:pPr>
      <w:r w:rsidRPr="00A36EA9">
        <w:rPr>
          <w:sz w:val="16"/>
          <w:szCs w:val="16"/>
        </w:rPr>
        <w:t xml:space="preserve">Financial position and going concern basis </w:t>
      </w:r>
    </w:p>
    <w:p w14:paraId="1104A93E" w14:textId="407A1940" w:rsidR="008858D5" w:rsidRPr="000007C3" w:rsidRDefault="008858D5" w:rsidP="008858D5">
      <w:pPr>
        <w:spacing w:line="276" w:lineRule="auto"/>
        <w:rPr>
          <w:rFonts w:eastAsia="MS Mincho" w:cs="Arial"/>
          <w:szCs w:val="16"/>
        </w:rPr>
      </w:pPr>
      <w:r w:rsidRPr="00764E4E">
        <w:rPr>
          <w:rFonts w:eastAsia="MS Mincho" w:cs="Arial"/>
          <w:szCs w:val="16"/>
        </w:rPr>
        <w:t>The Group’s net assets</w:t>
      </w:r>
      <w:r w:rsidR="008D494C" w:rsidRPr="00764E4E">
        <w:rPr>
          <w:rFonts w:eastAsia="MS Mincho" w:cs="Arial"/>
          <w:szCs w:val="16"/>
        </w:rPr>
        <w:t xml:space="preserve"> as at </w:t>
      </w:r>
      <w:r w:rsidR="00C35AA8" w:rsidRPr="00764E4E">
        <w:rPr>
          <w:rFonts w:eastAsia="MS Mincho" w:cs="Arial"/>
          <w:szCs w:val="16"/>
        </w:rPr>
        <w:t>31</w:t>
      </w:r>
      <w:r w:rsidR="00764E4E" w:rsidRPr="00764E4E">
        <w:rPr>
          <w:rFonts w:eastAsia="MS Mincho" w:cs="Arial"/>
          <w:szCs w:val="16"/>
        </w:rPr>
        <w:t xml:space="preserve"> March 2026</w:t>
      </w:r>
      <w:r w:rsidR="00764E4E">
        <w:rPr>
          <w:rFonts w:eastAsia="MS Mincho" w:cs="Arial"/>
          <w:szCs w:val="16"/>
        </w:rPr>
        <w:t xml:space="preserve"> were </w:t>
      </w:r>
      <w:r w:rsidR="00CD0C3F">
        <w:rPr>
          <w:rFonts w:eastAsia="MS Mincho" w:cs="Arial"/>
          <w:szCs w:val="16"/>
        </w:rPr>
        <w:t>£</w:t>
      </w:r>
      <w:r w:rsidR="00764E4E">
        <w:rPr>
          <w:rFonts w:eastAsia="MS Mincho" w:cs="Arial"/>
          <w:szCs w:val="16"/>
        </w:rPr>
        <w:t>1</w:t>
      </w:r>
      <w:r w:rsidR="0096147F">
        <w:rPr>
          <w:rFonts w:eastAsia="MS Mincho" w:cs="Arial"/>
          <w:szCs w:val="16"/>
        </w:rPr>
        <w:t>06.6</w:t>
      </w:r>
      <w:r w:rsidR="00764E4E">
        <w:rPr>
          <w:rFonts w:eastAsia="MS Mincho" w:cs="Arial"/>
          <w:szCs w:val="16"/>
        </w:rPr>
        <w:t xml:space="preserve"> million</w:t>
      </w:r>
      <w:r w:rsidR="00347377">
        <w:rPr>
          <w:rFonts w:eastAsia="MS Mincho" w:cs="Arial"/>
          <w:szCs w:val="16"/>
        </w:rPr>
        <w:t>,</w:t>
      </w:r>
      <w:r w:rsidR="00764E4E">
        <w:rPr>
          <w:rFonts w:eastAsia="MS Mincho" w:cs="Arial"/>
          <w:szCs w:val="16"/>
        </w:rPr>
        <w:t xml:space="preserve"> which are </w:t>
      </w:r>
      <w:r w:rsidR="00944ECE">
        <w:rPr>
          <w:rFonts w:eastAsia="MS Mincho" w:cs="Arial"/>
          <w:szCs w:val="16"/>
        </w:rPr>
        <w:t>£</w:t>
      </w:r>
      <w:r w:rsidR="00AF0E71">
        <w:rPr>
          <w:rFonts w:eastAsia="MS Mincho" w:cs="Arial"/>
          <w:szCs w:val="16"/>
        </w:rPr>
        <w:t>102.3</w:t>
      </w:r>
      <w:r w:rsidR="009F7B15">
        <w:rPr>
          <w:rFonts w:eastAsia="MS Mincho" w:cs="Arial"/>
          <w:szCs w:val="16"/>
        </w:rPr>
        <w:t xml:space="preserve"> million lower tha</w:t>
      </w:r>
      <w:r w:rsidR="00961A1B">
        <w:rPr>
          <w:rFonts w:eastAsia="MS Mincho" w:cs="Arial"/>
          <w:szCs w:val="16"/>
        </w:rPr>
        <w:t>n</w:t>
      </w:r>
      <w:r w:rsidR="009F7B15">
        <w:rPr>
          <w:rFonts w:eastAsia="MS Mincho" w:cs="Arial"/>
          <w:szCs w:val="16"/>
        </w:rPr>
        <w:t xml:space="preserve"> </w:t>
      </w:r>
      <w:r w:rsidR="000C2383">
        <w:rPr>
          <w:rFonts w:eastAsia="MS Mincho" w:cs="Arial"/>
          <w:szCs w:val="16"/>
        </w:rPr>
        <w:t>the</w:t>
      </w:r>
      <w:r w:rsidR="009F7B15">
        <w:rPr>
          <w:rFonts w:eastAsia="MS Mincho" w:cs="Arial"/>
          <w:szCs w:val="16"/>
        </w:rPr>
        <w:t xml:space="preserve"> prior year</w:t>
      </w:r>
      <w:r w:rsidR="003C1E72">
        <w:rPr>
          <w:rFonts w:eastAsia="MS Mincho" w:cs="Arial"/>
          <w:szCs w:val="16"/>
        </w:rPr>
        <w:t>,</w:t>
      </w:r>
      <w:r w:rsidR="009F7B15">
        <w:rPr>
          <w:rFonts w:eastAsia="MS Mincho" w:cs="Arial"/>
          <w:szCs w:val="16"/>
        </w:rPr>
        <w:t xml:space="preserve"> driven by the disposal of DG </w:t>
      </w:r>
      <w:r w:rsidR="009F7B15" w:rsidRPr="000007C3">
        <w:rPr>
          <w:rFonts w:eastAsia="MS Mincho" w:cs="Arial"/>
          <w:szCs w:val="16"/>
        </w:rPr>
        <w:t xml:space="preserve">Americas. </w:t>
      </w:r>
      <w:r w:rsidRPr="000007C3">
        <w:rPr>
          <w:rFonts w:eastAsia="MS Mincho" w:cs="Arial"/>
          <w:szCs w:val="16"/>
        </w:rPr>
        <w:t>The Directors have continued to pay close attention to their assessment of going concern in preparation of these financial statements. The Group is appropriately capitalised at the year end</w:t>
      </w:r>
      <w:r w:rsidR="00911AE4">
        <w:rPr>
          <w:rFonts w:eastAsia="MS Mincho" w:cs="Arial"/>
          <w:szCs w:val="16"/>
        </w:rPr>
        <w:t>,</w:t>
      </w:r>
      <w:r w:rsidRPr="000007C3">
        <w:rPr>
          <w:rFonts w:eastAsia="MS Mincho" w:cs="Arial"/>
          <w:szCs w:val="16"/>
        </w:rPr>
        <w:t xml:space="preserve"> with a net cash position of </w:t>
      </w:r>
      <w:r w:rsidR="009F7B15" w:rsidRPr="000007C3">
        <w:rPr>
          <w:rFonts w:eastAsia="MS Mincho" w:cs="Arial"/>
          <w:szCs w:val="16"/>
        </w:rPr>
        <w:t>£</w:t>
      </w:r>
      <w:r w:rsidR="000007C3" w:rsidRPr="000007C3">
        <w:rPr>
          <w:rFonts w:eastAsia="MS Mincho" w:cs="Arial"/>
          <w:szCs w:val="16"/>
        </w:rPr>
        <w:t>54.</w:t>
      </w:r>
      <w:r w:rsidR="004A5A61">
        <w:rPr>
          <w:rFonts w:eastAsia="MS Mincho" w:cs="Arial"/>
          <w:szCs w:val="16"/>
        </w:rPr>
        <w:t>6</w:t>
      </w:r>
      <w:r w:rsidRPr="000007C3">
        <w:rPr>
          <w:rFonts w:eastAsia="MS Mincho" w:cs="Arial"/>
          <w:szCs w:val="16"/>
        </w:rPr>
        <w:t xml:space="preserve"> million</w:t>
      </w:r>
      <w:r w:rsidR="00163495">
        <w:rPr>
          <w:rFonts w:eastAsia="MS Mincho" w:cs="Arial"/>
          <w:szCs w:val="16"/>
        </w:rPr>
        <w:t xml:space="preserve"> </w:t>
      </w:r>
      <w:r w:rsidR="00163495" w:rsidRPr="00163495">
        <w:rPr>
          <w:rFonts w:eastAsia="MS Mincho" w:cs="Arial"/>
          <w:szCs w:val="16"/>
        </w:rPr>
        <w:t xml:space="preserve">and availability of </w:t>
      </w:r>
      <w:r w:rsidR="00EB3026">
        <w:rPr>
          <w:rFonts w:eastAsia="MS Mincho" w:cs="Arial"/>
          <w:szCs w:val="16"/>
        </w:rPr>
        <w:t xml:space="preserve">a </w:t>
      </w:r>
      <w:r w:rsidR="00163495" w:rsidRPr="00163495">
        <w:rPr>
          <w:rFonts w:eastAsia="MS Mincho" w:cs="Arial"/>
          <w:szCs w:val="16"/>
        </w:rPr>
        <w:t>committed borrowing facility</w:t>
      </w:r>
      <w:r w:rsidRPr="000007C3">
        <w:rPr>
          <w:rFonts w:eastAsia="MS Mincho" w:cs="Arial"/>
          <w:szCs w:val="16"/>
        </w:rPr>
        <w:t>.</w:t>
      </w:r>
    </w:p>
    <w:p w14:paraId="7ADD7880" w14:textId="77777777" w:rsidR="008858D5" w:rsidRPr="00B8452B" w:rsidRDefault="008858D5" w:rsidP="008858D5">
      <w:pPr>
        <w:spacing w:line="276" w:lineRule="auto"/>
        <w:rPr>
          <w:rFonts w:eastAsia="MS Mincho" w:cs="Arial"/>
          <w:szCs w:val="16"/>
        </w:rPr>
      </w:pPr>
    </w:p>
    <w:p w14:paraId="2590B3F9" w14:textId="0AF499E9" w:rsidR="002949B7" w:rsidRPr="00B8452B" w:rsidRDefault="008858D5" w:rsidP="008858D5">
      <w:pPr>
        <w:spacing w:line="276" w:lineRule="auto"/>
        <w:rPr>
          <w:rFonts w:eastAsia="MS Mincho" w:cs="Arial"/>
          <w:szCs w:val="16"/>
        </w:rPr>
      </w:pPr>
      <w:r w:rsidRPr="00B144E4">
        <w:rPr>
          <w:rFonts w:eastAsia="MS Mincho" w:cs="Arial"/>
          <w:szCs w:val="16"/>
        </w:rPr>
        <w:t>The Directors of the Group have performed an assessment of the overall position and future forecasts for the purposes of going concern. The going concern assessment has been performed using the Group’s FY202</w:t>
      </w:r>
      <w:r w:rsidR="00DF7013" w:rsidRPr="00B144E4">
        <w:rPr>
          <w:rFonts w:eastAsia="MS Mincho" w:cs="Arial"/>
          <w:szCs w:val="16"/>
        </w:rPr>
        <w:t>7</w:t>
      </w:r>
      <w:r w:rsidRPr="00B144E4">
        <w:rPr>
          <w:rFonts w:eastAsia="MS Mincho" w:cs="Arial"/>
          <w:szCs w:val="16"/>
        </w:rPr>
        <w:t xml:space="preserve"> and FY202</w:t>
      </w:r>
      <w:r w:rsidR="00DF7013" w:rsidRPr="00B144E4">
        <w:rPr>
          <w:rFonts w:eastAsia="MS Mincho" w:cs="Arial"/>
          <w:szCs w:val="16"/>
        </w:rPr>
        <w:t>8</w:t>
      </w:r>
      <w:r w:rsidRPr="00B144E4">
        <w:rPr>
          <w:rFonts w:eastAsia="MS Mincho" w:cs="Arial"/>
          <w:szCs w:val="16"/>
        </w:rPr>
        <w:t xml:space="preserve"> budgets and plans.</w:t>
      </w:r>
      <w:r w:rsidR="002949B7" w:rsidRPr="00B144E4">
        <w:rPr>
          <w:rFonts w:eastAsia="MS Mincho" w:cs="Arial"/>
          <w:szCs w:val="16"/>
        </w:rPr>
        <w:t xml:space="preserve"> </w:t>
      </w:r>
      <w:r w:rsidR="00B42EF0" w:rsidRPr="00B144E4">
        <w:rPr>
          <w:rFonts w:eastAsia="MS Mincho" w:cs="Arial"/>
          <w:szCs w:val="16"/>
        </w:rPr>
        <w:t>There is</w:t>
      </w:r>
      <w:r w:rsidR="00B42EF0">
        <w:rPr>
          <w:rFonts w:eastAsia="MS Mincho" w:cs="Arial"/>
          <w:szCs w:val="16"/>
        </w:rPr>
        <w:t xml:space="preserve"> a</w:t>
      </w:r>
      <w:r w:rsidR="002949B7" w:rsidRPr="002949B7">
        <w:rPr>
          <w:rFonts w:eastAsia="MS Mincho" w:cs="Arial"/>
          <w:szCs w:val="16"/>
        </w:rPr>
        <w:t xml:space="preserve"> reduction in cash flow volatility following the disposal of the DG Americas business, with the remaining Group forecasted to deliver more stable profitability and cash generation, reflecting continued progress towards a more consistent and resilient financial performance. The forecasts, reviewed by the Board, also incorporate the inherent seasonality of the Group’s operations. </w:t>
      </w:r>
      <w:r w:rsidR="0050151B" w:rsidRPr="0050151B">
        <w:rPr>
          <w:rFonts w:eastAsia="MS Mincho" w:cs="Arial"/>
          <w:szCs w:val="16"/>
        </w:rPr>
        <w:t xml:space="preserve">The forecasts were sensitised to reflect severe but plausible adverse downturns in the current assumptions including the potential impact of the loss of </w:t>
      </w:r>
      <w:r w:rsidR="00ED1AE1">
        <w:rPr>
          <w:rFonts w:eastAsia="MS Mincho" w:cs="Arial"/>
          <w:szCs w:val="16"/>
        </w:rPr>
        <w:t xml:space="preserve">significant </w:t>
      </w:r>
      <w:r w:rsidR="005E583D">
        <w:rPr>
          <w:rFonts w:eastAsia="MS Mincho" w:cs="Arial"/>
          <w:szCs w:val="16"/>
        </w:rPr>
        <w:t xml:space="preserve">trading </w:t>
      </w:r>
      <w:r w:rsidR="0050151B" w:rsidRPr="0050151B">
        <w:rPr>
          <w:rFonts w:eastAsia="MS Mincho" w:cs="Arial"/>
          <w:szCs w:val="16"/>
        </w:rPr>
        <w:t>with one of our major customers, inflation in freight rates and a cyber-attack, beyond those risks already factored into the budgets and plans.</w:t>
      </w:r>
    </w:p>
    <w:p w14:paraId="0289A4B1" w14:textId="77777777" w:rsidR="00EF611C" w:rsidRPr="00B8452B" w:rsidRDefault="00EF611C" w:rsidP="008858D5">
      <w:pPr>
        <w:spacing w:line="276" w:lineRule="auto"/>
        <w:rPr>
          <w:rFonts w:eastAsia="MS Mincho" w:cs="Arial"/>
          <w:szCs w:val="16"/>
        </w:rPr>
      </w:pPr>
    </w:p>
    <w:p w14:paraId="63F2FE37" w14:textId="4F1A56A8" w:rsidR="00670A0D" w:rsidRDefault="00EF611C" w:rsidP="00EF611C">
      <w:pPr>
        <w:spacing w:line="276" w:lineRule="auto"/>
        <w:rPr>
          <w:rFonts w:eastAsia="MS Mincho" w:cs="Arial"/>
          <w:szCs w:val="16"/>
        </w:rPr>
      </w:pPr>
      <w:r w:rsidRPr="00EF611C">
        <w:rPr>
          <w:rFonts w:eastAsia="MS Mincho" w:cs="Arial"/>
          <w:szCs w:val="16"/>
        </w:rPr>
        <w:t>The base forecasts and additional sensitivity analysis have been tested against the availability of the borrowing</w:t>
      </w:r>
      <w:r w:rsidR="00670A0D">
        <w:rPr>
          <w:rFonts w:eastAsia="MS Mincho" w:cs="Arial"/>
          <w:szCs w:val="16"/>
        </w:rPr>
        <w:t xml:space="preserve"> </w:t>
      </w:r>
      <w:r w:rsidRPr="00EF611C">
        <w:rPr>
          <w:rFonts w:eastAsia="MS Mincho" w:cs="Arial"/>
          <w:szCs w:val="16"/>
        </w:rPr>
        <w:t>facility. The analysis demonstrated that the Group has sufficient headroom to meet its obligations as they fall</w:t>
      </w:r>
      <w:r w:rsidR="00670A0D">
        <w:rPr>
          <w:rFonts w:eastAsia="MS Mincho" w:cs="Arial"/>
          <w:szCs w:val="16"/>
        </w:rPr>
        <w:t xml:space="preserve"> </w:t>
      </w:r>
      <w:r w:rsidRPr="00EF611C">
        <w:rPr>
          <w:rFonts w:eastAsia="MS Mincho" w:cs="Arial"/>
          <w:szCs w:val="16"/>
        </w:rPr>
        <w:t xml:space="preserve">due for the forecast period of </w:t>
      </w:r>
      <w:r w:rsidR="00A70C41">
        <w:rPr>
          <w:rFonts w:eastAsia="MS Mincho" w:cs="Arial"/>
          <w:szCs w:val="16"/>
        </w:rPr>
        <w:t xml:space="preserve">at least </w:t>
      </w:r>
      <w:r w:rsidRPr="00EF611C">
        <w:rPr>
          <w:rFonts w:eastAsia="MS Mincho" w:cs="Arial"/>
          <w:szCs w:val="16"/>
        </w:rPr>
        <w:t xml:space="preserve">twelve months beyond the date of signing these </w:t>
      </w:r>
      <w:r w:rsidR="00D806FE">
        <w:rPr>
          <w:rFonts w:eastAsia="MS Mincho" w:cs="Arial"/>
          <w:szCs w:val="16"/>
        </w:rPr>
        <w:t>f</w:t>
      </w:r>
      <w:r w:rsidR="00807856">
        <w:rPr>
          <w:rFonts w:eastAsia="MS Mincho" w:cs="Arial"/>
          <w:szCs w:val="16"/>
        </w:rPr>
        <w:t xml:space="preserve">inancial </w:t>
      </w:r>
      <w:r w:rsidR="00D806FE">
        <w:rPr>
          <w:rFonts w:eastAsia="MS Mincho" w:cs="Arial"/>
          <w:szCs w:val="16"/>
        </w:rPr>
        <w:t>s</w:t>
      </w:r>
      <w:r w:rsidR="00807856">
        <w:rPr>
          <w:rFonts w:eastAsia="MS Mincho" w:cs="Arial"/>
          <w:szCs w:val="16"/>
        </w:rPr>
        <w:t>tatements</w:t>
      </w:r>
      <w:r w:rsidRPr="00EF611C">
        <w:rPr>
          <w:rFonts w:eastAsia="MS Mincho" w:cs="Arial"/>
          <w:szCs w:val="16"/>
        </w:rPr>
        <w:t>. As such,</w:t>
      </w:r>
      <w:r w:rsidR="00670A0D">
        <w:rPr>
          <w:rFonts w:eastAsia="MS Mincho" w:cs="Arial"/>
          <w:szCs w:val="16"/>
        </w:rPr>
        <w:t xml:space="preserve"> </w:t>
      </w:r>
      <w:r w:rsidRPr="00EF611C">
        <w:rPr>
          <w:rFonts w:eastAsia="MS Mincho" w:cs="Arial"/>
          <w:szCs w:val="16"/>
        </w:rPr>
        <w:t>the Directors do not see any practical regulatory or legal restrictions which would limit their ability to fund the</w:t>
      </w:r>
      <w:r w:rsidR="00670A0D">
        <w:rPr>
          <w:rFonts w:eastAsia="MS Mincho" w:cs="Arial"/>
          <w:szCs w:val="16"/>
        </w:rPr>
        <w:t xml:space="preserve"> </w:t>
      </w:r>
      <w:r w:rsidRPr="00EF611C">
        <w:rPr>
          <w:rFonts w:eastAsia="MS Mincho" w:cs="Arial"/>
          <w:szCs w:val="16"/>
        </w:rPr>
        <w:t>different regions of the business as required as the Group has sufficient resources.</w:t>
      </w:r>
      <w:r w:rsidR="00670A0D">
        <w:rPr>
          <w:rFonts w:eastAsia="MS Mincho" w:cs="Arial"/>
          <w:szCs w:val="16"/>
        </w:rPr>
        <w:t xml:space="preserve"> </w:t>
      </w:r>
    </w:p>
    <w:p w14:paraId="7480B39B" w14:textId="77777777" w:rsidR="00670A0D" w:rsidRDefault="00670A0D" w:rsidP="00EF611C">
      <w:pPr>
        <w:spacing w:line="276" w:lineRule="auto"/>
        <w:rPr>
          <w:rFonts w:eastAsia="MS Mincho" w:cs="Arial"/>
          <w:szCs w:val="16"/>
        </w:rPr>
      </w:pPr>
    </w:p>
    <w:p w14:paraId="43A9F598" w14:textId="7C0F5D71" w:rsidR="00EF611C" w:rsidRPr="00B8452B" w:rsidRDefault="00EF611C" w:rsidP="00EF611C">
      <w:pPr>
        <w:spacing w:line="276" w:lineRule="auto"/>
        <w:rPr>
          <w:rFonts w:eastAsia="MS Mincho" w:cs="Arial"/>
          <w:szCs w:val="16"/>
        </w:rPr>
      </w:pPr>
      <w:r w:rsidRPr="00EF611C">
        <w:rPr>
          <w:rFonts w:eastAsia="MS Mincho" w:cs="Arial"/>
          <w:szCs w:val="16"/>
        </w:rPr>
        <w:t>Accordingly, the Directors have continued to adopt the going concern basis of accounting in preparing the</w:t>
      </w:r>
      <w:r w:rsidR="00670A0D">
        <w:rPr>
          <w:rFonts w:eastAsia="MS Mincho" w:cs="Arial"/>
          <w:szCs w:val="16"/>
        </w:rPr>
        <w:t xml:space="preserve"> </w:t>
      </w:r>
      <w:r w:rsidRPr="00EF611C">
        <w:rPr>
          <w:rFonts w:eastAsia="MS Mincho" w:cs="Arial"/>
          <w:szCs w:val="16"/>
        </w:rPr>
        <w:t>financial statements.</w:t>
      </w:r>
    </w:p>
    <w:p w14:paraId="7DC8D6D0" w14:textId="77777777" w:rsidR="008858D5" w:rsidRPr="00F2696A" w:rsidRDefault="008858D5" w:rsidP="008858D5">
      <w:pPr>
        <w:spacing w:line="276" w:lineRule="auto"/>
        <w:rPr>
          <w:rFonts w:eastAsia="MS Mincho" w:cs="Arial"/>
          <w:szCs w:val="16"/>
        </w:rPr>
      </w:pPr>
    </w:p>
    <w:p w14:paraId="1CE5D623" w14:textId="77777777" w:rsidR="008858D5" w:rsidRPr="00F2696A" w:rsidRDefault="008858D5" w:rsidP="00A36EA9">
      <w:pPr>
        <w:pStyle w:val="Heading2"/>
        <w:rPr>
          <w:rFonts w:eastAsia="MS Mincho" w:cs="Arial"/>
          <w:szCs w:val="16"/>
        </w:rPr>
      </w:pPr>
      <w:r w:rsidRPr="00A36EA9">
        <w:rPr>
          <w:sz w:val="16"/>
          <w:szCs w:val="16"/>
        </w:rPr>
        <w:t>Non-adjusting post balance sheet events</w:t>
      </w:r>
    </w:p>
    <w:p w14:paraId="3854B7D6" w14:textId="77777777" w:rsidR="008858D5" w:rsidRPr="00B8452B" w:rsidRDefault="008858D5" w:rsidP="008858D5">
      <w:pPr>
        <w:spacing w:line="276" w:lineRule="auto"/>
        <w:rPr>
          <w:rFonts w:eastAsia="MS Mincho" w:cs="Arial"/>
          <w:szCs w:val="16"/>
        </w:rPr>
      </w:pPr>
    </w:p>
    <w:p w14:paraId="1E59FF3A" w14:textId="00D4C706" w:rsidR="00B00F7A" w:rsidRPr="00782C91" w:rsidRDefault="00B00F7A" w:rsidP="00B00F7A">
      <w:pPr>
        <w:spacing w:line="276" w:lineRule="auto"/>
        <w:rPr>
          <w:rFonts w:eastAsia="MS Mincho" w:cs="Arial"/>
          <w:szCs w:val="16"/>
        </w:rPr>
      </w:pPr>
      <w:r w:rsidRPr="00782C91">
        <w:rPr>
          <w:rFonts w:eastAsia="MS Mincho" w:cs="Arial"/>
          <w:szCs w:val="16"/>
        </w:rPr>
        <w:t xml:space="preserve">On 29 April 2026, the Group completed the acquisition of 100% of the issued share capital of the Glenart group of companies </w:t>
      </w:r>
      <w:r w:rsidR="00DC608D">
        <w:rPr>
          <w:rFonts w:eastAsia="MS Mincho" w:cs="Arial"/>
          <w:szCs w:val="16"/>
        </w:rPr>
        <w:t>(‘</w:t>
      </w:r>
      <w:r w:rsidRPr="00782C91">
        <w:rPr>
          <w:rFonts w:eastAsia="MS Mincho" w:cs="Arial"/>
          <w:szCs w:val="16"/>
        </w:rPr>
        <w:t>Glenart</w:t>
      </w:r>
      <w:r w:rsidR="00DC608D">
        <w:rPr>
          <w:rFonts w:eastAsia="MS Mincho" w:cs="Arial"/>
          <w:szCs w:val="16"/>
        </w:rPr>
        <w:t>’</w:t>
      </w:r>
      <w:r w:rsidR="00DC608D" w:rsidRPr="00782C91">
        <w:rPr>
          <w:rFonts w:eastAsia="MS Mincho" w:cs="Arial"/>
          <w:szCs w:val="16"/>
        </w:rPr>
        <w:t xml:space="preserve">), </w:t>
      </w:r>
      <w:r w:rsidRPr="00782C91">
        <w:rPr>
          <w:rFonts w:eastAsia="MS Mincho" w:cs="Arial"/>
          <w:szCs w:val="16"/>
        </w:rPr>
        <w:t xml:space="preserve">comprising Glenart Trading (Pty) Ltd, Marcorp Marketing </w:t>
      </w:r>
      <w:r w:rsidR="001A4A6E">
        <w:rPr>
          <w:rFonts w:eastAsia="MS Mincho" w:cs="Arial"/>
          <w:szCs w:val="16"/>
        </w:rPr>
        <w:t>Consultants</w:t>
      </w:r>
      <w:r w:rsidRPr="00782C91">
        <w:rPr>
          <w:rFonts w:eastAsia="MS Mincho" w:cs="Arial"/>
          <w:szCs w:val="16"/>
        </w:rPr>
        <w:t xml:space="preserve"> (Pty) Ltd and Glenart Trading Ltd.</w:t>
      </w:r>
    </w:p>
    <w:p w14:paraId="5706DE1A" w14:textId="77777777" w:rsidR="003449A2" w:rsidRDefault="003449A2" w:rsidP="00B00F7A">
      <w:pPr>
        <w:spacing w:line="276" w:lineRule="auto"/>
        <w:rPr>
          <w:rFonts w:eastAsia="MS Mincho" w:cs="Arial"/>
          <w:szCs w:val="16"/>
        </w:rPr>
      </w:pPr>
    </w:p>
    <w:p w14:paraId="6FAEC5E5" w14:textId="2CDB9AC8" w:rsidR="00B00F7A" w:rsidRPr="00782C91" w:rsidRDefault="00B00F7A" w:rsidP="00B00F7A">
      <w:pPr>
        <w:spacing w:line="276" w:lineRule="auto"/>
        <w:rPr>
          <w:rFonts w:eastAsia="MS Mincho" w:cs="Arial"/>
          <w:szCs w:val="16"/>
        </w:rPr>
      </w:pPr>
      <w:r w:rsidRPr="00782C91">
        <w:rPr>
          <w:rFonts w:eastAsia="MS Mincho" w:cs="Arial"/>
          <w:szCs w:val="16"/>
        </w:rPr>
        <w:t>Glenart is a leading design-led manufacturer and distributor</w:t>
      </w:r>
      <w:r w:rsidR="00F00DF1">
        <w:rPr>
          <w:rFonts w:eastAsia="MS Mincho" w:cs="Arial"/>
          <w:szCs w:val="16"/>
        </w:rPr>
        <w:t xml:space="preserve"> in South Africa</w:t>
      </w:r>
      <w:r w:rsidRPr="00782C91">
        <w:rPr>
          <w:rFonts w:eastAsia="MS Mincho" w:cs="Arial"/>
          <w:szCs w:val="16"/>
        </w:rPr>
        <w:t xml:space="preserve"> of</w:t>
      </w:r>
      <w:r w:rsidR="00922E7B">
        <w:rPr>
          <w:rFonts w:eastAsia="MS Mincho" w:cs="Arial"/>
          <w:szCs w:val="16"/>
        </w:rPr>
        <w:t xml:space="preserve"> products</w:t>
      </w:r>
      <w:r w:rsidRPr="00782C91">
        <w:rPr>
          <w:rFonts w:eastAsia="MS Mincho" w:cs="Arial"/>
          <w:szCs w:val="16"/>
        </w:rPr>
        <w:t xml:space="preserve"> </w:t>
      </w:r>
      <w:r w:rsidR="002D71B2">
        <w:rPr>
          <w:rFonts w:eastAsia="MS Mincho" w:cs="Arial"/>
          <w:szCs w:val="16"/>
        </w:rPr>
        <w:t xml:space="preserve">predominantly </w:t>
      </w:r>
      <w:r w:rsidR="00922E7B">
        <w:rPr>
          <w:rFonts w:eastAsia="MS Mincho" w:cs="Arial"/>
          <w:szCs w:val="16"/>
        </w:rPr>
        <w:t xml:space="preserve">within the </w:t>
      </w:r>
      <w:r w:rsidR="007164A6">
        <w:rPr>
          <w:rFonts w:eastAsia="MS Mincho" w:cs="Arial"/>
          <w:szCs w:val="16"/>
        </w:rPr>
        <w:t>Celebrate</w:t>
      </w:r>
      <w:r w:rsidRPr="00782C91">
        <w:rPr>
          <w:rFonts w:eastAsia="MS Mincho" w:cs="Arial"/>
          <w:szCs w:val="16"/>
        </w:rPr>
        <w:t xml:space="preserve"> </w:t>
      </w:r>
      <w:r w:rsidR="00F00DF1">
        <w:rPr>
          <w:rFonts w:eastAsia="MS Mincho" w:cs="Arial"/>
          <w:szCs w:val="16"/>
        </w:rPr>
        <w:t>category</w:t>
      </w:r>
      <w:r w:rsidRPr="00782C91">
        <w:rPr>
          <w:rFonts w:eastAsia="MS Mincho" w:cs="Arial"/>
          <w:szCs w:val="16"/>
        </w:rPr>
        <w:t xml:space="preserve">. The acquisition </w:t>
      </w:r>
      <w:r w:rsidR="003449A2">
        <w:rPr>
          <w:rFonts w:eastAsia="MS Mincho" w:cs="Arial"/>
          <w:szCs w:val="16"/>
        </w:rPr>
        <w:t>s</w:t>
      </w:r>
      <w:r w:rsidRPr="00782C91">
        <w:rPr>
          <w:rFonts w:eastAsia="MS Mincho" w:cs="Arial"/>
          <w:szCs w:val="16"/>
        </w:rPr>
        <w:t>trengthens the Group’s presence in the region and further enhances its product offering and customer relationships.</w:t>
      </w:r>
      <w:r w:rsidR="003449A2">
        <w:rPr>
          <w:rFonts w:eastAsia="MS Mincho" w:cs="Arial"/>
          <w:szCs w:val="16"/>
        </w:rPr>
        <w:t xml:space="preserve"> </w:t>
      </w:r>
      <w:r w:rsidRPr="00782C91">
        <w:rPr>
          <w:rFonts w:eastAsia="MS Mincho" w:cs="Arial"/>
          <w:szCs w:val="16"/>
        </w:rPr>
        <w:t>The aggregate consideration for the acquisition is based on a multiple of Glenart’s EBITDA and comprises:</w:t>
      </w:r>
      <w:r w:rsidR="003449A2">
        <w:rPr>
          <w:rFonts w:eastAsia="MS Mincho" w:cs="Arial"/>
          <w:szCs w:val="16"/>
        </w:rPr>
        <w:t xml:space="preserve"> </w:t>
      </w:r>
      <w:r w:rsidRPr="00782C91">
        <w:rPr>
          <w:rFonts w:eastAsia="MS Mincho" w:cs="Arial"/>
          <w:szCs w:val="16"/>
        </w:rPr>
        <w:t xml:space="preserve">an initial cash consideration of </w:t>
      </w:r>
      <w:r w:rsidR="003449A2">
        <w:rPr>
          <w:rFonts w:eastAsia="MS Mincho" w:cs="Arial"/>
          <w:szCs w:val="16"/>
        </w:rPr>
        <w:t>a</w:t>
      </w:r>
      <w:r w:rsidRPr="00782C91">
        <w:rPr>
          <w:rFonts w:eastAsia="MS Mincho" w:cs="Arial"/>
          <w:szCs w:val="16"/>
        </w:rPr>
        <w:t xml:space="preserve">pproximately </w:t>
      </w:r>
      <w:r w:rsidRPr="00D50533">
        <w:rPr>
          <w:rFonts w:eastAsia="MS Mincho" w:cs="Arial"/>
          <w:szCs w:val="16"/>
        </w:rPr>
        <w:t xml:space="preserve">ZAR </w:t>
      </w:r>
      <w:r w:rsidR="00243757" w:rsidRPr="00D50533">
        <w:rPr>
          <w:rFonts w:eastAsia="MS Mincho" w:cs="Arial"/>
          <w:szCs w:val="16"/>
        </w:rPr>
        <w:t>76</w:t>
      </w:r>
      <w:r w:rsidRPr="00D50533">
        <w:rPr>
          <w:rFonts w:eastAsia="MS Mincho" w:cs="Arial"/>
          <w:szCs w:val="16"/>
        </w:rPr>
        <w:t>.</w:t>
      </w:r>
      <w:r w:rsidR="00615D74" w:rsidRPr="00D50533">
        <w:rPr>
          <w:rFonts w:eastAsia="MS Mincho" w:cs="Arial"/>
          <w:szCs w:val="16"/>
        </w:rPr>
        <w:t>5</w:t>
      </w:r>
      <w:r w:rsidRPr="00D50533">
        <w:rPr>
          <w:rFonts w:eastAsia="MS Mincho" w:cs="Arial"/>
          <w:szCs w:val="16"/>
        </w:rPr>
        <w:t xml:space="preserve"> millio</w:t>
      </w:r>
      <w:r w:rsidRPr="00782C91">
        <w:rPr>
          <w:rFonts w:eastAsia="MS Mincho" w:cs="Arial"/>
          <w:szCs w:val="16"/>
        </w:rPr>
        <w:t>n (£3.</w:t>
      </w:r>
      <w:r w:rsidR="007D3FB5">
        <w:rPr>
          <w:rFonts w:eastAsia="MS Mincho" w:cs="Arial"/>
          <w:szCs w:val="16"/>
        </w:rPr>
        <w:t>4</w:t>
      </w:r>
      <w:r w:rsidR="007D3FB5" w:rsidRPr="00782C91">
        <w:rPr>
          <w:rFonts w:eastAsia="MS Mincho" w:cs="Arial"/>
          <w:szCs w:val="16"/>
        </w:rPr>
        <w:t xml:space="preserve"> </w:t>
      </w:r>
      <w:r w:rsidRPr="00782C91">
        <w:rPr>
          <w:rFonts w:eastAsia="MS Mincho" w:cs="Arial"/>
          <w:szCs w:val="16"/>
        </w:rPr>
        <w:t>million) paid on completion;</w:t>
      </w:r>
      <w:r w:rsidR="003449A2">
        <w:rPr>
          <w:rFonts w:eastAsia="MS Mincho" w:cs="Arial"/>
          <w:szCs w:val="16"/>
        </w:rPr>
        <w:t xml:space="preserve"> </w:t>
      </w:r>
      <w:r w:rsidRPr="00782C91">
        <w:rPr>
          <w:rFonts w:eastAsia="MS Mincho" w:cs="Arial"/>
          <w:szCs w:val="16"/>
        </w:rPr>
        <w:t>deferred</w:t>
      </w:r>
      <w:r w:rsidRPr="00782C91" w:rsidDel="0037323F">
        <w:rPr>
          <w:rFonts w:eastAsia="MS Mincho" w:cs="Arial"/>
          <w:szCs w:val="16"/>
        </w:rPr>
        <w:t xml:space="preserve"> </w:t>
      </w:r>
      <w:r w:rsidRPr="00782C91">
        <w:rPr>
          <w:rFonts w:eastAsia="MS Mincho" w:cs="Arial"/>
          <w:szCs w:val="16"/>
        </w:rPr>
        <w:t>consideration payable over the three years following completion; and</w:t>
      </w:r>
      <w:r w:rsidR="003449A2">
        <w:rPr>
          <w:rFonts w:eastAsia="MS Mincho" w:cs="Arial"/>
          <w:szCs w:val="16"/>
        </w:rPr>
        <w:t xml:space="preserve"> </w:t>
      </w:r>
      <w:r w:rsidRPr="00782C91">
        <w:rPr>
          <w:rFonts w:eastAsia="MS Mincho" w:cs="Arial"/>
          <w:szCs w:val="16"/>
        </w:rPr>
        <w:t>additional performance-related contingent consideration linked to EBITDA performance over the financial years ending February 2027, 2028 and 2029.</w:t>
      </w:r>
    </w:p>
    <w:p w14:paraId="03896C64" w14:textId="77777777" w:rsidR="008E01B5" w:rsidRDefault="008E01B5" w:rsidP="00B00F7A">
      <w:pPr>
        <w:spacing w:line="276" w:lineRule="auto"/>
        <w:rPr>
          <w:rFonts w:eastAsia="MS Mincho" w:cs="Arial"/>
          <w:szCs w:val="16"/>
        </w:rPr>
      </w:pPr>
    </w:p>
    <w:p w14:paraId="69DFB0E0" w14:textId="04611E14" w:rsidR="008858D5" w:rsidRPr="00B8452B" w:rsidRDefault="009E5F12" w:rsidP="008858D5">
      <w:pPr>
        <w:spacing w:line="276" w:lineRule="auto"/>
        <w:rPr>
          <w:rFonts w:eastAsia="MS Mincho" w:cs="Arial"/>
          <w:szCs w:val="16"/>
        </w:rPr>
      </w:pPr>
      <w:r w:rsidRPr="009E5F12">
        <w:rPr>
          <w:rFonts w:eastAsia="MS Mincho" w:cs="Arial"/>
          <w:szCs w:val="16"/>
        </w:rPr>
        <w:t>After the reporting period, the Board approved a share buyback of up to 10% of the Company's issued share capital, under the authority granted by shareholders at the 2025 AGM and to be funded from distributable reserves. All shares purchased will be cancelled, reducing the Company's issued share capital. The Company intends to commence the programme on 16 June 2026.</w:t>
      </w:r>
    </w:p>
    <w:p w14:paraId="459179A3" w14:textId="77777777" w:rsidR="008858D5" w:rsidRDefault="008858D5" w:rsidP="008858D5">
      <w:pPr>
        <w:spacing w:line="276" w:lineRule="auto"/>
        <w:rPr>
          <w:rFonts w:eastAsia="MS Mincho" w:cs="Arial"/>
          <w:szCs w:val="16"/>
        </w:rPr>
      </w:pPr>
    </w:p>
    <w:p w14:paraId="317673CA" w14:textId="0857010D" w:rsidR="00B05020" w:rsidRPr="00B8452B" w:rsidRDefault="00B05020" w:rsidP="008858D5">
      <w:pPr>
        <w:spacing w:line="276" w:lineRule="auto"/>
        <w:rPr>
          <w:rFonts w:eastAsia="MS Mincho" w:cs="Arial"/>
          <w:szCs w:val="16"/>
        </w:rPr>
      </w:pPr>
    </w:p>
    <w:p w14:paraId="78F42A25" w14:textId="77777777" w:rsidR="008858D5" w:rsidRPr="00B8452B" w:rsidRDefault="008858D5" w:rsidP="008858D5">
      <w:pPr>
        <w:spacing w:line="276" w:lineRule="auto"/>
        <w:rPr>
          <w:rFonts w:eastAsia="MS Mincho" w:cs="Arial"/>
          <w:szCs w:val="16"/>
        </w:rPr>
      </w:pPr>
    </w:p>
    <w:p w14:paraId="4A01B5AB" w14:textId="77777777" w:rsidR="008858D5" w:rsidRPr="00F2696A" w:rsidRDefault="008858D5" w:rsidP="008858D5">
      <w:pPr>
        <w:spacing w:line="276" w:lineRule="auto"/>
        <w:rPr>
          <w:rFonts w:eastAsia="MS Mincho" w:cs="Arial"/>
          <w:b/>
          <w:bCs/>
          <w:szCs w:val="16"/>
        </w:rPr>
      </w:pPr>
      <w:r w:rsidRPr="00F2696A">
        <w:rPr>
          <w:rFonts w:eastAsia="MS Mincho" w:cs="Arial"/>
          <w:b/>
          <w:bCs/>
          <w:szCs w:val="16"/>
        </w:rPr>
        <w:t>Rohan Cummings</w:t>
      </w:r>
    </w:p>
    <w:p w14:paraId="3EA32E13" w14:textId="77777777" w:rsidR="008858D5" w:rsidRPr="00F2696A" w:rsidRDefault="008858D5" w:rsidP="008858D5">
      <w:pPr>
        <w:spacing w:line="276" w:lineRule="auto"/>
        <w:rPr>
          <w:rFonts w:eastAsia="MS Mincho" w:cs="Arial"/>
          <w:szCs w:val="16"/>
        </w:rPr>
      </w:pPr>
      <w:r w:rsidRPr="00F2696A">
        <w:rPr>
          <w:rFonts w:eastAsia="MS Mincho" w:cs="Arial"/>
          <w:szCs w:val="16"/>
        </w:rPr>
        <w:t>Director</w:t>
      </w:r>
    </w:p>
    <w:p w14:paraId="152B5749" w14:textId="77777777" w:rsidR="008858D5" w:rsidRPr="00F2696A" w:rsidRDefault="008858D5" w:rsidP="008858D5">
      <w:pPr>
        <w:spacing w:line="276" w:lineRule="auto"/>
        <w:rPr>
          <w:rFonts w:eastAsia="MS Mincho" w:cs="Arial"/>
          <w:szCs w:val="16"/>
        </w:rPr>
      </w:pPr>
    </w:p>
    <w:p w14:paraId="3AC050D4" w14:textId="1EC48438" w:rsidR="008858D5" w:rsidRDefault="00F2696A" w:rsidP="008858D5">
      <w:pPr>
        <w:spacing w:line="276" w:lineRule="auto"/>
        <w:rPr>
          <w:rFonts w:eastAsia="MS Mincho" w:cs="Arial"/>
          <w:szCs w:val="16"/>
        </w:rPr>
      </w:pPr>
      <w:r w:rsidRPr="00F2696A">
        <w:rPr>
          <w:rFonts w:eastAsia="MS Mincho" w:cs="Arial"/>
          <w:szCs w:val="16"/>
        </w:rPr>
        <w:t>15 June</w:t>
      </w:r>
      <w:r w:rsidR="008858D5" w:rsidRPr="00F2696A">
        <w:rPr>
          <w:rFonts w:eastAsia="MS Mincho" w:cs="Arial"/>
          <w:szCs w:val="16"/>
        </w:rPr>
        <w:t xml:space="preserve"> 202</w:t>
      </w:r>
      <w:r w:rsidRPr="00F2696A">
        <w:rPr>
          <w:rFonts w:eastAsia="MS Mincho" w:cs="Arial"/>
          <w:szCs w:val="16"/>
        </w:rPr>
        <w:t>6</w:t>
      </w:r>
    </w:p>
    <w:p w14:paraId="2A5210DF" w14:textId="77777777" w:rsidR="00006AEC" w:rsidRDefault="00006AEC" w:rsidP="008858D5">
      <w:pPr>
        <w:spacing w:line="276" w:lineRule="auto"/>
        <w:rPr>
          <w:rFonts w:eastAsia="MS Mincho" w:cs="Arial"/>
          <w:szCs w:val="16"/>
        </w:rPr>
      </w:pPr>
    </w:p>
    <w:p w14:paraId="39AD189D" w14:textId="77777777" w:rsidR="005002CC" w:rsidRDefault="005002CC" w:rsidP="008858D5">
      <w:pPr>
        <w:spacing w:line="276" w:lineRule="auto"/>
        <w:rPr>
          <w:rFonts w:eastAsia="MS Mincho" w:cs="Arial"/>
          <w:szCs w:val="16"/>
        </w:rPr>
      </w:pPr>
    </w:p>
    <w:p w14:paraId="2A497A76" w14:textId="77777777" w:rsidR="005002CC" w:rsidRDefault="005002CC" w:rsidP="008858D5">
      <w:pPr>
        <w:spacing w:line="276" w:lineRule="auto"/>
        <w:rPr>
          <w:rFonts w:eastAsia="MS Mincho" w:cs="Arial"/>
          <w:szCs w:val="16"/>
        </w:rPr>
      </w:pPr>
    </w:p>
    <w:p w14:paraId="19474163" w14:textId="77777777" w:rsidR="00006AEC" w:rsidRDefault="00006AEC" w:rsidP="008858D5">
      <w:pPr>
        <w:spacing w:line="276" w:lineRule="auto"/>
        <w:rPr>
          <w:rFonts w:eastAsia="MS Mincho" w:cs="Arial"/>
          <w:szCs w:val="16"/>
        </w:rPr>
      </w:pPr>
    </w:p>
    <w:p w14:paraId="23AF3494" w14:textId="77777777" w:rsidR="00006AEC" w:rsidRDefault="00006AEC" w:rsidP="008858D5">
      <w:pPr>
        <w:spacing w:line="276" w:lineRule="auto"/>
        <w:rPr>
          <w:rFonts w:eastAsia="MS Mincho" w:cs="Arial"/>
          <w:szCs w:val="16"/>
        </w:rPr>
      </w:pPr>
    </w:p>
    <w:p w14:paraId="533A7239" w14:textId="77777777" w:rsidR="00006AEC" w:rsidRDefault="00006AEC" w:rsidP="008858D5">
      <w:pPr>
        <w:spacing w:line="276" w:lineRule="auto"/>
        <w:rPr>
          <w:rFonts w:eastAsia="MS Mincho" w:cs="Arial"/>
          <w:szCs w:val="16"/>
        </w:rPr>
      </w:pPr>
    </w:p>
    <w:p w14:paraId="2BD26246" w14:textId="77777777" w:rsidR="00006AEC" w:rsidRDefault="00006AEC" w:rsidP="008858D5">
      <w:pPr>
        <w:spacing w:line="276" w:lineRule="auto"/>
        <w:rPr>
          <w:rFonts w:eastAsia="MS Mincho" w:cs="Arial"/>
          <w:szCs w:val="16"/>
        </w:rPr>
      </w:pPr>
    </w:p>
    <w:p w14:paraId="40B744BE" w14:textId="77777777" w:rsidR="00006AEC" w:rsidRDefault="00006AEC" w:rsidP="008858D5">
      <w:pPr>
        <w:spacing w:line="276" w:lineRule="auto"/>
        <w:rPr>
          <w:rFonts w:eastAsia="MS Mincho" w:cs="Arial"/>
          <w:szCs w:val="16"/>
        </w:rPr>
      </w:pPr>
    </w:p>
    <w:p w14:paraId="714A826D" w14:textId="77777777" w:rsidR="00006AEC" w:rsidRDefault="00006AEC" w:rsidP="008858D5">
      <w:pPr>
        <w:spacing w:line="276" w:lineRule="auto"/>
        <w:rPr>
          <w:rFonts w:eastAsia="MS Mincho" w:cs="Arial"/>
          <w:szCs w:val="16"/>
        </w:rPr>
      </w:pPr>
    </w:p>
    <w:p w14:paraId="61F3DD35" w14:textId="77777777" w:rsidR="00B318DA" w:rsidRPr="00313BFD" w:rsidRDefault="00B318DA" w:rsidP="00B318DA">
      <w:pPr>
        <w:pStyle w:val="Heading1"/>
      </w:pPr>
      <w:r w:rsidRPr="00313BFD">
        <w:t>Statement of Directors’ responsibilities in respect of the financial statements</w:t>
      </w:r>
    </w:p>
    <w:p w14:paraId="637A24BA" w14:textId="77777777" w:rsidR="00B318DA" w:rsidRPr="00313BFD" w:rsidRDefault="00B318DA" w:rsidP="00B318DA">
      <w:pPr>
        <w:spacing w:line="276" w:lineRule="auto"/>
        <w:rPr>
          <w:rFonts w:eastAsia="MS Mincho" w:cs="Arial"/>
          <w:b/>
          <w:szCs w:val="16"/>
        </w:rPr>
      </w:pPr>
    </w:p>
    <w:p w14:paraId="5FDFD1AE" w14:textId="77777777" w:rsidR="00B318DA" w:rsidRDefault="00B318DA" w:rsidP="00B318DA">
      <w:pPr>
        <w:spacing w:line="276" w:lineRule="auto"/>
        <w:rPr>
          <w:rFonts w:eastAsia="MS Mincho" w:cs="Arial"/>
          <w:szCs w:val="16"/>
        </w:rPr>
      </w:pPr>
    </w:p>
    <w:p w14:paraId="287BDF72" w14:textId="77777777" w:rsidR="00B318DA" w:rsidRDefault="00B318DA" w:rsidP="00B318DA">
      <w:pPr>
        <w:spacing w:line="276" w:lineRule="auto"/>
        <w:rPr>
          <w:rFonts w:eastAsia="MS Mincho" w:cs="Arial"/>
          <w:szCs w:val="16"/>
        </w:rPr>
      </w:pPr>
      <w:r w:rsidRPr="001C0CFB">
        <w:rPr>
          <w:rFonts w:eastAsia="MS Mincho" w:cs="Arial"/>
          <w:szCs w:val="16"/>
        </w:rPr>
        <w:t>The Directors are responsible for</w:t>
      </w:r>
      <w:r>
        <w:rPr>
          <w:rFonts w:eastAsia="MS Mincho" w:cs="Arial"/>
          <w:szCs w:val="16"/>
        </w:rPr>
        <w:t xml:space="preserve"> </w:t>
      </w:r>
      <w:r w:rsidRPr="001C0CFB">
        <w:rPr>
          <w:rFonts w:eastAsia="MS Mincho" w:cs="Arial"/>
          <w:szCs w:val="16"/>
        </w:rPr>
        <w:t>preparing the annual report and the</w:t>
      </w:r>
      <w:r>
        <w:rPr>
          <w:rFonts w:eastAsia="MS Mincho" w:cs="Arial"/>
          <w:szCs w:val="16"/>
        </w:rPr>
        <w:t xml:space="preserve"> </w:t>
      </w:r>
      <w:r w:rsidRPr="001C0CFB">
        <w:rPr>
          <w:rFonts w:eastAsia="MS Mincho" w:cs="Arial"/>
          <w:szCs w:val="16"/>
        </w:rPr>
        <w:t>financial statements in accordance with</w:t>
      </w:r>
      <w:r>
        <w:rPr>
          <w:rFonts w:eastAsia="MS Mincho" w:cs="Arial"/>
          <w:szCs w:val="16"/>
        </w:rPr>
        <w:t xml:space="preserve"> </w:t>
      </w:r>
      <w:r w:rsidRPr="001C0CFB">
        <w:rPr>
          <w:rFonts w:eastAsia="MS Mincho" w:cs="Arial"/>
          <w:szCs w:val="16"/>
        </w:rPr>
        <w:t>applicable law and regulation.</w:t>
      </w:r>
      <w:r>
        <w:rPr>
          <w:rFonts w:eastAsia="MS Mincho" w:cs="Arial"/>
          <w:szCs w:val="16"/>
        </w:rPr>
        <w:t xml:space="preserve"> </w:t>
      </w:r>
    </w:p>
    <w:p w14:paraId="2A082DFA" w14:textId="77777777" w:rsidR="00B318DA" w:rsidRDefault="00B318DA" w:rsidP="00B318DA">
      <w:pPr>
        <w:spacing w:line="276" w:lineRule="auto"/>
        <w:rPr>
          <w:rFonts w:eastAsia="MS Mincho" w:cs="Arial"/>
          <w:szCs w:val="16"/>
        </w:rPr>
      </w:pPr>
    </w:p>
    <w:p w14:paraId="2ABF304E" w14:textId="65B99C9D" w:rsidR="00B318DA" w:rsidRDefault="00B318DA" w:rsidP="00B318DA">
      <w:pPr>
        <w:spacing w:line="276" w:lineRule="auto"/>
        <w:rPr>
          <w:rFonts w:eastAsia="MS Mincho" w:cs="Arial"/>
          <w:szCs w:val="16"/>
        </w:rPr>
      </w:pPr>
      <w:r w:rsidRPr="001C0CFB">
        <w:rPr>
          <w:rFonts w:eastAsia="MS Mincho" w:cs="Arial"/>
          <w:szCs w:val="16"/>
        </w:rPr>
        <w:t>Company law requires the Directors</w:t>
      </w:r>
      <w:r>
        <w:rPr>
          <w:rFonts w:eastAsia="MS Mincho" w:cs="Arial"/>
          <w:szCs w:val="16"/>
        </w:rPr>
        <w:t xml:space="preserve"> </w:t>
      </w:r>
      <w:r w:rsidRPr="001C0CFB">
        <w:rPr>
          <w:rFonts w:eastAsia="MS Mincho" w:cs="Arial"/>
          <w:szCs w:val="16"/>
        </w:rPr>
        <w:t>to prepare financial statements for</w:t>
      </w:r>
      <w:r>
        <w:rPr>
          <w:rFonts w:eastAsia="MS Mincho" w:cs="Arial"/>
          <w:szCs w:val="16"/>
        </w:rPr>
        <w:t xml:space="preserve"> </w:t>
      </w:r>
      <w:r w:rsidRPr="001C0CFB">
        <w:rPr>
          <w:rFonts w:eastAsia="MS Mincho" w:cs="Arial"/>
          <w:szCs w:val="16"/>
        </w:rPr>
        <w:t>each financial year. Under that law the</w:t>
      </w:r>
      <w:r>
        <w:rPr>
          <w:rFonts w:eastAsia="MS Mincho" w:cs="Arial"/>
          <w:szCs w:val="16"/>
        </w:rPr>
        <w:t xml:space="preserve"> </w:t>
      </w:r>
      <w:r w:rsidRPr="001C0CFB">
        <w:rPr>
          <w:rFonts w:eastAsia="MS Mincho" w:cs="Arial"/>
          <w:szCs w:val="16"/>
        </w:rPr>
        <w:t>Directors have prepared the Group</w:t>
      </w:r>
      <w:r>
        <w:rPr>
          <w:rFonts w:eastAsia="MS Mincho" w:cs="Arial"/>
          <w:szCs w:val="16"/>
        </w:rPr>
        <w:t xml:space="preserve"> </w:t>
      </w:r>
      <w:r w:rsidRPr="001C0CFB">
        <w:rPr>
          <w:rFonts w:eastAsia="MS Mincho" w:cs="Arial"/>
          <w:szCs w:val="16"/>
        </w:rPr>
        <w:t>financial statements in accordance with</w:t>
      </w:r>
      <w:r>
        <w:rPr>
          <w:rFonts w:eastAsia="MS Mincho" w:cs="Arial"/>
          <w:szCs w:val="16"/>
        </w:rPr>
        <w:t xml:space="preserve"> </w:t>
      </w:r>
      <w:r w:rsidRPr="001C0CFB">
        <w:rPr>
          <w:rFonts w:eastAsia="MS Mincho" w:cs="Arial"/>
          <w:szCs w:val="16"/>
        </w:rPr>
        <w:t>UK-adopted International Accounting</w:t>
      </w:r>
      <w:r>
        <w:rPr>
          <w:rFonts w:eastAsia="MS Mincho" w:cs="Arial"/>
          <w:szCs w:val="16"/>
        </w:rPr>
        <w:t xml:space="preserve"> </w:t>
      </w:r>
      <w:r w:rsidRPr="001C0CFB">
        <w:rPr>
          <w:rFonts w:eastAsia="MS Mincho" w:cs="Arial"/>
          <w:szCs w:val="16"/>
        </w:rPr>
        <w:t>Standards and the Company financial</w:t>
      </w:r>
      <w:r>
        <w:rPr>
          <w:rFonts w:eastAsia="MS Mincho" w:cs="Arial"/>
          <w:szCs w:val="16"/>
        </w:rPr>
        <w:t xml:space="preserve"> </w:t>
      </w:r>
      <w:r w:rsidRPr="001C0CFB">
        <w:rPr>
          <w:rFonts w:eastAsia="MS Mincho" w:cs="Arial"/>
          <w:szCs w:val="16"/>
        </w:rPr>
        <w:t>statements in accordance with United</w:t>
      </w:r>
      <w:r>
        <w:rPr>
          <w:rFonts w:eastAsia="MS Mincho" w:cs="Arial"/>
          <w:szCs w:val="16"/>
        </w:rPr>
        <w:t xml:space="preserve"> </w:t>
      </w:r>
      <w:r w:rsidRPr="001C0CFB">
        <w:rPr>
          <w:rFonts w:eastAsia="MS Mincho" w:cs="Arial"/>
          <w:szCs w:val="16"/>
        </w:rPr>
        <w:t>Kingdom Generally Accepted Accounting</w:t>
      </w:r>
      <w:r>
        <w:rPr>
          <w:rFonts w:eastAsia="MS Mincho" w:cs="Arial"/>
          <w:szCs w:val="16"/>
        </w:rPr>
        <w:t xml:space="preserve"> </w:t>
      </w:r>
      <w:r w:rsidRPr="001C0CFB">
        <w:rPr>
          <w:rFonts w:eastAsia="MS Mincho" w:cs="Arial"/>
          <w:szCs w:val="16"/>
        </w:rPr>
        <w:t>Practice (United Kingdom Accounting</w:t>
      </w:r>
      <w:r>
        <w:rPr>
          <w:rFonts w:eastAsia="MS Mincho" w:cs="Arial"/>
          <w:szCs w:val="16"/>
        </w:rPr>
        <w:t xml:space="preserve"> </w:t>
      </w:r>
      <w:r w:rsidRPr="001C0CFB">
        <w:rPr>
          <w:rFonts w:eastAsia="MS Mincho" w:cs="Arial"/>
          <w:szCs w:val="16"/>
        </w:rPr>
        <w:t>Standards, comprising FRS 102 ‘The</w:t>
      </w:r>
      <w:r>
        <w:rPr>
          <w:rFonts w:eastAsia="MS Mincho" w:cs="Arial"/>
          <w:szCs w:val="16"/>
        </w:rPr>
        <w:t xml:space="preserve"> </w:t>
      </w:r>
      <w:r w:rsidRPr="001C0CFB">
        <w:rPr>
          <w:rFonts w:eastAsia="MS Mincho" w:cs="Arial"/>
          <w:szCs w:val="16"/>
        </w:rPr>
        <w:t>Financial Reporting Standard applicable</w:t>
      </w:r>
      <w:r>
        <w:rPr>
          <w:rFonts w:eastAsia="MS Mincho" w:cs="Arial"/>
          <w:szCs w:val="16"/>
        </w:rPr>
        <w:t xml:space="preserve"> </w:t>
      </w:r>
      <w:r w:rsidRPr="001C0CFB">
        <w:rPr>
          <w:rFonts w:eastAsia="MS Mincho" w:cs="Arial"/>
          <w:szCs w:val="16"/>
        </w:rPr>
        <w:t>in the UK and Republic of Ireland’, and</w:t>
      </w:r>
      <w:r>
        <w:rPr>
          <w:rFonts w:eastAsia="MS Mincho" w:cs="Arial"/>
          <w:szCs w:val="16"/>
        </w:rPr>
        <w:t xml:space="preserve"> </w:t>
      </w:r>
      <w:r w:rsidRPr="001C0CFB">
        <w:rPr>
          <w:rFonts w:eastAsia="MS Mincho" w:cs="Arial"/>
          <w:szCs w:val="16"/>
        </w:rPr>
        <w:t>applicable law).</w:t>
      </w:r>
      <w:r>
        <w:rPr>
          <w:rFonts w:eastAsia="MS Mincho" w:cs="Arial"/>
          <w:szCs w:val="16"/>
        </w:rPr>
        <w:t xml:space="preserve"> </w:t>
      </w:r>
      <w:r w:rsidRPr="001C0CFB">
        <w:rPr>
          <w:rFonts w:eastAsia="MS Mincho" w:cs="Arial"/>
          <w:szCs w:val="16"/>
        </w:rPr>
        <w:t>Under company law, Directors must not</w:t>
      </w:r>
      <w:r>
        <w:rPr>
          <w:rFonts w:eastAsia="MS Mincho" w:cs="Arial"/>
          <w:szCs w:val="16"/>
        </w:rPr>
        <w:t xml:space="preserve"> </w:t>
      </w:r>
      <w:r w:rsidRPr="001C0CFB">
        <w:rPr>
          <w:rFonts w:eastAsia="MS Mincho" w:cs="Arial"/>
          <w:szCs w:val="16"/>
        </w:rPr>
        <w:t>approve the financial statements unless</w:t>
      </w:r>
      <w:r>
        <w:rPr>
          <w:rFonts w:eastAsia="MS Mincho" w:cs="Arial"/>
          <w:szCs w:val="16"/>
        </w:rPr>
        <w:t xml:space="preserve"> </w:t>
      </w:r>
      <w:r w:rsidRPr="001C0CFB">
        <w:rPr>
          <w:rFonts w:eastAsia="MS Mincho" w:cs="Arial"/>
          <w:szCs w:val="16"/>
        </w:rPr>
        <w:t>they are satisfied that they give a true</w:t>
      </w:r>
      <w:r>
        <w:rPr>
          <w:rFonts w:eastAsia="MS Mincho" w:cs="Arial"/>
          <w:szCs w:val="16"/>
        </w:rPr>
        <w:t xml:space="preserve"> </w:t>
      </w:r>
      <w:r w:rsidRPr="001C0CFB">
        <w:rPr>
          <w:rFonts w:eastAsia="MS Mincho" w:cs="Arial"/>
          <w:szCs w:val="16"/>
        </w:rPr>
        <w:t>and fair view of the state of affairs of the</w:t>
      </w:r>
      <w:r>
        <w:rPr>
          <w:rFonts w:eastAsia="MS Mincho" w:cs="Arial"/>
          <w:szCs w:val="16"/>
        </w:rPr>
        <w:t xml:space="preserve"> </w:t>
      </w:r>
      <w:r w:rsidRPr="001C0CFB">
        <w:rPr>
          <w:rFonts w:eastAsia="MS Mincho" w:cs="Arial"/>
          <w:szCs w:val="16"/>
        </w:rPr>
        <w:t>Group and Company and of the profit or</w:t>
      </w:r>
      <w:r>
        <w:rPr>
          <w:rFonts w:eastAsia="MS Mincho" w:cs="Arial"/>
          <w:szCs w:val="16"/>
        </w:rPr>
        <w:t xml:space="preserve"> </w:t>
      </w:r>
      <w:r w:rsidRPr="001C0CFB">
        <w:rPr>
          <w:rFonts w:eastAsia="MS Mincho" w:cs="Arial"/>
          <w:szCs w:val="16"/>
        </w:rPr>
        <w:t>loss of the Group for that period.</w:t>
      </w:r>
    </w:p>
    <w:p w14:paraId="03ACEEA4" w14:textId="77777777" w:rsidR="00B318DA" w:rsidRDefault="00B318DA" w:rsidP="00B318DA">
      <w:pPr>
        <w:spacing w:line="276" w:lineRule="auto"/>
        <w:rPr>
          <w:rFonts w:eastAsia="MS Mincho" w:cs="Arial"/>
          <w:szCs w:val="16"/>
        </w:rPr>
      </w:pPr>
    </w:p>
    <w:p w14:paraId="1C4BB5F0" w14:textId="77777777" w:rsidR="00B318DA" w:rsidRPr="00A704EA" w:rsidRDefault="00B318DA" w:rsidP="00B318DA">
      <w:r w:rsidRPr="00A704EA">
        <w:t>In preparing the financial statements, the</w:t>
      </w:r>
      <w:r>
        <w:t xml:space="preserve"> </w:t>
      </w:r>
      <w:r w:rsidRPr="00A704EA">
        <w:t>Directors are required to:</w:t>
      </w:r>
    </w:p>
    <w:p w14:paraId="1F8F800C" w14:textId="77777777" w:rsidR="00B318DA" w:rsidRPr="00A704EA" w:rsidRDefault="00B318DA" w:rsidP="00B318DA">
      <w:pPr>
        <w:pStyle w:val="ListParagraph"/>
        <w:numPr>
          <w:ilvl w:val="1"/>
          <w:numId w:val="56"/>
        </w:numPr>
        <w:ind w:left="709" w:hanging="425"/>
      </w:pPr>
      <w:r w:rsidRPr="00A704EA">
        <w:t>select suitable accounting policies and</w:t>
      </w:r>
      <w:r>
        <w:t xml:space="preserve"> </w:t>
      </w:r>
      <w:r w:rsidRPr="00A704EA">
        <w:t>then apply them consistently;</w:t>
      </w:r>
    </w:p>
    <w:p w14:paraId="5F300740" w14:textId="77777777" w:rsidR="00B318DA" w:rsidRPr="00A704EA" w:rsidRDefault="00B318DA" w:rsidP="00B318DA">
      <w:pPr>
        <w:pStyle w:val="ListParagraph"/>
        <w:numPr>
          <w:ilvl w:val="1"/>
          <w:numId w:val="56"/>
        </w:numPr>
        <w:ind w:left="709" w:hanging="425"/>
      </w:pPr>
      <w:r w:rsidRPr="00A704EA">
        <w:t>state whether applicable UK-adopted</w:t>
      </w:r>
      <w:r>
        <w:t xml:space="preserve"> </w:t>
      </w:r>
      <w:r w:rsidRPr="00A704EA">
        <w:t>international accounting standards</w:t>
      </w:r>
      <w:r>
        <w:t xml:space="preserve"> </w:t>
      </w:r>
      <w:r w:rsidRPr="00A704EA">
        <w:t>have been followed for the Group</w:t>
      </w:r>
      <w:r>
        <w:t xml:space="preserve"> </w:t>
      </w:r>
      <w:r w:rsidRPr="00A704EA">
        <w:t>financial statements and United</w:t>
      </w:r>
      <w:r>
        <w:t xml:space="preserve"> </w:t>
      </w:r>
      <w:r w:rsidRPr="00A704EA">
        <w:t>Kingdom Accounting Standards,</w:t>
      </w:r>
      <w:r>
        <w:t xml:space="preserve"> </w:t>
      </w:r>
      <w:r w:rsidRPr="00A704EA">
        <w:t>comprising FRS 102 have been</w:t>
      </w:r>
      <w:r>
        <w:t xml:space="preserve"> </w:t>
      </w:r>
      <w:r w:rsidRPr="00A704EA">
        <w:t>followed for the Company financial</w:t>
      </w:r>
      <w:r>
        <w:t xml:space="preserve"> </w:t>
      </w:r>
      <w:r w:rsidRPr="00A704EA">
        <w:t>statements, subject to any material</w:t>
      </w:r>
      <w:r>
        <w:t xml:space="preserve"> </w:t>
      </w:r>
      <w:r w:rsidRPr="00A704EA">
        <w:t>departures disclosed and explained in</w:t>
      </w:r>
      <w:r>
        <w:t xml:space="preserve"> </w:t>
      </w:r>
      <w:r w:rsidRPr="00A704EA">
        <w:t>the financial statements;</w:t>
      </w:r>
    </w:p>
    <w:p w14:paraId="5093199C" w14:textId="77777777" w:rsidR="00B318DA" w:rsidRPr="00A704EA" w:rsidRDefault="00B318DA" w:rsidP="00B318DA">
      <w:pPr>
        <w:pStyle w:val="ListParagraph"/>
        <w:numPr>
          <w:ilvl w:val="1"/>
          <w:numId w:val="56"/>
        </w:numPr>
        <w:ind w:left="709" w:hanging="425"/>
      </w:pPr>
      <w:r w:rsidRPr="00A704EA">
        <w:t>make judgements and accounting</w:t>
      </w:r>
      <w:r>
        <w:t xml:space="preserve"> </w:t>
      </w:r>
      <w:r w:rsidRPr="00A704EA">
        <w:t>estimates that are reasonable and</w:t>
      </w:r>
      <w:r>
        <w:t xml:space="preserve"> </w:t>
      </w:r>
      <w:r w:rsidRPr="00A704EA">
        <w:t>prudent; and</w:t>
      </w:r>
    </w:p>
    <w:p w14:paraId="364A5D13" w14:textId="77777777" w:rsidR="00B318DA" w:rsidRDefault="00B318DA" w:rsidP="00B318DA">
      <w:pPr>
        <w:pStyle w:val="ListParagraph"/>
        <w:numPr>
          <w:ilvl w:val="1"/>
          <w:numId w:val="56"/>
        </w:numPr>
        <w:ind w:left="709" w:hanging="425"/>
      </w:pPr>
      <w:r w:rsidRPr="00A704EA">
        <w:t>prepare the financial statements on</w:t>
      </w:r>
      <w:r>
        <w:t xml:space="preserve"> </w:t>
      </w:r>
      <w:r w:rsidRPr="00A704EA">
        <w:t>the going concern basis unless it is</w:t>
      </w:r>
      <w:r>
        <w:t xml:space="preserve"> </w:t>
      </w:r>
      <w:r w:rsidRPr="00A704EA">
        <w:t>inappropriate to presume that the</w:t>
      </w:r>
      <w:r>
        <w:t xml:space="preserve"> </w:t>
      </w:r>
      <w:r w:rsidRPr="00A704EA">
        <w:t>Group and Company will remain in</w:t>
      </w:r>
      <w:r>
        <w:t xml:space="preserve"> </w:t>
      </w:r>
      <w:r w:rsidRPr="00A704EA">
        <w:t>business.</w:t>
      </w:r>
    </w:p>
    <w:p w14:paraId="5DE16EDA" w14:textId="77777777" w:rsidR="00B318DA" w:rsidRPr="00A704EA" w:rsidRDefault="00B318DA" w:rsidP="00B318DA"/>
    <w:p w14:paraId="2C668FF1" w14:textId="77777777" w:rsidR="00B318DA" w:rsidRDefault="00B318DA" w:rsidP="00B318DA">
      <w:r w:rsidRPr="00A704EA">
        <w:t>The Directors are responsible for</w:t>
      </w:r>
      <w:r>
        <w:t xml:space="preserve"> </w:t>
      </w:r>
      <w:r w:rsidRPr="00A704EA">
        <w:t>safeguarding the assets of the Group</w:t>
      </w:r>
      <w:r>
        <w:t xml:space="preserve"> </w:t>
      </w:r>
      <w:r w:rsidRPr="00A704EA">
        <w:t>and Company and hence for taking</w:t>
      </w:r>
      <w:r>
        <w:t xml:space="preserve"> </w:t>
      </w:r>
      <w:r w:rsidRPr="00A704EA">
        <w:t>reasonable steps for the prevention and</w:t>
      </w:r>
      <w:r>
        <w:t xml:space="preserve"> </w:t>
      </w:r>
      <w:r w:rsidRPr="00A704EA">
        <w:t>detection of fraud and other irregularities.</w:t>
      </w:r>
    </w:p>
    <w:p w14:paraId="75ACD5DB" w14:textId="77777777" w:rsidR="00B318DA" w:rsidRDefault="00B318DA" w:rsidP="00B318DA"/>
    <w:p w14:paraId="02953370" w14:textId="77777777" w:rsidR="00B318DA" w:rsidRDefault="00B318DA" w:rsidP="00B318DA">
      <w:r w:rsidRPr="000F7648">
        <w:t>The Directors are also responsible for</w:t>
      </w:r>
      <w:r>
        <w:t xml:space="preserve"> </w:t>
      </w:r>
      <w:r w:rsidRPr="000F7648">
        <w:t>keeping adequate accounting records</w:t>
      </w:r>
      <w:r>
        <w:t xml:space="preserve"> </w:t>
      </w:r>
      <w:r w:rsidRPr="000F7648">
        <w:t>that are sufficient to show and explain the</w:t>
      </w:r>
      <w:r>
        <w:t xml:space="preserve"> </w:t>
      </w:r>
      <w:r w:rsidRPr="000F7648">
        <w:t>Group’s and Company’s transactions and</w:t>
      </w:r>
      <w:r>
        <w:t xml:space="preserve"> </w:t>
      </w:r>
      <w:r w:rsidRPr="000F7648">
        <w:t>disclose with reasonable accuracy at any</w:t>
      </w:r>
      <w:r>
        <w:t xml:space="preserve"> </w:t>
      </w:r>
      <w:r w:rsidRPr="000F7648">
        <w:t>time the financial position of the Group</w:t>
      </w:r>
      <w:r>
        <w:t xml:space="preserve"> </w:t>
      </w:r>
      <w:r w:rsidRPr="000F7648">
        <w:t>and Company and enable them to ensure</w:t>
      </w:r>
      <w:r>
        <w:t xml:space="preserve"> </w:t>
      </w:r>
      <w:r w:rsidRPr="000F7648">
        <w:t>that the financial statements comply with</w:t>
      </w:r>
      <w:r>
        <w:t xml:space="preserve"> </w:t>
      </w:r>
      <w:r w:rsidRPr="000F7648">
        <w:t>the Companies Act 2006.</w:t>
      </w:r>
    </w:p>
    <w:p w14:paraId="30E31359" w14:textId="77777777" w:rsidR="00B318DA" w:rsidRPr="000F7648" w:rsidRDefault="00B318DA" w:rsidP="00B318DA"/>
    <w:p w14:paraId="126A1800" w14:textId="77777777" w:rsidR="00B318DA" w:rsidRDefault="00B318DA" w:rsidP="00B318DA">
      <w:r w:rsidRPr="000F7648">
        <w:t>The Directors are responsible for</w:t>
      </w:r>
      <w:r>
        <w:t xml:space="preserve"> </w:t>
      </w:r>
      <w:r w:rsidRPr="000F7648">
        <w:t>the maintenance and integrity of the</w:t>
      </w:r>
      <w:r>
        <w:t xml:space="preserve"> </w:t>
      </w:r>
      <w:r w:rsidRPr="000F7648">
        <w:t>Company’s website. Legislation in</w:t>
      </w:r>
      <w:r>
        <w:t xml:space="preserve"> </w:t>
      </w:r>
      <w:r w:rsidRPr="000F7648">
        <w:t>the United Kingdom governing the</w:t>
      </w:r>
      <w:r>
        <w:t xml:space="preserve"> </w:t>
      </w:r>
      <w:r w:rsidRPr="000F7648">
        <w:t>preparation and dissemination of financial</w:t>
      </w:r>
      <w:r>
        <w:t xml:space="preserve"> </w:t>
      </w:r>
      <w:r w:rsidRPr="000F7648">
        <w:t>statements may differ from legislation in</w:t>
      </w:r>
      <w:r>
        <w:t xml:space="preserve"> </w:t>
      </w:r>
      <w:r w:rsidRPr="000F7648">
        <w:t>other jurisdictions.</w:t>
      </w:r>
    </w:p>
    <w:p w14:paraId="0B277A3D" w14:textId="77777777" w:rsidR="00B318DA" w:rsidRDefault="00B318DA" w:rsidP="00B318DA">
      <w:pPr>
        <w:spacing w:line="276" w:lineRule="auto"/>
        <w:rPr>
          <w:rFonts w:eastAsia="MS Mincho" w:cs="Arial"/>
          <w:szCs w:val="16"/>
        </w:rPr>
      </w:pPr>
    </w:p>
    <w:p w14:paraId="04893F85" w14:textId="77777777" w:rsidR="00B318DA" w:rsidRPr="00EC3FF0" w:rsidRDefault="00B318DA" w:rsidP="00B318DA">
      <w:pPr>
        <w:spacing w:line="276" w:lineRule="auto"/>
        <w:rPr>
          <w:rFonts w:eastAsia="MS Mincho" w:cs="Arial"/>
          <w:b/>
          <w:bCs/>
          <w:szCs w:val="16"/>
        </w:rPr>
      </w:pPr>
      <w:r w:rsidRPr="00EC3FF0">
        <w:rPr>
          <w:rFonts w:eastAsia="MS Mincho" w:cs="Arial"/>
          <w:b/>
          <w:bCs/>
          <w:szCs w:val="16"/>
        </w:rPr>
        <w:t>Directors’ confirmations</w:t>
      </w:r>
    </w:p>
    <w:p w14:paraId="20567E20" w14:textId="77777777" w:rsidR="00B318DA" w:rsidRPr="00115A3E" w:rsidRDefault="00B318DA" w:rsidP="00B318DA">
      <w:pPr>
        <w:spacing w:line="276" w:lineRule="auto"/>
        <w:rPr>
          <w:rFonts w:eastAsia="MS Mincho" w:cs="Arial"/>
          <w:szCs w:val="16"/>
        </w:rPr>
      </w:pPr>
      <w:r w:rsidRPr="00115A3E">
        <w:rPr>
          <w:rFonts w:eastAsia="MS Mincho" w:cs="Arial"/>
          <w:szCs w:val="16"/>
        </w:rPr>
        <w:t>In the case of each Director in office at the date the Directors’ report is approved:</w:t>
      </w:r>
    </w:p>
    <w:p w14:paraId="31315CEE" w14:textId="77777777" w:rsidR="00B318DA" w:rsidRDefault="00B318DA" w:rsidP="00B318DA">
      <w:pPr>
        <w:pStyle w:val="ListParagraph"/>
        <w:numPr>
          <w:ilvl w:val="0"/>
          <w:numId w:val="55"/>
        </w:numPr>
        <w:spacing w:line="276" w:lineRule="auto"/>
        <w:ind w:left="709" w:hanging="425"/>
        <w:rPr>
          <w:rFonts w:eastAsia="MS Mincho" w:cs="Arial"/>
          <w:szCs w:val="16"/>
        </w:rPr>
      </w:pPr>
      <w:r w:rsidRPr="00115A3E">
        <w:rPr>
          <w:rFonts w:eastAsia="MS Mincho" w:cs="Arial"/>
          <w:szCs w:val="16"/>
        </w:rPr>
        <w:t>so far as the Director is aware, there is no relevant audit information of which the Group’s and Company’s auditors are unaware; and</w:t>
      </w:r>
    </w:p>
    <w:p w14:paraId="4DC6DEFE" w14:textId="77777777" w:rsidR="00B318DA" w:rsidRPr="00115A3E" w:rsidRDefault="00B318DA" w:rsidP="00B318DA">
      <w:pPr>
        <w:pStyle w:val="ListParagraph"/>
        <w:numPr>
          <w:ilvl w:val="0"/>
          <w:numId w:val="55"/>
        </w:numPr>
        <w:spacing w:line="276" w:lineRule="auto"/>
        <w:ind w:left="709" w:hanging="425"/>
        <w:rPr>
          <w:rFonts w:eastAsia="MS Mincho" w:cs="Arial"/>
          <w:szCs w:val="16"/>
        </w:rPr>
      </w:pPr>
      <w:r w:rsidRPr="00115A3E">
        <w:rPr>
          <w:rFonts w:eastAsia="MS Mincho" w:cs="Arial"/>
          <w:szCs w:val="16"/>
        </w:rPr>
        <w:t>they have taken all the steps that they ought to have taken as a Director in order to make themselves aware of any relevant audit information and to establish that the Group’s and Company’s auditors are aware of that information.</w:t>
      </w:r>
    </w:p>
    <w:p w14:paraId="61658984" w14:textId="77777777" w:rsidR="00B318DA" w:rsidRDefault="00B318DA" w:rsidP="00B318DA">
      <w:pPr>
        <w:spacing w:line="276" w:lineRule="auto"/>
        <w:rPr>
          <w:rFonts w:eastAsia="MS Mincho" w:cs="Arial"/>
          <w:szCs w:val="16"/>
        </w:rPr>
      </w:pPr>
    </w:p>
    <w:p w14:paraId="0F598597" w14:textId="77777777" w:rsidR="00B318DA" w:rsidRPr="00EC3FF0" w:rsidRDefault="00B318DA" w:rsidP="00B318DA">
      <w:pPr>
        <w:spacing w:line="276" w:lineRule="auto"/>
        <w:rPr>
          <w:rFonts w:eastAsia="MS Mincho" w:cs="Arial"/>
          <w:szCs w:val="16"/>
        </w:rPr>
      </w:pPr>
    </w:p>
    <w:p w14:paraId="7866B643" w14:textId="77777777" w:rsidR="00B318DA" w:rsidRDefault="00B318DA" w:rsidP="00B318DA">
      <w:pPr>
        <w:spacing w:line="276" w:lineRule="auto"/>
        <w:rPr>
          <w:rFonts w:eastAsia="MS Mincho" w:cs="Arial"/>
          <w:szCs w:val="16"/>
        </w:rPr>
      </w:pPr>
      <w:r w:rsidRPr="00EC3FF0">
        <w:rPr>
          <w:rFonts w:eastAsia="MS Mincho" w:cs="Arial"/>
          <w:szCs w:val="16"/>
        </w:rPr>
        <w:t>On behalf of the Board.</w:t>
      </w:r>
    </w:p>
    <w:p w14:paraId="176B2253" w14:textId="77777777" w:rsidR="00B318DA" w:rsidRDefault="00B318DA" w:rsidP="00B318DA">
      <w:pPr>
        <w:spacing w:line="276" w:lineRule="auto"/>
        <w:rPr>
          <w:rFonts w:eastAsia="MS Mincho" w:cs="Arial"/>
          <w:szCs w:val="16"/>
        </w:rPr>
      </w:pPr>
    </w:p>
    <w:p w14:paraId="041098E8" w14:textId="0CD0127D" w:rsidR="00B318DA" w:rsidRDefault="00B318DA" w:rsidP="00B318DA">
      <w:pPr>
        <w:spacing w:line="276" w:lineRule="auto"/>
        <w:rPr>
          <w:rFonts w:eastAsia="MS Mincho" w:cs="Arial"/>
          <w:szCs w:val="16"/>
        </w:rPr>
      </w:pPr>
    </w:p>
    <w:p w14:paraId="5FC49D7C" w14:textId="77777777" w:rsidR="00B318DA" w:rsidRPr="00EC3FF0" w:rsidRDefault="00B318DA" w:rsidP="00B318DA">
      <w:pPr>
        <w:spacing w:line="276" w:lineRule="auto"/>
        <w:rPr>
          <w:rFonts w:eastAsia="MS Mincho" w:cs="Arial"/>
          <w:szCs w:val="16"/>
        </w:rPr>
      </w:pPr>
    </w:p>
    <w:p w14:paraId="14DA818E" w14:textId="77777777" w:rsidR="00B318DA" w:rsidRPr="00EC3FF0" w:rsidRDefault="00B318DA" w:rsidP="00B318DA">
      <w:pPr>
        <w:spacing w:line="276" w:lineRule="auto"/>
        <w:rPr>
          <w:rFonts w:eastAsia="MS Mincho" w:cs="Arial"/>
          <w:b/>
          <w:bCs/>
          <w:szCs w:val="16"/>
        </w:rPr>
      </w:pPr>
      <w:r w:rsidRPr="00EC3FF0">
        <w:rPr>
          <w:rFonts w:eastAsia="MS Mincho" w:cs="Arial"/>
          <w:b/>
          <w:bCs/>
          <w:szCs w:val="16"/>
        </w:rPr>
        <w:t>Rohan Cummings</w:t>
      </w:r>
    </w:p>
    <w:p w14:paraId="1DA8E075" w14:textId="77777777" w:rsidR="00B318DA" w:rsidRPr="00EC3FF0" w:rsidRDefault="00B318DA" w:rsidP="00B318DA">
      <w:pPr>
        <w:spacing w:line="276" w:lineRule="auto"/>
        <w:rPr>
          <w:rFonts w:eastAsia="MS Mincho" w:cs="Arial"/>
          <w:szCs w:val="16"/>
        </w:rPr>
      </w:pPr>
      <w:r w:rsidRPr="00EC3FF0">
        <w:rPr>
          <w:rFonts w:eastAsia="MS Mincho" w:cs="Arial"/>
          <w:szCs w:val="16"/>
        </w:rPr>
        <w:t>Chief Financial Officer</w:t>
      </w:r>
    </w:p>
    <w:p w14:paraId="72B7A0FF" w14:textId="77777777" w:rsidR="00B318DA" w:rsidRPr="00EC3FF0" w:rsidRDefault="00B318DA" w:rsidP="00B318DA">
      <w:pPr>
        <w:spacing w:line="276" w:lineRule="auto"/>
        <w:rPr>
          <w:rFonts w:eastAsia="MS Mincho" w:cs="Arial"/>
          <w:szCs w:val="16"/>
        </w:rPr>
      </w:pPr>
      <w:r w:rsidRPr="00EC3FF0">
        <w:rPr>
          <w:rFonts w:eastAsia="MS Mincho" w:cs="Arial"/>
          <w:szCs w:val="16"/>
        </w:rPr>
        <w:t>15 June 2026</w:t>
      </w:r>
    </w:p>
    <w:p w14:paraId="3EC9ACD0" w14:textId="29AD13C0" w:rsidR="00B318DA" w:rsidRDefault="00B318DA">
      <w:pPr>
        <w:rPr>
          <w:rFonts w:eastAsia="MS Mincho" w:cs="Arial"/>
          <w:szCs w:val="16"/>
        </w:rPr>
      </w:pPr>
      <w:r>
        <w:rPr>
          <w:rFonts w:eastAsia="MS Mincho" w:cs="Arial"/>
          <w:szCs w:val="16"/>
        </w:rPr>
        <w:br w:type="page"/>
      </w:r>
    </w:p>
    <w:p w14:paraId="0BC21E00" w14:textId="77777777" w:rsidR="00271E37" w:rsidRPr="007571A6" w:rsidRDefault="00271E37">
      <w:pPr>
        <w:pStyle w:val="Heading1"/>
      </w:pPr>
      <w:r w:rsidRPr="007571A6">
        <w:lastRenderedPageBreak/>
        <w:t xml:space="preserve">Consolidated income statement </w:t>
      </w:r>
    </w:p>
    <w:p w14:paraId="31058C97" w14:textId="2EF915EB" w:rsidR="00271E37" w:rsidRPr="007571A6" w:rsidRDefault="00271E37" w:rsidP="002E39D4">
      <w:pPr>
        <w:rPr>
          <w:b/>
          <w:bCs/>
        </w:rPr>
      </w:pPr>
      <w:r w:rsidRPr="007571A6">
        <w:rPr>
          <w:b/>
          <w:bCs/>
        </w:rPr>
        <w:t xml:space="preserve">Year ended 31 </w:t>
      </w:r>
      <w:r w:rsidRPr="00C964FE">
        <w:rPr>
          <w:b/>
          <w:bCs/>
        </w:rPr>
        <w:t>March</w:t>
      </w:r>
      <w:r w:rsidR="00793496" w:rsidRPr="00C964FE">
        <w:rPr>
          <w:b/>
          <w:bCs/>
        </w:rPr>
        <w:t xml:space="preserve"> 2026</w:t>
      </w:r>
    </w:p>
    <w:p w14:paraId="3CEF453D" w14:textId="77777777" w:rsidR="00271E37" w:rsidRDefault="00271E37" w:rsidP="002E39D4"/>
    <w:tbl>
      <w:tblPr>
        <w:tblStyle w:val="tableDUL"/>
        <w:tblW w:w="9639" w:type="dxa"/>
        <w:tblLayout w:type="fixed"/>
        <w:tblLook w:val="04A0" w:firstRow="1" w:lastRow="0" w:firstColumn="1" w:lastColumn="0" w:noHBand="0" w:noVBand="1"/>
      </w:tblPr>
      <w:tblGrid>
        <w:gridCol w:w="6237"/>
        <w:gridCol w:w="1134"/>
        <w:gridCol w:w="1134"/>
        <w:gridCol w:w="1134"/>
      </w:tblGrid>
      <w:tr w:rsidR="00271E37" w:rsidRPr="007571A6" w14:paraId="44830A98" w14:textId="77777777">
        <w:trPr>
          <w:trHeight w:hRule="exact" w:val="20"/>
        </w:trPr>
        <w:tc>
          <w:tcPr>
            <w:tcW w:w="6237" w:type="dxa"/>
            <w:tcBorders>
              <w:top w:val="nil"/>
              <w:left w:val="nil"/>
              <w:bottom w:val="nil"/>
              <w:right w:val="nil"/>
            </w:tcBorders>
          </w:tcPr>
          <w:p w14:paraId="423FFA78" w14:textId="77777777" w:rsidR="00271E37" w:rsidRDefault="00271E37">
            <w:pPr>
              <w:rPr>
                <w:sz w:val="2"/>
              </w:rPr>
            </w:pPr>
            <w:bookmarkStart w:id="22" w:name="_1af98675_ed5c_4ed4_9331_dc0fdfae2487"/>
            <w:bookmarkStart w:id="23" w:name="_d996d665_4dc6_4e45_bc83_4cef7440707e"/>
            <w:bookmarkEnd w:id="22"/>
          </w:p>
        </w:tc>
        <w:tc>
          <w:tcPr>
            <w:tcW w:w="1134" w:type="dxa"/>
            <w:tcBorders>
              <w:top w:val="nil"/>
              <w:left w:val="nil"/>
              <w:bottom w:val="nil"/>
              <w:right w:val="nil"/>
            </w:tcBorders>
          </w:tcPr>
          <w:p w14:paraId="2B78A81C" w14:textId="77777777" w:rsidR="00271E37" w:rsidRDefault="00271E37">
            <w:pPr>
              <w:rPr>
                <w:sz w:val="2"/>
              </w:rPr>
            </w:pPr>
          </w:p>
        </w:tc>
        <w:tc>
          <w:tcPr>
            <w:tcW w:w="1134" w:type="dxa"/>
            <w:tcBorders>
              <w:top w:val="nil"/>
              <w:left w:val="nil"/>
              <w:bottom w:val="nil"/>
              <w:right w:val="nil"/>
            </w:tcBorders>
          </w:tcPr>
          <w:p w14:paraId="4ED5FDD5" w14:textId="77777777" w:rsidR="00271E37" w:rsidRDefault="00271E37">
            <w:pPr>
              <w:rPr>
                <w:sz w:val="2"/>
              </w:rPr>
            </w:pPr>
          </w:p>
        </w:tc>
        <w:tc>
          <w:tcPr>
            <w:tcW w:w="1134" w:type="dxa"/>
            <w:tcBorders>
              <w:top w:val="nil"/>
              <w:left w:val="nil"/>
              <w:bottom w:val="nil"/>
              <w:right w:val="nil"/>
            </w:tcBorders>
          </w:tcPr>
          <w:p w14:paraId="0277AF0C" w14:textId="77777777" w:rsidR="00271E37" w:rsidRDefault="00271E37">
            <w:pPr>
              <w:rPr>
                <w:sz w:val="2"/>
              </w:rPr>
            </w:pPr>
          </w:p>
        </w:tc>
      </w:tr>
      <w:tr w:rsidR="00271E37" w:rsidRPr="007571A6" w14:paraId="651DCF71" w14:textId="77777777">
        <w:tc>
          <w:tcPr>
            <w:tcW w:w="6237" w:type="dxa"/>
            <w:tcBorders>
              <w:bottom w:val="nil"/>
            </w:tcBorders>
          </w:tcPr>
          <w:p w14:paraId="723A3BA4" w14:textId="77777777" w:rsidR="00271E37" w:rsidRPr="007571A6" w:rsidRDefault="00271E37"/>
        </w:tc>
        <w:tc>
          <w:tcPr>
            <w:tcW w:w="1134" w:type="dxa"/>
            <w:tcBorders>
              <w:bottom w:val="nil"/>
            </w:tcBorders>
          </w:tcPr>
          <w:p w14:paraId="3F0EEBED" w14:textId="77777777" w:rsidR="00271E37" w:rsidRDefault="00271E37"/>
        </w:tc>
        <w:tc>
          <w:tcPr>
            <w:tcW w:w="1134" w:type="dxa"/>
            <w:tcBorders>
              <w:bottom w:val="nil"/>
            </w:tcBorders>
          </w:tcPr>
          <w:p w14:paraId="3A7DCBEC" w14:textId="77777777" w:rsidR="00271E37" w:rsidRDefault="00271E37">
            <w:pPr>
              <w:rPr>
                <w:b/>
                <w:bCs/>
              </w:rPr>
            </w:pPr>
          </w:p>
        </w:tc>
        <w:tc>
          <w:tcPr>
            <w:tcW w:w="1134" w:type="dxa"/>
            <w:tcBorders>
              <w:bottom w:val="nil"/>
            </w:tcBorders>
          </w:tcPr>
          <w:p w14:paraId="0704FAFF" w14:textId="1E5BBA18" w:rsidR="00271E37" w:rsidRDefault="00271E37"/>
        </w:tc>
      </w:tr>
      <w:tr w:rsidR="00271E37" w:rsidRPr="007571A6" w14:paraId="7FCDD5B6" w14:textId="77777777">
        <w:tc>
          <w:tcPr>
            <w:tcW w:w="6237" w:type="dxa"/>
            <w:tcBorders>
              <w:bottom w:val="nil"/>
            </w:tcBorders>
          </w:tcPr>
          <w:p w14:paraId="43AC14D7" w14:textId="77777777" w:rsidR="00271E37" w:rsidRPr="007571A6" w:rsidRDefault="00271E37"/>
        </w:tc>
        <w:tc>
          <w:tcPr>
            <w:tcW w:w="1134" w:type="dxa"/>
            <w:tcBorders>
              <w:bottom w:val="nil"/>
            </w:tcBorders>
          </w:tcPr>
          <w:p w14:paraId="3BA8606F" w14:textId="77777777" w:rsidR="00271E37" w:rsidRDefault="00271E37"/>
        </w:tc>
        <w:tc>
          <w:tcPr>
            <w:tcW w:w="1134" w:type="dxa"/>
            <w:tcBorders>
              <w:bottom w:val="nil"/>
            </w:tcBorders>
          </w:tcPr>
          <w:p w14:paraId="4588647B" w14:textId="77777777" w:rsidR="00271E37" w:rsidRPr="007571A6" w:rsidRDefault="00271E37">
            <w:pPr>
              <w:rPr>
                <w:b/>
                <w:bCs/>
              </w:rPr>
            </w:pPr>
            <w:r>
              <w:rPr>
                <w:b/>
                <w:bCs/>
              </w:rPr>
              <w:t>2026</w:t>
            </w:r>
          </w:p>
        </w:tc>
        <w:tc>
          <w:tcPr>
            <w:tcW w:w="1134" w:type="dxa"/>
            <w:tcBorders>
              <w:bottom w:val="nil"/>
            </w:tcBorders>
          </w:tcPr>
          <w:p w14:paraId="1C839A94" w14:textId="77777777" w:rsidR="00271E37" w:rsidRPr="007571A6" w:rsidRDefault="00271E37">
            <w:r>
              <w:t>202</w:t>
            </w:r>
            <w:r w:rsidRPr="00F026F9">
              <w:t>5</w:t>
            </w:r>
          </w:p>
        </w:tc>
      </w:tr>
      <w:tr w:rsidR="00271E37" w:rsidRPr="007571A6" w14:paraId="00A8FD86" w14:textId="77777777">
        <w:tc>
          <w:tcPr>
            <w:tcW w:w="6237" w:type="dxa"/>
            <w:tcBorders>
              <w:top w:val="nil"/>
              <w:bottom w:val="single" w:sz="4" w:space="0" w:color="000000" w:themeColor="text1"/>
            </w:tcBorders>
          </w:tcPr>
          <w:p w14:paraId="168C9EEE" w14:textId="3FFEF0ED" w:rsidR="00271E37" w:rsidRPr="007571A6" w:rsidRDefault="00271E37">
            <w:pPr>
              <w:tabs>
                <w:tab w:val="left" w:pos="705"/>
              </w:tabs>
              <w:jc w:val="left"/>
            </w:pPr>
            <w:r>
              <w:t xml:space="preserve">Continuing </w:t>
            </w:r>
            <w:r w:rsidR="00FE733A">
              <w:t>o</w:t>
            </w:r>
            <w:r>
              <w:t>perations</w:t>
            </w:r>
            <w:r>
              <w:tab/>
            </w:r>
          </w:p>
        </w:tc>
        <w:tc>
          <w:tcPr>
            <w:tcW w:w="1134" w:type="dxa"/>
            <w:tcBorders>
              <w:top w:val="nil"/>
              <w:bottom w:val="single" w:sz="4" w:space="0" w:color="000000" w:themeColor="text1"/>
            </w:tcBorders>
          </w:tcPr>
          <w:p w14:paraId="2BB9D506" w14:textId="77777777" w:rsidR="00271E37" w:rsidRDefault="00271E37">
            <w:r>
              <w:t>Note</w:t>
            </w:r>
          </w:p>
        </w:tc>
        <w:tc>
          <w:tcPr>
            <w:tcW w:w="1134" w:type="dxa"/>
            <w:tcBorders>
              <w:top w:val="nil"/>
              <w:bottom w:val="single" w:sz="4" w:space="0" w:color="000000" w:themeColor="text1"/>
            </w:tcBorders>
          </w:tcPr>
          <w:p w14:paraId="132E0260" w14:textId="77777777" w:rsidR="00271E37" w:rsidRPr="007571A6" w:rsidRDefault="00271E37">
            <w:pPr>
              <w:rPr>
                <w:b/>
                <w:bCs/>
              </w:rPr>
            </w:pPr>
            <w:r>
              <w:rPr>
                <w:b/>
                <w:bCs/>
              </w:rPr>
              <w:t>£000</w:t>
            </w:r>
          </w:p>
        </w:tc>
        <w:tc>
          <w:tcPr>
            <w:tcW w:w="1134" w:type="dxa"/>
            <w:tcBorders>
              <w:top w:val="nil"/>
              <w:bottom w:val="single" w:sz="4" w:space="0" w:color="000000" w:themeColor="text1"/>
            </w:tcBorders>
          </w:tcPr>
          <w:p w14:paraId="671DE361" w14:textId="77777777" w:rsidR="00271E37" w:rsidRPr="007571A6" w:rsidRDefault="00271E37">
            <w:r>
              <w:t>£000</w:t>
            </w:r>
          </w:p>
        </w:tc>
      </w:tr>
      <w:tr w:rsidR="00271E37" w:rsidRPr="009B3F94" w14:paraId="62B9DB6D" w14:textId="77777777">
        <w:tc>
          <w:tcPr>
            <w:tcW w:w="6237" w:type="dxa"/>
            <w:tcBorders>
              <w:top w:val="single" w:sz="4" w:space="0" w:color="000000" w:themeColor="text1"/>
            </w:tcBorders>
          </w:tcPr>
          <w:p w14:paraId="6E12A5C4" w14:textId="77777777" w:rsidR="00271E37" w:rsidRPr="009B3F94" w:rsidRDefault="00271E37">
            <w:pPr>
              <w:jc w:val="left"/>
              <w:rPr>
                <w:b/>
                <w:bCs/>
              </w:rPr>
            </w:pPr>
            <w:r w:rsidRPr="009B3F94">
              <w:rPr>
                <w:b/>
                <w:bCs/>
              </w:rPr>
              <w:t xml:space="preserve">Revenue </w:t>
            </w:r>
          </w:p>
        </w:tc>
        <w:tc>
          <w:tcPr>
            <w:tcW w:w="1134" w:type="dxa"/>
            <w:tcBorders>
              <w:top w:val="single" w:sz="4" w:space="0" w:color="000000" w:themeColor="text1"/>
            </w:tcBorders>
          </w:tcPr>
          <w:p w14:paraId="5C6E30DC" w14:textId="77777777" w:rsidR="00271E37" w:rsidRPr="009B3F94" w:rsidRDefault="00271E37">
            <w:r w:rsidRPr="009B3F94">
              <w:t>2</w:t>
            </w:r>
          </w:p>
        </w:tc>
        <w:tc>
          <w:tcPr>
            <w:tcW w:w="1134" w:type="dxa"/>
            <w:tcBorders>
              <w:top w:val="single" w:sz="4" w:space="0" w:color="000000" w:themeColor="text1"/>
            </w:tcBorders>
            <w:vAlign w:val="center"/>
          </w:tcPr>
          <w:p w14:paraId="0A555971" w14:textId="77777777" w:rsidR="00271E37" w:rsidRPr="009B3F94" w:rsidRDefault="00271E37">
            <w:pPr>
              <w:rPr>
                <w:b/>
                <w:bCs/>
              </w:rPr>
            </w:pPr>
            <w:r>
              <w:rPr>
                <w:rFonts w:cs="Arial"/>
                <w:b/>
                <w:bCs/>
                <w:color w:val="000000"/>
                <w:szCs w:val="16"/>
              </w:rPr>
              <w:t xml:space="preserve">217,874 </w:t>
            </w:r>
          </w:p>
        </w:tc>
        <w:tc>
          <w:tcPr>
            <w:tcW w:w="1134" w:type="dxa"/>
            <w:tcBorders>
              <w:top w:val="single" w:sz="4" w:space="0" w:color="000000" w:themeColor="text1"/>
            </w:tcBorders>
            <w:vAlign w:val="center"/>
          </w:tcPr>
          <w:p w14:paraId="0754FEA6" w14:textId="77777777" w:rsidR="00271E37" w:rsidRPr="009B3F94" w:rsidRDefault="00271E37">
            <w:r>
              <w:rPr>
                <w:rFonts w:cs="Arial"/>
                <w:color w:val="000000"/>
                <w:szCs w:val="16"/>
              </w:rPr>
              <w:t xml:space="preserve">225,371 </w:t>
            </w:r>
          </w:p>
        </w:tc>
      </w:tr>
      <w:tr w:rsidR="00271E37" w:rsidRPr="009B3F94" w14:paraId="4618F2D8" w14:textId="77777777">
        <w:tc>
          <w:tcPr>
            <w:tcW w:w="6237" w:type="dxa"/>
            <w:tcBorders>
              <w:bottom w:val="single" w:sz="4" w:space="0" w:color="000000" w:themeColor="text1"/>
            </w:tcBorders>
          </w:tcPr>
          <w:p w14:paraId="0F23DC7C" w14:textId="77777777" w:rsidR="00271E37" w:rsidRPr="009B3F94" w:rsidRDefault="00271E37">
            <w:pPr>
              <w:jc w:val="left"/>
            </w:pPr>
            <w:r w:rsidRPr="009B3F94">
              <w:t>Cost of sales</w:t>
            </w:r>
          </w:p>
        </w:tc>
        <w:tc>
          <w:tcPr>
            <w:tcW w:w="1134" w:type="dxa"/>
            <w:tcBorders>
              <w:bottom w:val="single" w:sz="4" w:space="0" w:color="000000" w:themeColor="text1"/>
            </w:tcBorders>
          </w:tcPr>
          <w:p w14:paraId="6DCE4C7F" w14:textId="77777777" w:rsidR="00271E37" w:rsidRPr="009B3F94" w:rsidRDefault="00271E37">
            <w:r w:rsidRPr="009B3F94">
              <w:t>2</w:t>
            </w:r>
          </w:p>
        </w:tc>
        <w:tc>
          <w:tcPr>
            <w:tcW w:w="1134" w:type="dxa"/>
            <w:tcBorders>
              <w:bottom w:val="single" w:sz="4" w:space="0" w:color="000000" w:themeColor="text1"/>
            </w:tcBorders>
            <w:vAlign w:val="center"/>
          </w:tcPr>
          <w:p w14:paraId="1E59A0F8" w14:textId="77777777" w:rsidR="00271E37" w:rsidRPr="009B3F94" w:rsidRDefault="00271E37">
            <w:pPr>
              <w:rPr>
                <w:b/>
                <w:bCs/>
              </w:rPr>
            </w:pPr>
            <w:r>
              <w:rPr>
                <w:rFonts w:cs="Arial"/>
                <w:b/>
                <w:bCs/>
                <w:color w:val="000000"/>
                <w:szCs w:val="16"/>
              </w:rPr>
              <w:t>(176,759)</w:t>
            </w:r>
          </w:p>
        </w:tc>
        <w:tc>
          <w:tcPr>
            <w:tcW w:w="1134" w:type="dxa"/>
            <w:tcBorders>
              <w:bottom w:val="single" w:sz="4" w:space="0" w:color="000000" w:themeColor="text1"/>
            </w:tcBorders>
            <w:vAlign w:val="center"/>
          </w:tcPr>
          <w:p w14:paraId="6F81153F" w14:textId="77777777" w:rsidR="00271E37" w:rsidRPr="009B3F94" w:rsidRDefault="00271E37">
            <w:r>
              <w:rPr>
                <w:rFonts w:cs="Arial"/>
                <w:color w:val="000000"/>
                <w:szCs w:val="16"/>
              </w:rPr>
              <w:t>(176,925)</w:t>
            </w:r>
          </w:p>
        </w:tc>
      </w:tr>
      <w:tr w:rsidR="00271E37" w:rsidRPr="009B3F94" w14:paraId="6D2B4B0C" w14:textId="77777777">
        <w:tc>
          <w:tcPr>
            <w:tcW w:w="6237" w:type="dxa"/>
            <w:tcBorders>
              <w:top w:val="single" w:sz="4" w:space="0" w:color="000000" w:themeColor="text1"/>
            </w:tcBorders>
          </w:tcPr>
          <w:p w14:paraId="4629241B" w14:textId="77777777" w:rsidR="00271E37" w:rsidRPr="009B3F94" w:rsidRDefault="00271E37">
            <w:pPr>
              <w:jc w:val="left"/>
              <w:rPr>
                <w:b/>
                <w:bCs/>
              </w:rPr>
            </w:pPr>
            <w:r w:rsidRPr="009B3F94">
              <w:rPr>
                <w:b/>
                <w:bCs/>
              </w:rPr>
              <w:t>Gross profit</w:t>
            </w:r>
          </w:p>
        </w:tc>
        <w:tc>
          <w:tcPr>
            <w:tcW w:w="1134" w:type="dxa"/>
            <w:tcBorders>
              <w:top w:val="single" w:sz="4" w:space="0" w:color="000000" w:themeColor="text1"/>
            </w:tcBorders>
          </w:tcPr>
          <w:p w14:paraId="335AFF45" w14:textId="77777777" w:rsidR="00271E37" w:rsidRPr="009B3F94" w:rsidRDefault="00271E37"/>
        </w:tc>
        <w:tc>
          <w:tcPr>
            <w:tcW w:w="1134" w:type="dxa"/>
            <w:tcBorders>
              <w:top w:val="single" w:sz="4" w:space="0" w:color="000000" w:themeColor="text1"/>
            </w:tcBorders>
            <w:vAlign w:val="center"/>
          </w:tcPr>
          <w:p w14:paraId="44FFBD47" w14:textId="77777777" w:rsidR="00271E37" w:rsidRPr="009B3F94" w:rsidRDefault="00271E37">
            <w:pPr>
              <w:rPr>
                <w:b/>
                <w:bCs/>
              </w:rPr>
            </w:pPr>
            <w:r>
              <w:rPr>
                <w:rFonts w:cs="Arial"/>
                <w:b/>
                <w:bCs/>
                <w:color w:val="000000"/>
                <w:szCs w:val="16"/>
              </w:rPr>
              <w:t xml:space="preserve">41,115 </w:t>
            </w:r>
          </w:p>
        </w:tc>
        <w:tc>
          <w:tcPr>
            <w:tcW w:w="1134" w:type="dxa"/>
            <w:tcBorders>
              <w:top w:val="single" w:sz="4" w:space="0" w:color="000000" w:themeColor="text1"/>
            </w:tcBorders>
            <w:vAlign w:val="center"/>
          </w:tcPr>
          <w:p w14:paraId="220D2403" w14:textId="77777777" w:rsidR="00271E37" w:rsidRPr="009B3F94" w:rsidRDefault="00271E37">
            <w:r>
              <w:rPr>
                <w:rFonts w:cs="Arial"/>
                <w:color w:val="000000"/>
                <w:szCs w:val="16"/>
              </w:rPr>
              <w:t xml:space="preserve">48,446 </w:t>
            </w:r>
          </w:p>
        </w:tc>
      </w:tr>
      <w:tr w:rsidR="00271E37" w:rsidRPr="009B3F94" w14:paraId="0B6BC912" w14:textId="77777777">
        <w:tc>
          <w:tcPr>
            <w:tcW w:w="6237" w:type="dxa"/>
          </w:tcPr>
          <w:p w14:paraId="30EB01E6" w14:textId="77777777" w:rsidR="00271E37" w:rsidRPr="009B3F94" w:rsidRDefault="00271E37">
            <w:pPr>
              <w:jc w:val="left"/>
            </w:pPr>
            <w:r w:rsidRPr="009B3F94">
              <w:t>Selling expenses</w:t>
            </w:r>
          </w:p>
        </w:tc>
        <w:tc>
          <w:tcPr>
            <w:tcW w:w="1134" w:type="dxa"/>
          </w:tcPr>
          <w:p w14:paraId="42B495D1" w14:textId="77777777" w:rsidR="00271E37" w:rsidRPr="009B3F94" w:rsidRDefault="00271E37"/>
        </w:tc>
        <w:tc>
          <w:tcPr>
            <w:tcW w:w="1134" w:type="dxa"/>
            <w:vAlign w:val="center"/>
          </w:tcPr>
          <w:p w14:paraId="24E454C9" w14:textId="77777777" w:rsidR="00271E37" w:rsidRPr="009B3F94" w:rsidRDefault="00271E37">
            <w:pPr>
              <w:rPr>
                <w:b/>
                <w:bCs/>
              </w:rPr>
            </w:pPr>
            <w:r>
              <w:rPr>
                <w:rFonts w:cs="Arial"/>
                <w:b/>
                <w:bCs/>
                <w:color w:val="000000"/>
                <w:szCs w:val="16"/>
              </w:rPr>
              <w:t>(12,334)</w:t>
            </w:r>
          </w:p>
        </w:tc>
        <w:tc>
          <w:tcPr>
            <w:tcW w:w="1134" w:type="dxa"/>
            <w:vAlign w:val="center"/>
          </w:tcPr>
          <w:p w14:paraId="66955F09" w14:textId="77777777" w:rsidR="00271E37" w:rsidRPr="009B3F94" w:rsidRDefault="00271E37">
            <w:r>
              <w:rPr>
                <w:rFonts w:cs="Arial"/>
                <w:color w:val="000000"/>
                <w:szCs w:val="16"/>
              </w:rPr>
              <w:t>(11,416)</w:t>
            </w:r>
          </w:p>
        </w:tc>
      </w:tr>
      <w:tr w:rsidR="00271E37" w:rsidRPr="009B3F94" w14:paraId="79E83C41" w14:textId="77777777">
        <w:tc>
          <w:tcPr>
            <w:tcW w:w="6237" w:type="dxa"/>
          </w:tcPr>
          <w:p w14:paraId="410D6120" w14:textId="77777777" w:rsidR="00271E37" w:rsidRPr="009B3F94" w:rsidRDefault="00271E37">
            <w:pPr>
              <w:jc w:val="left"/>
            </w:pPr>
            <w:r w:rsidRPr="009B3F94">
              <w:t>Administration expenses</w:t>
            </w:r>
          </w:p>
        </w:tc>
        <w:tc>
          <w:tcPr>
            <w:tcW w:w="1134" w:type="dxa"/>
          </w:tcPr>
          <w:p w14:paraId="3953DB32" w14:textId="77777777" w:rsidR="00271E37" w:rsidRPr="009B3F94" w:rsidRDefault="00271E37"/>
        </w:tc>
        <w:tc>
          <w:tcPr>
            <w:tcW w:w="1134" w:type="dxa"/>
            <w:vAlign w:val="center"/>
          </w:tcPr>
          <w:p w14:paraId="610CED72" w14:textId="77777777" w:rsidR="00271E37" w:rsidRPr="009B3F94" w:rsidRDefault="00271E37">
            <w:pPr>
              <w:rPr>
                <w:b/>
                <w:bCs/>
              </w:rPr>
            </w:pPr>
            <w:r>
              <w:rPr>
                <w:rFonts w:cs="Arial"/>
                <w:b/>
                <w:bCs/>
                <w:color w:val="000000"/>
                <w:szCs w:val="16"/>
              </w:rPr>
              <w:t>(25,411)</w:t>
            </w:r>
          </w:p>
        </w:tc>
        <w:tc>
          <w:tcPr>
            <w:tcW w:w="1134" w:type="dxa"/>
            <w:vAlign w:val="center"/>
          </w:tcPr>
          <w:p w14:paraId="47FE17EA" w14:textId="77777777" w:rsidR="00271E37" w:rsidRPr="009B3F94" w:rsidRDefault="00271E37">
            <w:r>
              <w:rPr>
                <w:rFonts w:cs="Arial"/>
                <w:color w:val="000000"/>
                <w:szCs w:val="16"/>
              </w:rPr>
              <w:t>(27,152)</w:t>
            </w:r>
          </w:p>
        </w:tc>
      </w:tr>
      <w:tr w:rsidR="00271E37" w:rsidRPr="009B3F94" w14:paraId="32A52748" w14:textId="77777777">
        <w:tc>
          <w:tcPr>
            <w:tcW w:w="6237" w:type="dxa"/>
            <w:tcBorders>
              <w:bottom w:val="nil"/>
            </w:tcBorders>
          </w:tcPr>
          <w:p w14:paraId="5D5C780E" w14:textId="77777777" w:rsidR="00271E37" w:rsidRPr="009B3F94" w:rsidRDefault="00271E37">
            <w:pPr>
              <w:jc w:val="left"/>
            </w:pPr>
            <w:r w:rsidRPr="009B3F94">
              <w:t>Other operating income</w:t>
            </w:r>
          </w:p>
        </w:tc>
        <w:tc>
          <w:tcPr>
            <w:tcW w:w="1134" w:type="dxa"/>
            <w:tcBorders>
              <w:bottom w:val="nil"/>
            </w:tcBorders>
          </w:tcPr>
          <w:p w14:paraId="3F76A766" w14:textId="77777777" w:rsidR="00271E37" w:rsidRPr="009B3F94" w:rsidRDefault="00271E37">
            <w:r>
              <w:t>3</w:t>
            </w:r>
          </w:p>
        </w:tc>
        <w:tc>
          <w:tcPr>
            <w:tcW w:w="1134" w:type="dxa"/>
            <w:tcBorders>
              <w:bottom w:val="nil"/>
            </w:tcBorders>
            <w:vAlign w:val="center"/>
          </w:tcPr>
          <w:p w14:paraId="4600C6A0" w14:textId="77777777" w:rsidR="00271E37" w:rsidRPr="009B3F94" w:rsidRDefault="00271E37">
            <w:pPr>
              <w:rPr>
                <w:b/>
                <w:bCs/>
              </w:rPr>
            </w:pPr>
            <w:r>
              <w:rPr>
                <w:rFonts w:cs="Arial"/>
                <w:b/>
                <w:bCs/>
                <w:color w:val="000000"/>
                <w:szCs w:val="16"/>
              </w:rPr>
              <w:t xml:space="preserve">4,167 </w:t>
            </w:r>
          </w:p>
        </w:tc>
        <w:tc>
          <w:tcPr>
            <w:tcW w:w="1134" w:type="dxa"/>
            <w:tcBorders>
              <w:bottom w:val="nil"/>
            </w:tcBorders>
            <w:vAlign w:val="center"/>
          </w:tcPr>
          <w:p w14:paraId="26D0C869" w14:textId="77777777" w:rsidR="00271E37" w:rsidRPr="009B3F94" w:rsidRDefault="00271E37">
            <w:r>
              <w:rPr>
                <w:rFonts w:cs="Arial"/>
                <w:color w:val="000000"/>
                <w:szCs w:val="16"/>
              </w:rPr>
              <w:t xml:space="preserve">390 </w:t>
            </w:r>
          </w:p>
        </w:tc>
      </w:tr>
      <w:tr w:rsidR="00271E37" w:rsidRPr="009B3F94" w14:paraId="061A36A7" w14:textId="77777777">
        <w:tc>
          <w:tcPr>
            <w:tcW w:w="6237" w:type="dxa"/>
            <w:tcBorders>
              <w:top w:val="single" w:sz="4" w:space="0" w:color="000000" w:themeColor="text1"/>
            </w:tcBorders>
          </w:tcPr>
          <w:p w14:paraId="04E0C569" w14:textId="77777777" w:rsidR="00271E37" w:rsidRPr="009B3F94" w:rsidRDefault="00271E37">
            <w:pPr>
              <w:jc w:val="left"/>
              <w:rPr>
                <w:b/>
                <w:bCs/>
              </w:rPr>
            </w:pPr>
            <w:r w:rsidRPr="009B3F94">
              <w:rPr>
                <w:b/>
                <w:bCs/>
              </w:rPr>
              <w:t>Operating profit</w:t>
            </w:r>
          </w:p>
        </w:tc>
        <w:tc>
          <w:tcPr>
            <w:tcW w:w="1134" w:type="dxa"/>
            <w:tcBorders>
              <w:top w:val="single" w:sz="4" w:space="0" w:color="000000" w:themeColor="text1"/>
            </w:tcBorders>
          </w:tcPr>
          <w:p w14:paraId="3E01EEDD" w14:textId="77777777" w:rsidR="00271E37" w:rsidRPr="009B3F94" w:rsidRDefault="00271E37">
            <w:r w:rsidRPr="009B3F94">
              <w:t>3</w:t>
            </w:r>
          </w:p>
        </w:tc>
        <w:tc>
          <w:tcPr>
            <w:tcW w:w="1134" w:type="dxa"/>
            <w:tcBorders>
              <w:top w:val="single" w:sz="4" w:space="0" w:color="000000" w:themeColor="text1"/>
            </w:tcBorders>
            <w:vAlign w:val="center"/>
          </w:tcPr>
          <w:p w14:paraId="6B356415" w14:textId="77777777" w:rsidR="00271E37" w:rsidRPr="009B3F94" w:rsidRDefault="00271E37">
            <w:pPr>
              <w:rPr>
                <w:b/>
                <w:bCs/>
              </w:rPr>
            </w:pPr>
            <w:r>
              <w:rPr>
                <w:rFonts w:cs="Arial"/>
                <w:b/>
                <w:bCs/>
                <w:color w:val="000000"/>
                <w:szCs w:val="16"/>
              </w:rPr>
              <w:t xml:space="preserve">7,537 </w:t>
            </w:r>
          </w:p>
        </w:tc>
        <w:tc>
          <w:tcPr>
            <w:tcW w:w="1134" w:type="dxa"/>
            <w:tcBorders>
              <w:top w:val="single" w:sz="4" w:space="0" w:color="000000" w:themeColor="text1"/>
            </w:tcBorders>
            <w:vAlign w:val="center"/>
          </w:tcPr>
          <w:p w14:paraId="7A4D64A0" w14:textId="77777777" w:rsidR="00271E37" w:rsidRPr="009B3F94" w:rsidRDefault="00271E37">
            <w:r>
              <w:rPr>
                <w:rFonts w:cs="Arial"/>
                <w:color w:val="000000"/>
                <w:szCs w:val="16"/>
              </w:rPr>
              <w:t xml:space="preserve">10,268 </w:t>
            </w:r>
          </w:p>
        </w:tc>
      </w:tr>
      <w:tr w:rsidR="00271E37" w:rsidRPr="009B3F94" w14:paraId="0EBA80B6" w14:textId="77777777">
        <w:tc>
          <w:tcPr>
            <w:tcW w:w="6237" w:type="dxa"/>
            <w:tcBorders>
              <w:bottom w:val="nil"/>
            </w:tcBorders>
          </w:tcPr>
          <w:p w14:paraId="36AF6721" w14:textId="77777777" w:rsidR="00271E37" w:rsidRPr="009B3F94" w:rsidRDefault="00271E37">
            <w:pPr>
              <w:jc w:val="left"/>
            </w:pPr>
            <w:r w:rsidRPr="009B3F94">
              <w:t>Finance income</w:t>
            </w:r>
          </w:p>
        </w:tc>
        <w:tc>
          <w:tcPr>
            <w:tcW w:w="1134" w:type="dxa"/>
            <w:tcBorders>
              <w:bottom w:val="nil"/>
            </w:tcBorders>
          </w:tcPr>
          <w:p w14:paraId="02143B41" w14:textId="77777777" w:rsidR="00271E37" w:rsidRPr="009B3F94" w:rsidRDefault="00271E37">
            <w:r w:rsidRPr="009B3F94">
              <w:t>6</w:t>
            </w:r>
          </w:p>
        </w:tc>
        <w:tc>
          <w:tcPr>
            <w:tcW w:w="1134" w:type="dxa"/>
            <w:tcBorders>
              <w:bottom w:val="nil"/>
            </w:tcBorders>
            <w:vAlign w:val="center"/>
          </w:tcPr>
          <w:p w14:paraId="5D31CD0E" w14:textId="77777777" w:rsidR="00271E37" w:rsidRPr="009B3F94" w:rsidRDefault="00271E37">
            <w:pPr>
              <w:rPr>
                <w:b/>
                <w:bCs/>
              </w:rPr>
            </w:pPr>
            <w:r>
              <w:rPr>
                <w:rFonts w:cs="Arial"/>
                <w:b/>
                <w:bCs/>
                <w:color w:val="000000"/>
                <w:szCs w:val="16"/>
              </w:rPr>
              <w:t xml:space="preserve">772 </w:t>
            </w:r>
          </w:p>
        </w:tc>
        <w:tc>
          <w:tcPr>
            <w:tcW w:w="1134" w:type="dxa"/>
            <w:tcBorders>
              <w:bottom w:val="nil"/>
            </w:tcBorders>
            <w:vAlign w:val="center"/>
          </w:tcPr>
          <w:p w14:paraId="5A9484E1" w14:textId="77777777" w:rsidR="00271E37" w:rsidRPr="009B3F94" w:rsidRDefault="00271E37">
            <w:r>
              <w:rPr>
                <w:rFonts w:cs="Arial"/>
                <w:color w:val="000000"/>
                <w:szCs w:val="16"/>
              </w:rPr>
              <w:t xml:space="preserve">1,156 </w:t>
            </w:r>
          </w:p>
        </w:tc>
      </w:tr>
      <w:tr w:rsidR="00271E37" w:rsidRPr="009B3F94" w14:paraId="76C35219" w14:textId="77777777">
        <w:tc>
          <w:tcPr>
            <w:tcW w:w="6237" w:type="dxa"/>
            <w:tcBorders>
              <w:bottom w:val="single" w:sz="4" w:space="0" w:color="auto"/>
            </w:tcBorders>
          </w:tcPr>
          <w:p w14:paraId="23E878D8" w14:textId="77777777" w:rsidR="00271E37" w:rsidRPr="009B3F94" w:rsidRDefault="00271E37">
            <w:pPr>
              <w:jc w:val="left"/>
            </w:pPr>
            <w:r w:rsidRPr="009B3F94">
              <w:t>Finance costs</w:t>
            </w:r>
          </w:p>
        </w:tc>
        <w:tc>
          <w:tcPr>
            <w:tcW w:w="1134" w:type="dxa"/>
            <w:tcBorders>
              <w:bottom w:val="single" w:sz="4" w:space="0" w:color="auto"/>
            </w:tcBorders>
          </w:tcPr>
          <w:p w14:paraId="2870CF30" w14:textId="77777777" w:rsidR="00271E37" w:rsidRPr="009B3F94" w:rsidRDefault="00271E37">
            <w:r w:rsidRPr="009B3F94">
              <w:t>6</w:t>
            </w:r>
          </w:p>
        </w:tc>
        <w:tc>
          <w:tcPr>
            <w:tcW w:w="1134" w:type="dxa"/>
            <w:tcBorders>
              <w:bottom w:val="single" w:sz="4" w:space="0" w:color="auto"/>
            </w:tcBorders>
            <w:vAlign w:val="center"/>
          </w:tcPr>
          <w:p w14:paraId="0AC91A51" w14:textId="77777777" w:rsidR="00271E37" w:rsidRPr="009B3F94" w:rsidRDefault="00271E37">
            <w:pPr>
              <w:rPr>
                <w:b/>
                <w:bCs/>
              </w:rPr>
            </w:pPr>
            <w:r>
              <w:rPr>
                <w:rFonts w:cs="Arial"/>
                <w:b/>
                <w:bCs/>
                <w:color w:val="000000"/>
                <w:szCs w:val="16"/>
              </w:rPr>
              <w:t>(1,970)</w:t>
            </w:r>
          </w:p>
        </w:tc>
        <w:tc>
          <w:tcPr>
            <w:tcW w:w="1134" w:type="dxa"/>
            <w:tcBorders>
              <w:bottom w:val="single" w:sz="4" w:space="0" w:color="auto"/>
            </w:tcBorders>
            <w:vAlign w:val="center"/>
          </w:tcPr>
          <w:p w14:paraId="6003398A" w14:textId="77777777" w:rsidR="00271E37" w:rsidRPr="009B3F94" w:rsidRDefault="00271E37">
            <w:r>
              <w:rPr>
                <w:rFonts w:cs="Arial"/>
                <w:color w:val="000000"/>
                <w:szCs w:val="16"/>
              </w:rPr>
              <w:t>(2,426)</w:t>
            </w:r>
          </w:p>
        </w:tc>
      </w:tr>
      <w:tr w:rsidR="00271E37" w:rsidRPr="009B3F94" w14:paraId="1BC5F725" w14:textId="77777777">
        <w:tc>
          <w:tcPr>
            <w:tcW w:w="6237" w:type="dxa"/>
            <w:tcBorders>
              <w:top w:val="single" w:sz="4" w:space="0" w:color="auto"/>
            </w:tcBorders>
          </w:tcPr>
          <w:p w14:paraId="3E3189A9" w14:textId="77777777" w:rsidR="00271E37" w:rsidRPr="009B3F94" w:rsidRDefault="00271E37">
            <w:pPr>
              <w:jc w:val="left"/>
              <w:rPr>
                <w:b/>
                <w:bCs/>
              </w:rPr>
            </w:pPr>
            <w:r>
              <w:rPr>
                <w:b/>
                <w:bCs/>
              </w:rPr>
              <w:t>P</w:t>
            </w:r>
            <w:r w:rsidRPr="009B3F94">
              <w:rPr>
                <w:b/>
                <w:bCs/>
              </w:rPr>
              <w:t>rofit before tax</w:t>
            </w:r>
            <w:r>
              <w:rPr>
                <w:b/>
                <w:bCs/>
              </w:rPr>
              <w:t xml:space="preserve"> from continuing operations</w:t>
            </w:r>
          </w:p>
        </w:tc>
        <w:tc>
          <w:tcPr>
            <w:tcW w:w="1134" w:type="dxa"/>
            <w:tcBorders>
              <w:top w:val="single" w:sz="4" w:space="0" w:color="auto"/>
            </w:tcBorders>
          </w:tcPr>
          <w:p w14:paraId="0D7AE68C" w14:textId="77777777" w:rsidR="00271E37" w:rsidRPr="009B3F94" w:rsidRDefault="00271E37"/>
        </w:tc>
        <w:tc>
          <w:tcPr>
            <w:tcW w:w="1134" w:type="dxa"/>
            <w:tcBorders>
              <w:top w:val="single" w:sz="4" w:space="0" w:color="auto"/>
            </w:tcBorders>
            <w:vAlign w:val="center"/>
          </w:tcPr>
          <w:p w14:paraId="3EEB4DA5" w14:textId="77777777" w:rsidR="00271E37" w:rsidRPr="009B3F94" w:rsidRDefault="00271E37">
            <w:pPr>
              <w:rPr>
                <w:b/>
                <w:bCs/>
              </w:rPr>
            </w:pPr>
            <w:r>
              <w:rPr>
                <w:rFonts w:cs="Arial"/>
                <w:b/>
                <w:bCs/>
                <w:color w:val="000000"/>
                <w:szCs w:val="16"/>
              </w:rPr>
              <w:t xml:space="preserve">6,339 </w:t>
            </w:r>
          </w:p>
        </w:tc>
        <w:tc>
          <w:tcPr>
            <w:tcW w:w="1134" w:type="dxa"/>
            <w:tcBorders>
              <w:top w:val="single" w:sz="4" w:space="0" w:color="auto"/>
            </w:tcBorders>
            <w:vAlign w:val="center"/>
          </w:tcPr>
          <w:p w14:paraId="640E830A" w14:textId="77777777" w:rsidR="00271E37" w:rsidRPr="009B3F94" w:rsidRDefault="00271E37">
            <w:r>
              <w:rPr>
                <w:rFonts w:cs="Arial"/>
                <w:color w:val="000000"/>
                <w:szCs w:val="16"/>
              </w:rPr>
              <w:t xml:space="preserve">8,998 </w:t>
            </w:r>
          </w:p>
        </w:tc>
      </w:tr>
      <w:tr w:rsidR="00271E37" w:rsidRPr="009B3F94" w14:paraId="46FFB3B3" w14:textId="77777777">
        <w:tc>
          <w:tcPr>
            <w:tcW w:w="6237" w:type="dxa"/>
            <w:tcBorders>
              <w:bottom w:val="single" w:sz="4" w:space="0" w:color="000000" w:themeColor="text1"/>
            </w:tcBorders>
          </w:tcPr>
          <w:p w14:paraId="14A6F81F" w14:textId="77777777" w:rsidR="00271E37" w:rsidRPr="009B3F94" w:rsidRDefault="00271E37">
            <w:pPr>
              <w:jc w:val="left"/>
            </w:pPr>
            <w:r w:rsidRPr="009B3F94">
              <w:t>Income tax charge</w:t>
            </w:r>
          </w:p>
        </w:tc>
        <w:tc>
          <w:tcPr>
            <w:tcW w:w="1134" w:type="dxa"/>
            <w:tcBorders>
              <w:bottom w:val="single" w:sz="4" w:space="0" w:color="000000" w:themeColor="text1"/>
            </w:tcBorders>
          </w:tcPr>
          <w:p w14:paraId="64898125" w14:textId="77777777" w:rsidR="00271E37" w:rsidRPr="009B3F94" w:rsidRDefault="00271E37">
            <w:r w:rsidRPr="009B3F94">
              <w:t>7</w:t>
            </w:r>
          </w:p>
        </w:tc>
        <w:tc>
          <w:tcPr>
            <w:tcW w:w="1134" w:type="dxa"/>
            <w:tcBorders>
              <w:bottom w:val="single" w:sz="4" w:space="0" w:color="000000" w:themeColor="text1"/>
            </w:tcBorders>
            <w:vAlign w:val="center"/>
          </w:tcPr>
          <w:p w14:paraId="0A2C5803" w14:textId="77777777" w:rsidR="00271E37" w:rsidRPr="009B3F94" w:rsidRDefault="00271E37">
            <w:pPr>
              <w:rPr>
                <w:b/>
                <w:bCs/>
              </w:rPr>
            </w:pPr>
            <w:r>
              <w:rPr>
                <w:rFonts w:cs="Arial"/>
                <w:b/>
                <w:bCs/>
                <w:color w:val="000000"/>
                <w:szCs w:val="16"/>
              </w:rPr>
              <w:t>(989)</w:t>
            </w:r>
          </w:p>
        </w:tc>
        <w:tc>
          <w:tcPr>
            <w:tcW w:w="1134" w:type="dxa"/>
            <w:tcBorders>
              <w:bottom w:val="single" w:sz="4" w:space="0" w:color="000000" w:themeColor="text1"/>
            </w:tcBorders>
            <w:vAlign w:val="center"/>
          </w:tcPr>
          <w:p w14:paraId="62393052" w14:textId="77777777" w:rsidR="00271E37" w:rsidRPr="009B3F94" w:rsidRDefault="00271E37">
            <w:r>
              <w:rPr>
                <w:rFonts w:cs="Arial"/>
                <w:color w:val="000000"/>
                <w:szCs w:val="16"/>
              </w:rPr>
              <w:t>(4,555)</w:t>
            </w:r>
          </w:p>
        </w:tc>
      </w:tr>
      <w:tr w:rsidR="00271E37" w:rsidRPr="009B3F94" w14:paraId="0BC7B904" w14:textId="77777777">
        <w:tc>
          <w:tcPr>
            <w:tcW w:w="6237" w:type="dxa"/>
            <w:tcBorders>
              <w:top w:val="single" w:sz="4" w:space="0" w:color="000000" w:themeColor="text1"/>
              <w:bottom w:val="nil"/>
            </w:tcBorders>
          </w:tcPr>
          <w:p w14:paraId="5A9DA1CF" w14:textId="77777777" w:rsidR="00271E37" w:rsidRPr="009B3F94" w:rsidRDefault="00271E37">
            <w:pPr>
              <w:jc w:val="left"/>
              <w:rPr>
                <w:b/>
                <w:bCs/>
              </w:rPr>
            </w:pPr>
            <w:r>
              <w:rPr>
                <w:b/>
                <w:bCs/>
              </w:rPr>
              <w:t>P</w:t>
            </w:r>
            <w:r w:rsidRPr="009B3F94">
              <w:rPr>
                <w:b/>
                <w:bCs/>
              </w:rPr>
              <w:t xml:space="preserve">rofit </w:t>
            </w:r>
            <w:r>
              <w:rPr>
                <w:b/>
                <w:bCs/>
              </w:rPr>
              <w:t>after taxation from continuing operations</w:t>
            </w:r>
          </w:p>
        </w:tc>
        <w:tc>
          <w:tcPr>
            <w:tcW w:w="1134" w:type="dxa"/>
            <w:tcBorders>
              <w:top w:val="single" w:sz="4" w:space="0" w:color="000000" w:themeColor="text1"/>
              <w:bottom w:val="nil"/>
            </w:tcBorders>
          </w:tcPr>
          <w:p w14:paraId="6C555C7C" w14:textId="77777777" w:rsidR="00271E37" w:rsidRPr="009B3F94" w:rsidRDefault="00271E37"/>
        </w:tc>
        <w:tc>
          <w:tcPr>
            <w:tcW w:w="1134" w:type="dxa"/>
            <w:tcBorders>
              <w:top w:val="single" w:sz="4" w:space="0" w:color="000000" w:themeColor="text1"/>
              <w:bottom w:val="nil"/>
            </w:tcBorders>
            <w:vAlign w:val="center"/>
          </w:tcPr>
          <w:p w14:paraId="21C9FC88" w14:textId="77777777" w:rsidR="00271E37" w:rsidRPr="009B3F94" w:rsidRDefault="00271E37">
            <w:pPr>
              <w:rPr>
                <w:b/>
                <w:bCs/>
              </w:rPr>
            </w:pPr>
            <w:r>
              <w:rPr>
                <w:rFonts w:cs="Arial"/>
                <w:b/>
                <w:bCs/>
                <w:color w:val="000000"/>
                <w:szCs w:val="16"/>
              </w:rPr>
              <w:t xml:space="preserve">5,350 </w:t>
            </w:r>
          </w:p>
        </w:tc>
        <w:tc>
          <w:tcPr>
            <w:tcW w:w="1134" w:type="dxa"/>
            <w:tcBorders>
              <w:top w:val="single" w:sz="4" w:space="0" w:color="000000" w:themeColor="text1"/>
              <w:bottom w:val="nil"/>
            </w:tcBorders>
            <w:vAlign w:val="center"/>
          </w:tcPr>
          <w:p w14:paraId="5CE9AE11" w14:textId="77777777" w:rsidR="00271E37" w:rsidRPr="009B3F94" w:rsidRDefault="00271E37">
            <w:r>
              <w:rPr>
                <w:rFonts w:cs="Arial"/>
                <w:color w:val="000000"/>
                <w:szCs w:val="16"/>
              </w:rPr>
              <w:t xml:space="preserve">4,443 </w:t>
            </w:r>
          </w:p>
        </w:tc>
      </w:tr>
      <w:tr w:rsidR="00271E37" w:rsidRPr="009B3F94" w14:paraId="5D097980" w14:textId="77777777">
        <w:tc>
          <w:tcPr>
            <w:tcW w:w="6237" w:type="dxa"/>
            <w:tcBorders>
              <w:top w:val="nil"/>
              <w:bottom w:val="nil"/>
            </w:tcBorders>
            <w:vAlign w:val="center"/>
          </w:tcPr>
          <w:p w14:paraId="08118514" w14:textId="77777777" w:rsidR="00271E37" w:rsidRPr="00F312B5" w:rsidRDefault="00271E37">
            <w:pPr>
              <w:jc w:val="left"/>
              <w:rPr>
                <w:b/>
                <w:bCs/>
              </w:rPr>
            </w:pPr>
            <w:r>
              <w:rPr>
                <w:rFonts w:cs="Arial"/>
                <w:b/>
                <w:bCs/>
                <w:color w:val="000000"/>
                <w:szCs w:val="16"/>
              </w:rPr>
              <w:t>Discontinued operations</w:t>
            </w:r>
          </w:p>
        </w:tc>
        <w:tc>
          <w:tcPr>
            <w:tcW w:w="1134" w:type="dxa"/>
            <w:tcBorders>
              <w:top w:val="nil"/>
              <w:bottom w:val="nil"/>
            </w:tcBorders>
            <w:vAlign w:val="center"/>
          </w:tcPr>
          <w:p w14:paraId="232B13B4" w14:textId="77777777" w:rsidR="00271E37" w:rsidRPr="009B3F94" w:rsidRDefault="00271E37"/>
        </w:tc>
        <w:tc>
          <w:tcPr>
            <w:tcW w:w="1134" w:type="dxa"/>
            <w:tcBorders>
              <w:top w:val="nil"/>
              <w:bottom w:val="nil"/>
            </w:tcBorders>
            <w:vAlign w:val="center"/>
          </w:tcPr>
          <w:p w14:paraId="469FA626" w14:textId="77777777" w:rsidR="00271E37" w:rsidRPr="009B3F94" w:rsidRDefault="00271E37">
            <w:pPr>
              <w:rPr>
                <w:rFonts w:cs="Arial"/>
                <w:b/>
                <w:bCs/>
                <w:szCs w:val="16"/>
              </w:rPr>
            </w:pPr>
          </w:p>
        </w:tc>
        <w:tc>
          <w:tcPr>
            <w:tcW w:w="1134" w:type="dxa"/>
            <w:tcBorders>
              <w:top w:val="nil"/>
              <w:bottom w:val="nil"/>
            </w:tcBorders>
            <w:vAlign w:val="center"/>
          </w:tcPr>
          <w:p w14:paraId="75B5DDC3" w14:textId="77777777" w:rsidR="00271E37" w:rsidRPr="009B3F94" w:rsidRDefault="00271E37"/>
        </w:tc>
      </w:tr>
      <w:tr w:rsidR="00271E37" w:rsidRPr="009B3F94" w14:paraId="723A7938" w14:textId="77777777">
        <w:tc>
          <w:tcPr>
            <w:tcW w:w="6237" w:type="dxa"/>
            <w:tcBorders>
              <w:top w:val="nil"/>
              <w:bottom w:val="single" w:sz="4" w:space="0" w:color="auto"/>
            </w:tcBorders>
            <w:vAlign w:val="center"/>
          </w:tcPr>
          <w:p w14:paraId="4F87007C" w14:textId="77777777" w:rsidR="00271E37" w:rsidRPr="009B3F94" w:rsidRDefault="00271E37">
            <w:pPr>
              <w:jc w:val="left"/>
              <w:rPr>
                <w:b/>
                <w:bCs/>
              </w:rPr>
            </w:pPr>
            <w:r>
              <w:rPr>
                <w:rFonts w:cs="Arial"/>
                <w:color w:val="000000"/>
                <w:szCs w:val="16"/>
              </w:rPr>
              <w:t>Loss from discontinued operations</w:t>
            </w:r>
          </w:p>
        </w:tc>
        <w:tc>
          <w:tcPr>
            <w:tcW w:w="1134" w:type="dxa"/>
            <w:tcBorders>
              <w:top w:val="nil"/>
              <w:bottom w:val="single" w:sz="4" w:space="0" w:color="auto"/>
            </w:tcBorders>
            <w:vAlign w:val="center"/>
          </w:tcPr>
          <w:p w14:paraId="092A7ED9" w14:textId="77777777" w:rsidR="00271E37" w:rsidRPr="009B3F94" w:rsidRDefault="00271E37">
            <w:r>
              <w:rPr>
                <w:rFonts w:cs="Arial"/>
                <w:color w:val="000000"/>
                <w:szCs w:val="16"/>
              </w:rPr>
              <w:t>4</w:t>
            </w:r>
          </w:p>
        </w:tc>
        <w:tc>
          <w:tcPr>
            <w:tcW w:w="1134" w:type="dxa"/>
            <w:tcBorders>
              <w:top w:val="nil"/>
              <w:bottom w:val="single" w:sz="4" w:space="0" w:color="auto"/>
            </w:tcBorders>
            <w:vAlign w:val="center"/>
          </w:tcPr>
          <w:p w14:paraId="3E511097" w14:textId="77777777" w:rsidR="00271E37" w:rsidRPr="009B3F94" w:rsidRDefault="00271E37">
            <w:pPr>
              <w:rPr>
                <w:rFonts w:cs="Arial"/>
                <w:b/>
                <w:bCs/>
                <w:szCs w:val="16"/>
              </w:rPr>
            </w:pPr>
            <w:r>
              <w:rPr>
                <w:rFonts w:cs="Arial"/>
                <w:b/>
                <w:bCs/>
                <w:color w:val="000000"/>
                <w:szCs w:val="16"/>
              </w:rPr>
              <w:t>(</w:t>
            </w:r>
            <w:r w:rsidDel="006904F5">
              <w:rPr>
                <w:rFonts w:cs="Arial"/>
                <w:b/>
                <w:bCs/>
                <w:color w:val="000000"/>
                <w:szCs w:val="16"/>
              </w:rPr>
              <w:t>117,667</w:t>
            </w:r>
            <w:r>
              <w:rPr>
                <w:rFonts w:cs="Arial"/>
                <w:b/>
                <w:bCs/>
                <w:color w:val="000000"/>
                <w:szCs w:val="16"/>
              </w:rPr>
              <w:t>)</w:t>
            </w:r>
          </w:p>
        </w:tc>
        <w:tc>
          <w:tcPr>
            <w:tcW w:w="1134" w:type="dxa"/>
            <w:tcBorders>
              <w:top w:val="nil"/>
              <w:bottom w:val="single" w:sz="4" w:space="0" w:color="auto"/>
            </w:tcBorders>
            <w:vAlign w:val="center"/>
          </w:tcPr>
          <w:p w14:paraId="46F64ED1" w14:textId="77777777" w:rsidR="00271E37" w:rsidRPr="009B3F94" w:rsidRDefault="00271E37">
            <w:r>
              <w:rPr>
                <w:rFonts w:cs="Arial"/>
                <w:color w:val="000000"/>
                <w:szCs w:val="16"/>
              </w:rPr>
              <w:t>(82,595)</w:t>
            </w:r>
          </w:p>
        </w:tc>
      </w:tr>
      <w:tr w:rsidR="00271E37" w:rsidRPr="009B3F94" w14:paraId="4E803C33" w14:textId="77777777">
        <w:tc>
          <w:tcPr>
            <w:tcW w:w="6237" w:type="dxa"/>
            <w:tcBorders>
              <w:top w:val="single" w:sz="4" w:space="0" w:color="auto"/>
              <w:bottom w:val="single" w:sz="12" w:space="0" w:color="auto"/>
            </w:tcBorders>
            <w:vAlign w:val="center"/>
          </w:tcPr>
          <w:p w14:paraId="48495C9E" w14:textId="77777777" w:rsidR="00271E37" w:rsidRPr="00DF2068" w:rsidRDefault="00271E37">
            <w:pPr>
              <w:jc w:val="left"/>
            </w:pPr>
            <w:r>
              <w:rPr>
                <w:rFonts w:cs="Arial"/>
                <w:b/>
                <w:bCs/>
                <w:color w:val="000000"/>
                <w:szCs w:val="16"/>
              </w:rPr>
              <w:t>Loss for the year</w:t>
            </w:r>
          </w:p>
        </w:tc>
        <w:tc>
          <w:tcPr>
            <w:tcW w:w="1134" w:type="dxa"/>
            <w:tcBorders>
              <w:top w:val="single" w:sz="4" w:space="0" w:color="auto"/>
              <w:bottom w:val="single" w:sz="12" w:space="0" w:color="auto"/>
            </w:tcBorders>
            <w:vAlign w:val="center"/>
          </w:tcPr>
          <w:p w14:paraId="4172FC3B" w14:textId="77777777" w:rsidR="00271E37" w:rsidRPr="009B3F94" w:rsidRDefault="00271E37">
            <w:r>
              <w:rPr>
                <w:rFonts w:cs="Arial"/>
                <w:color w:val="000000"/>
                <w:szCs w:val="16"/>
              </w:rPr>
              <w:t> </w:t>
            </w:r>
          </w:p>
        </w:tc>
        <w:tc>
          <w:tcPr>
            <w:tcW w:w="1134" w:type="dxa"/>
            <w:tcBorders>
              <w:top w:val="single" w:sz="4" w:space="0" w:color="auto"/>
              <w:bottom w:val="single" w:sz="12" w:space="0" w:color="auto"/>
            </w:tcBorders>
            <w:vAlign w:val="center"/>
          </w:tcPr>
          <w:p w14:paraId="73432D4F" w14:textId="77777777" w:rsidR="00271E37" w:rsidRPr="001D4167" w:rsidRDefault="00271E37">
            <w:pPr>
              <w:rPr>
                <w:b/>
                <w:bCs/>
              </w:rPr>
            </w:pPr>
            <w:r>
              <w:rPr>
                <w:rFonts w:cs="Arial"/>
                <w:b/>
                <w:bCs/>
                <w:color w:val="000000"/>
                <w:szCs w:val="16"/>
              </w:rPr>
              <w:t>(112,317)</w:t>
            </w:r>
          </w:p>
        </w:tc>
        <w:tc>
          <w:tcPr>
            <w:tcW w:w="1134" w:type="dxa"/>
            <w:tcBorders>
              <w:top w:val="single" w:sz="4" w:space="0" w:color="auto"/>
              <w:bottom w:val="single" w:sz="12" w:space="0" w:color="auto"/>
            </w:tcBorders>
            <w:vAlign w:val="center"/>
          </w:tcPr>
          <w:p w14:paraId="732E33A5" w14:textId="77777777" w:rsidR="00271E37" w:rsidRPr="009B3F94" w:rsidRDefault="00271E37">
            <w:r>
              <w:rPr>
                <w:rFonts w:cs="Arial"/>
                <w:color w:val="000000"/>
                <w:szCs w:val="16"/>
              </w:rPr>
              <w:t>(78,152)</w:t>
            </w:r>
          </w:p>
        </w:tc>
      </w:tr>
      <w:tr w:rsidR="00271E37" w:rsidRPr="009B3F94" w14:paraId="425907CD" w14:textId="77777777">
        <w:tc>
          <w:tcPr>
            <w:tcW w:w="6237" w:type="dxa"/>
            <w:tcBorders>
              <w:top w:val="single" w:sz="12" w:space="0" w:color="auto"/>
              <w:bottom w:val="nil"/>
            </w:tcBorders>
          </w:tcPr>
          <w:p w14:paraId="289242BA" w14:textId="77777777" w:rsidR="00271E37" w:rsidRPr="00636CCE" w:rsidRDefault="00271E37"/>
        </w:tc>
        <w:tc>
          <w:tcPr>
            <w:tcW w:w="1134" w:type="dxa"/>
            <w:tcBorders>
              <w:top w:val="single" w:sz="12" w:space="0" w:color="auto"/>
              <w:bottom w:val="nil"/>
            </w:tcBorders>
          </w:tcPr>
          <w:p w14:paraId="0E169704" w14:textId="77777777" w:rsidR="00271E37" w:rsidRPr="009B3F94" w:rsidRDefault="00271E37"/>
        </w:tc>
        <w:tc>
          <w:tcPr>
            <w:tcW w:w="1134" w:type="dxa"/>
            <w:tcBorders>
              <w:top w:val="single" w:sz="12" w:space="0" w:color="auto"/>
              <w:bottom w:val="nil"/>
            </w:tcBorders>
            <w:vAlign w:val="bottom"/>
          </w:tcPr>
          <w:p w14:paraId="13AC25D5" w14:textId="77777777" w:rsidR="00271E37" w:rsidRPr="009B3F94" w:rsidRDefault="00271E37">
            <w:pPr>
              <w:rPr>
                <w:rFonts w:cs="Arial"/>
                <w:b/>
                <w:bCs/>
                <w:szCs w:val="16"/>
              </w:rPr>
            </w:pPr>
          </w:p>
        </w:tc>
        <w:tc>
          <w:tcPr>
            <w:tcW w:w="1134" w:type="dxa"/>
            <w:tcBorders>
              <w:top w:val="single" w:sz="12" w:space="0" w:color="auto"/>
              <w:bottom w:val="nil"/>
            </w:tcBorders>
          </w:tcPr>
          <w:p w14:paraId="4E342AC1" w14:textId="77777777" w:rsidR="00271E37" w:rsidRPr="009B3F94" w:rsidRDefault="00271E37"/>
        </w:tc>
      </w:tr>
      <w:tr w:rsidR="00271E37" w:rsidRPr="009B3F94" w14:paraId="64F445D7" w14:textId="77777777">
        <w:tc>
          <w:tcPr>
            <w:tcW w:w="6237" w:type="dxa"/>
            <w:tcBorders>
              <w:top w:val="nil"/>
            </w:tcBorders>
          </w:tcPr>
          <w:p w14:paraId="6C8D2D92" w14:textId="77777777" w:rsidR="00271E37" w:rsidRPr="009B3F94" w:rsidRDefault="00271E37">
            <w:pPr>
              <w:jc w:val="left"/>
            </w:pPr>
            <w:r w:rsidRPr="009B3F94">
              <w:t>Attributable to:</w:t>
            </w:r>
          </w:p>
        </w:tc>
        <w:tc>
          <w:tcPr>
            <w:tcW w:w="1134" w:type="dxa"/>
            <w:tcBorders>
              <w:top w:val="nil"/>
            </w:tcBorders>
          </w:tcPr>
          <w:p w14:paraId="7F1A1BAB" w14:textId="77777777" w:rsidR="00271E37" w:rsidRPr="009B3F94" w:rsidRDefault="00271E37"/>
        </w:tc>
        <w:tc>
          <w:tcPr>
            <w:tcW w:w="1134" w:type="dxa"/>
            <w:tcBorders>
              <w:top w:val="nil"/>
            </w:tcBorders>
          </w:tcPr>
          <w:p w14:paraId="27A46309" w14:textId="77777777" w:rsidR="00271E37" w:rsidRPr="009B3F94" w:rsidRDefault="00271E37">
            <w:pPr>
              <w:rPr>
                <w:b/>
                <w:bCs/>
              </w:rPr>
            </w:pPr>
          </w:p>
        </w:tc>
        <w:tc>
          <w:tcPr>
            <w:tcW w:w="1134" w:type="dxa"/>
            <w:tcBorders>
              <w:top w:val="nil"/>
            </w:tcBorders>
          </w:tcPr>
          <w:p w14:paraId="68782A1B" w14:textId="77777777" w:rsidR="00271E37" w:rsidRPr="009B3F94" w:rsidRDefault="00271E37"/>
        </w:tc>
      </w:tr>
      <w:tr w:rsidR="00271E37" w:rsidRPr="009B3F94" w14:paraId="3251E4FB" w14:textId="77777777">
        <w:tc>
          <w:tcPr>
            <w:tcW w:w="6237" w:type="dxa"/>
          </w:tcPr>
          <w:p w14:paraId="0A2848DD" w14:textId="77777777" w:rsidR="00271E37" w:rsidRPr="009B3F94" w:rsidRDefault="00271E37">
            <w:pPr>
              <w:jc w:val="left"/>
            </w:pPr>
            <w:r w:rsidRPr="009B3F94">
              <w:t>Owners of the Parent Company</w:t>
            </w:r>
          </w:p>
        </w:tc>
        <w:tc>
          <w:tcPr>
            <w:tcW w:w="1134" w:type="dxa"/>
          </w:tcPr>
          <w:p w14:paraId="467FEE26" w14:textId="77777777" w:rsidR="00271E37" w:rsidRPr="009B3F94" w:rsidRDefault="00271E37"/>
        </w:tc>
        <w:tc>
          <w:tcPr>
            <w:tcW w:w="1134" w:type="dxa"/>
            <w:vAlign w:val="center"/>
          </w:tcPr>
          <w:p w14:paraId="34DFF38F" w14:textId="77777777" w:rsidR="00271E37" w:rsidRPr="009B3F94" w:rsidRDefault="00271E37">
            <w:pPr>
              <w:rPr>
                <w:b/>
                <w:bCs/>
              </w:rPr>
            </w:pPr>
            <w:r>
              <w:rPr>
                <w:rFonts w:cs="Arial"/>
                <w:b/>
                <w:bCs/>
                <w:color w:val="000000"/>
                <w:szCs w:val="16"/>
              </w:rPr>
              <w:t>(112,337)</w:t>
            </w:r>
          </w:p>
        </w:tc>
        <w:tc>
          <w:tcPr>
            <w:tcW w:w="1134" w:type="dxa"/>
            <w:vAlign w:val="center"/>
          </w:tcPr>
          <w:p w14:paraId="0E8F80EE" w14:textId="77777777" w:rsidR="00271E37" w:rsidRPr="009B3F94" w:rsidRDefault="00271E37">
            <w:r w:rsidRPr="00863106">
              <w:rPr>
                <w:rFonts w:cs="Arial"/>
                <w:color w:val="000000"/>
                <w:szCs w:val="16"/>
              </w:rPr>
              <w:t>(78,450)</w:t>
            </w:r>
          </w:p>
        </w:tc>
      </w:tr>
      <w:tr w:rsidR="00271E37" w:rsidRPr="009B3F94" w14:paraId="70CF3D65" w14:textId="77777777">
        <w:tc>
          <w:tcPr>
            <w:tcW w:w="6237" w:type="dxa"/>
          </w:tcPr>
          <w:p w14:paraId="0ACA45B5" w14:textId="77777777" w:rsidR="00271E37" w:rsidRPr="009B3F94" w:rsidRDefault="00271E37">
            <w:pPr>
              <w:jc w:val="left"/>
            </w:pPr>
            <w:r w:rsidRPr="009B3F94">
              <w:t>Non-controlling interests</w:t>
            </w:r>
          </w:p>
        </w:tc>
        <w:tc>
          <w:tcPr>
            <w:tcW w:w="1134" w:type="dxa"/>
          </w:tcPr>
          <w:p w14:paraId="0CE0E009" w14:textId="77777777" w:rsidR="00271E37" w:rsidRPr="009B3F94" w:rsidRDefault="00271E37"/>
        </w:tc>
        <w:tc>
          <w:tcPr>
            <w:tcW w:w="1134" w:type="dxa"/>
            <w:vAlign w:val="center"/>
          </w:tcPr>
          <w:p w14:paraId="29FF8459" w14:textId="77777777" w:rsidR="00271E37" w:rsidRPr="009B3F94" w:rsidRDefault="00271E37">
            <w:pPr>
              <w:rPr>
                <w:b/>
                <w:bCs/>
              </w:rPr>
            </w:pPr>
            <w:r>
              <w:rPr>
                <w:rFonts w:cs="Arial"/>
                <w:b/>
                <w:bCs/>
                <w:color w:val="000000"/>
                <w:szCs w:val="16"/>
              </w:rPr>
              <w:t xml:space="preserve">20 </w:t>
            </w:r>
          </w:p>
        </w:tc>
        <w:tc>
          <w:tcPr>
            <w:tcW w:w="1134" w:type="dxa"/>
            <w:vAlign w:val="center"/>
          </w:tcPr>
          <w:p w14:paraId="4A852452" w14:textId="77777777" w:rsidR="00271E37" w:rsidRPr="009B3F94" w:rsidRDefault="00271E37">
            <w:r w:rsidRPr="00863106">
              <w:rPr>
                <w:rFonts w:cs="Arial"/>
                <w:color w:val="000000"/>
                <w:szCs w:val="16"/>
              </w:rPr>
              <w:t xml:space="preserve">298 </w:t>
            </w:r>
          </w:p>
        </w:tc>
      </w:tr>
      <w:bookmarkEnd w:id="23"/>
    </w:tbl>
    <w:p w14:paraId="59734333" w14:textId="77777777" w:rsidR="00271E37" w:rsidRPr="009B3F94" w:rsidRDefault="00271E37" w:rsidP="002E39D4"/>
    <w:p w14:paraId="35E5F0F1" w14:textId="77777777" w:rsidR="00271E37" w:rsidRPr="009B3F94" w:rsidRDefault="00271E37" w:rsidP="002E39D4">
      <w:pPr>
        <w:rPr>
          <w:b/>
          <w:bCs/>
        </w:rPr>
      </w:pPr>
      <w:r>
        <w:rPr>
          <w:b/>
          <w:bCs/>
        </w:rPr>
        <w:t>E</w:t>
      </w:r>
      <w:r w:rsidRPr="009B3F94">
        <w:rPr>
          <w:b/>
          <w:bCs/>
        </w:rPr>
        <w:t>arnings</w:t>
      </w:r>
      <w:r>
        <w:rPr>
          <w:b/>
          <w:bCs/>
        </w:rPr>
        <w:t>/(loss)</w:t>
      </w:r>
      <w:r w:rsidRPr="009B3F94">
        <w:rPr>
          <w:b/>
          <w:bCs/>
        </w:rPr>
        <w:t xml:space="preserve"> per ordinary share</w:t>
      </w:r>
      <w:r w:rsidRPr="009B3F94">
        <w:rPr>
          <w:b/>
          <w:bCs/>
        </w:rPr>
        <w:tab/>
      </w:r>
    </w:p>
    <w:p w14:paraId="5159193A" w14:textId="77777777" w:rsidR="00271E37" w:rsidRPr="009B3F94" w:rsidRDefault="00271E37" w:rsidP="002E39D4"/>
    <w:tbl>
      <w:tblPr>
        <w:tblStyle w:val="tableDUL"/>
        <w:tblW w:w="9639" w:type="dxa"/>
        <w:tblLayout w:type="fixed"/>
        <w:tblLook w:val="04A0" w:firstRow="1" w:lastRow="0" w:firstColumn="1" w:lastColumn="0" w:noHBand="0" w:noVBand="1"/>
      </w:tblPr>
      <w:tblGrid>
        <w:gridCol w:w="6237"/>
        <w:gridCol w:w="1134"/>
        <w:gridCol w:w="1134"/>
        <w:gridCol w:w="1134"/>
      </w:tblGrid>
      <w:tr w:rsidR="00271E37" w:rsidRPr="009B3F94" w14:paraId="5C4E5722" w14:textId="77777777" w:rsidTr="00846084">
        <w:tc>
          <w:tcPr>
            <w:tcW w:w="6237" w:type="dxa"/>
            <w:tcBorders>
              <w:bottom w:val="nil"/>
            </w:tcBorders>
          </w:tcPr>
          <w:p w14:paraId="6229B171" w14:textId="77777777" w:rsidR="00271E37" w:rsidRPr="009B3F94" w:rsidRDefault="00271E37"/>
        </w:tc>
        <w:tc>
          <w:tcPr>
            <w:tcW w:w="1134" w:type="dxa"/>
            <w:tcBorders>
              <w:bottom w:val="nil"/>
            </w:tcBorders>
          </w:tcPr>
          <w:p w14:paraId="7489210D" w14:textId="77777777" w:rsidR="00271E37" w:rsidRPr="009B3F94" w:rsidRDefault="00271E37"/>
        </w:tc>
        <w:tc>
          <w:tcPr>
            <w:tcW w:w="1134" w:type="dxa"/>
            <w:tcBorders>
              <w:bottom w:val="nil"/>
            </w:tcBorders>
          </w:tcPr>
          <w:p w14:paraId="4BC5EA3B" w14:textId="77777777" w:rsidR="00271E37" w:rsidRPr="009B3F94" w:rsidRDefault="00271E37">
            <w:pPr>
              <w:rPr>
                <w:b/>
                <w:bCs/>
              </w:rPr>
            </w:pPr>
          </w:p>
        </w:tc>
        <w:tc>
          <w:tcPr>
            <w:tcW w:w="1134" w:type="dxa"/>
            <w:tcBorders>
              <w:bottom w:val="nil"/>
            </w:tcBorders>
          </w:tcPr>
          <w:p w14:paraId="02B7B2AD" w14:textId="326D9581" w:rsidR="00271E37" w:rsidRPr="009B3F94" w:rsidRDefault="00271E37"/>
        </w:tc>
      </w:tr>
      <w:tr w:rsidR="00271E37" w:rsidRPr="009B3F94" w14:paraId="38A89719" w14:textId="77777777" w:rsidTr="00846084">
        <w:tc>
          <w:tcPr>
            <w:tcW w:w="6237" w:type="dxa"/>
            <w:tcBorders>
              <w:bottom w:val="nil"/>
            </w:tcBorders>
          </w:tcPr>
          <w:p w14:paraId="4471ADB6" w14:textId="77777777" w:rsidR="00271E37" w:rsidRPr="009B3F94" w:rsidRDefault="00271E37">
            <w:pPr>
              <w:jc w:val="left"/>
            </w:pPr>
          </w:p>
        </w:tc>
        <w:tc>
          <w:tcPr>
            <w:tcW w:w="1134" w:type="dxa"/>
            <w:tcBorders>
              <w:bottom w:val="nil"/>
            </w:tcBorders>
          </w:tcPr>
          <w:p w14:paraId="58220159" w14:textId="77777777" w:rsidR="00271E37" w:rsidRPr="009B3F94" w:rsidRDefault="00271E37"/>
        </w:tc>
        <w:tc>
          <w:tcPr>
            <w:tcW w:w="1134" w:type="dxa"/>
            <w:tcBorders>
              <w:bottom w:val="nil"/>
            </w:tcBorders>
          </w:tcPr>
          <w:p w14:paraId="2B9A9231" w14:textId="77777777" w:rsidR="00271E37" w:rsidRPr="009B3F94" w:rsidRDefault="00271E37">
            <w:pPr>
              <w:rPr>
                <w:b/>
                <w:bCs/>
              </w:rPr>
            </w:pPr>
            <w:r w:rsidRPr="009B3F94">
              <w:rPr>
                <w:b/>
                <w:bCs/>
              </w:rPr>
              <w:t>2026</w:t>
            </w:r>
          </w:p>
        </w:tc>
        <w:tc>
          <w:tcPr>
            <w:tcW w:w="1134" w:type="dxa"/>
            <w:tcBorders>
              <w:bottom w:val="nil"/>
            </w:tcBorders>
          </w:tcPr>
          <w:p w14:paraId="63E739FD" w14:textId="77777777" w:rsidR="00271E37" w:rsidRPr="009B3F94" w:rsidRDefault="00271E37">
            <w:r w:rsidRPr="009B3F94">
              <w:t>202</w:t>
            </w:r>
            <w:r w:rsidRPr="00F026F9">
              <w:t>5</w:t>
            </w:r>
          </w:p>
        </w:tc>
      </w:tr>
      <w:tr w:rsidR="00271E37" w:rsidRPr="009B3F94" w14:paraId="664B77BB" w14:textId="77777777" w:rsidTr="007571A6">
        <w:tc>
          <w:tcPr>
            <w:tcW w:w="6237" w:type="dxa"/>
            <w:tcBorders>
              <w:bottom w:val="single" w:sz="4" w:space="0" w:color="000000"/>
            </w:tcBorders>
          </w:tcPr>
          <w:p w14:paraId="36B95B0C" w14:textId="77777777" w:rsidR="00271E37" w:rsidRPr="009B3F94" w:rsidRDefault="00271E37"/>
        </w:tc>
        <w:tc>
          <w:tcPr>
            <w:tcW w:w="1134" w:type="dxa"/>
            <w:tcBorders>
              <w:bottom w:val="single" w:sz="4" w:space="0" w:color="000000"/>
            </w:tcBorders>
          </w:tcPr>
          <w:p w14:paraId="7FE6A157" w14:textId="77777777" w:rsidR="00271E37" w:rsidRPr="009B3F94" w:rsidRDefault="00271E37">
            <w:r w:rsidRPr="009B3F94">
              <w:t>Note</w:t>
            </w:r>
          </w:p>
        </w:tc>
        <w:tc>
          <w:tcPr>
            <w:tcW w:w="1134" w:type="dxa"/>
            <w:tcBorders>
              <w:bottom w:val="single" w:sz="4" w:space="0" w:color="000000"/>
            </w:tcBorders>
          </w:tcPr>
          <w:p w14:paraId="4DC87978" w14:textId="77777777" w:rsidR="00271E37" w:rsidRPr="009B3F94" w:rsidRDefault="00271E37">
            <w:pPr>
              <w:rPr>
                <w:b/>
                <w:bCs/>
              </w:rPr>
            </w:pPr>
            <w:r w:rsidRPr="009B3F94">
              <w:rPr>
                <w:b/>
                <w:bCs/>
              </w:rPr>
              <w:t>pence</w:t>
            </w:r>
          </w:p>
        </w:tc>
        <w:tc>
          <w:tcPr>
            <w:tcW w:w="1134" w:type="dxa"/>
            <w:tcBorders>
              <w:bottom w:val="single" w:sz="4" w:space="0" w:color="000000"/>
            </w:tcBorders>
          </w:tcPr>
          <w:p w14:paraId="1EE8DBF8" w14:textId="77777777" w:rsidR="00271E37" w:rsidRPr="009B3F94" w:rsidRDefault="00271E37">
            <w:r w:rsidRPr="009B3F94">
              <w:t>pence</w:t>
            </w:r>
          </w:p>
        </w:tc>
      </w:tr>
      <w:tr w:rsidR="00271E37" w:rsidRPr="009B3F94" w14:paraId="52387503" w14:textId="77777777">
        <w:tc>
          <w:tcPr>
            <w:tcW w:w="6237" w:type="dxa"/>
            <w:tcBorders>
              <w:top w:val="single" w:sz="4" w:space="0" w:color="000000"/>
              <w:bottom w:val="nil"/>
            </w:tcBorders>
          </w:tcPr>
          <w:p w14:paraId="783D3B70" w14:textId="77777777" w:rsidR="00271E37" w:rsidRPr="009B3F94" w:rsidRDefault="00271E37">
            <w:pPr>
              <w:jc w:val="left"/>
            </w:pPr>
            <w:r w:rsidRPr="009B3F94">
              <w:t>Basic</w:t>
            </w:r>
            <w:r>
              <w:t xml:space="preserve"> earnings per share – continuing operations</w:t>
            </w:r>
          </w:p>
        </w:tc>
        <w:tc>
          <w:tcPr>
            <w:tcW w:w="1134" w:type="dxa"/>
            <w:tcBorders>
              <w:top w:val="single" w:sz="4" w:space="0" w:color="000000"/>
              <w:bottom w:val="nil"/>
            </w:tcBorders>
          </w:tcPr>
          <w:p w14:paraId="601E3737" w14:textId="77777777" w:rsidR="00271E37" w:rsidRPr="009B3F94" w:rsidRDefault="00271E37">
            <w:r w:rsidRPr="009B3F94">
              <w:t>21</w:t>
            </w:r>
          </w:p>
        </w:tc>
        <w:tc>
          <w:tcPr>
            <w:tcW w:w="1134" w:type="dxa"/>
            <w:tcBorders>
              <w:top w:val="single" w:sz="4" w:space="0" w:color="000000"/>
              <w:bottom w:val="nil"/>
            </w:tcBorders>
            <w:vAlign w:val="bottom"/>
          </w:tcPr>
          <w:p w14:paraId="023918D1" w14:textId="77777777" w:rsidR="00271E37" w:rsidRPr="009B3F94" w:rsidRDefault="00271E37">
            <w:pPr>
              <w:rPr>
                <w:b/>
                <w:bCs/>
              </w:rPr>
            </w:pPr>
            <w:r>
              <w:rPr>
                <w:b/>
                <w:bCs/>
              </w:rPr>
              <w:t>5.6</w:t>
            </w:r>
          </w:p>
        </w:tc>
        <w:tc>
          <w:tcPr>
            <w:tcW w:w="1134" w:type="dxa"/>
            <w:tcBorders>
              <w:top w:val="single" w:sz="4" w:space="0" w:color="000000"/>
              <w:bottom w:val="nil"/>
            </w:tcBorders>
          </w:tcPr>
          <w:p w14:paraId="6379C99D" w14:textId="77777777" w:rsidR="00271E37" w:rsidRPr="009B3F94" w:rsidRDefault="00271E37">
            <w:r>
              <w:t>4.4</w:t>
            </w:r>
          </w:p>
        </w:tc>
      </w:tr>
      <w:tr w:rsidR="00271E37" w:rsidRPr="009B3F94" w14:paraId="1838B6A3" w14:textId="77777777">
        <w:tc>
          <w:tcPr>
            <w:tcW w:w="6237" w:type="dxa"/>
            <w:tcBorders>
              <w:top w:val="nil"/>
              <w:bottom w:val="single" w:sz="4" w:space="0" w:color="auto"/>
            </w:tcBorders>
          </w:tcPr>
          <w:p w14:paraId="5AEDD0ED" w14:textId="77777777" w:rsidR="00271E37" w:rsidRPr="009B3F94" w:rsidRDefault="00271E37">
            <w:pPr>
              <w:jc w:val="left"/>
            </w:pPr>
            <w:r>
              <w:t>Basic loss per share – discontinued operations</w:t>
            </w:r>
          </w:p>
        </w:tc>
        <w:tc>
          <w:tcPr>
            <w:tcW w:w="1134" w:type="dxa"/>
            <w:tcBorders>
              <w:top w:val="nil"/>
              <w:bottom w:val="single" w:sz="4" w:space="0" w:color="auto"/>
            </w:tcBorders>
          </w:tcPr>
          <w:p w14:paraId="7074EFF5" w14:textId="77777777" w:rsidR="00271E37" w:rsidRPr="009B3F94" w:rsidRDefault="00271E37">
            <w:r>
              <w:t>4</w:t>
            </w:r>
          </w:p>
        </w:tc>
        <w:tc>
          <w:tcPr>
            <w:tcW w:w="1134" w:type="dxa"/>
            <w:tcBorders>
              <w:top w:val="nil"/>
              <w:bottom w:val="single" w:sz="4" w:space="0" w:color="auto"/>
            </w:tcBorders>
            <w:vAlign w:val="bottom"/>
          </w:tcPr>
          <w:p w14:paraId="51267E5E" w14:textId="77777777" w:rsidR="00271E37" w:rsidRPr="009B3F94" w:rsidRDefault="00271E37">
            <w:pPr>
              <w:rPr>
                <w:rFonts w:cs="Arial"/>
                <w:b/>
                <w:bCs/>
                <w:szCs w:val="16"/>
              </w:rPr>
            </w:pPr>
            <w:r>
              <w:rPr>
                <w:rFonts w:cs="Arial"/>
                <w:b/>
                <w:bCs/>
                <w:szCs w:val="16"/>
              </w:rPr>
              <w:t>(123.4)</w:t>
            </w:r>
          </w:p>
        </w:tc>
        <w:tc>
          <w:tcPr>
            <w:tcW w:w="1134" w:type="dxa"/>
            <w:tcBorders>
              <w:top w:val="nil"/>
              <w:bottom w:val="single" w:sz="4" w:space="0" w:color="auto"/>
            </w:tcBorders>
          </w:tcPr>
          <w:p w14:paraId="4CCAB96F" w14:textId="77777777" w:rsidR="00271E37" w:rsidRPr="009B3F94" w:rsidRDefault="00271E37">
            <w:r>
              <w:t>(86.7)</w:t>
            </w:r>
          </w:p>
        </w:tc>
      </w:tr>
      <w:tr w:rsidR="00271E37" w:rsidRPr="009B3F94" w14:paraId="25A7E50F" w14:textId="77777777">
        <w:tc>
          <w:tcPr>
            <w:tcW w:w="6237" w:type="dxa"/>
            <w:tcBorders>
              <w:top w:val="single" w:sz="4" w:space="0" w:color="auto"/>
              <w:bottom w:val="single" w:sz="12" w:space="0" w:color="auto"/>
            </w:tcBorders>
          </w:tcPr>
          <w:p w14:paraId="52C3407D" w14:textId="77777777" w:rsidR="00271E37" w:rsidRPr="009B3F94" w:rsidRDefault="00271E37">
            <w:pPr>
              <w:jc w:val="left"/>
            </w:pPr>
            <w:r>
              <w:t>Total basic loss per share</w:t>
            </w:r>
          </w:p>
        </w:tc>
        <w:tc>
          <w:tcPr>
            <w:tcW w:w="1134" w:type="dxa"/>
            <w:tcBorders>
              <w:top w:val="single" w:sz="4" w:space="0" w:color="auto"/>
              <w:bottom w:val="single" w:sz="12" w:space="0" w:color="auto"/>
            </w:tcBorders>
          </w:tcPr>
          <w:p w14:paraId="278DDADF" w14:textId="77777777" w:rsidR="00271E37" w:rsidRPr="009B3F94" w:rsidRDefault="00271E37">
            <w:r>
              <w:t>21</w:t>
            </w:r>
          </w:p>
        </w:tc>
        <w:tc>
          <w:tcPr>
            <w:tcW w:w="1134" w:type="dxa"/>
            <w:tcBorders>
              <w:top w:val="single" w:sz="4" w:space="0" w:color="auto"/>
              <w:bottom w:val="single" w:sz="12" w:space="0" w:color="auto"/>
            </w:tcBorders>
            <w:vAlign w:val="bottom"/>
          </w:tcPr>
          <w:p w14:paraId="0812603A" w14:textId="77777777" w:rsidR="00271E37" w:rsidRPr="009B3F94" w:rsidRDefault="00271E37">
            <w:pPr>
              <w:rPr>
                <w:rFonts w:cs="Arial"/>
                <w:b/>
                <w:bCs/>
                <w:szCs w:val="16"/>
              </w:rPr>
            </w:pPr>
            <w:r>
              <w:rPr>
                <w:rFonts w:cs="Arial"/>
                <w:b/>
                <w:bCs/>
                <w:szCs w:val="16"/>
              </w:rPr>
              <w:t>(117.8)</w:t>
            </w:r>
          </w:p>
        </w:tc>
        <w:tc>
          <w:tcPr>
            <w:tcW w:w="1134" w:type="dxa"/>
            <w:tcBorders>
              <w:top w:val="single" w:sz="4" w:space="0" w:color="auto"/>
              <w:bottom w:val="single" w:sz="12" w:space="0" w:color="auto"/>
            </w:tcBorders>
          </w:tcPr>
          <w:p w14:paraId="440241EC" w14:textId="77777777" w:rsidR="00271E37" w:rsidRPr="009B3F94" w:rsidRDefault="00271E37">
            <w:r>
              <w:t>(82.3)</w:t>
            </w:r>
          </w:p>
        </w:tc>
      </w:tr>
      <w:tr w:rsidR="00271E37" w:rsidRPr="009B3F94" w14:paraId="00A33484" w14:textId="77777777">
        <w:tc>
          <w:tcPr>
            <w:tcW w:w="6237" w:type="dxa"/>
            <w:tcBorders>
              <w:top w:val="single" w:sz="12" w:space="0" w:color="auto"/>
            </w:tcBorders>
          </w:tcPr>
          <w:p w14:paraId="350B40A0" w14:textId="77777777" w:rsidR="00271E37" w:rsidRDefault="00271E37"/>
        </w:tc>
        <w:tc>
          <w:tcPr>
            <w:tcW w:w="1134" w:type="dxa"/>
            <w:tcBorders>
              <w:top w:val="single" w:sz="12" w:space="0" w:color="auto"/>
            </w:tcBorders>
          </w:tcPr>
          <w:p w14:paraId="0BBAFB3E" w14:textId="77777777" w:rsidR="00271E37" w:rsidRDefault="00271E37"/>
        </w:tc>
        <w:tc>
          <w:tcPr>
            <w:tcW w:w="1134" w:type="dxa"/>
            <w:tcBorders>
              <w:top w:val="single" w:sz="12" w:space="0" w:color="auto"/>
            </w:tcBorders>
            <w:vAlign w:val="bottom"/>
          </w:tcPr>
          <w:p w14:paraId="1F452715" w14:textId="77777777" w:rsidR="00271E37" w:rsidRPr="009B3F94" w:rsidRDefault="00271E37">
            <w:pPr>
              <w:rPr>
                <w:rFonts w:cs="Arial"/>
                <w:b/>
                <w:bCs/>
                <w:szCs w:val="16"/>
              </w:rPr>
            </w:pPr>
          </w:p>
        </w:tc>
        <w:tc>
          <w:tcPr>
            <w:tcW w:w="1134" w:type="dxa"/>
            <w:tcBorders>
              <w:top w:val="single" w:sz="12" w:space="0" w:color="auto"/>
            </w:tcBorders>
          </w:tcPr>
          <w:p w14:paraId="3AF914E4" w14:textId="77777777" w:rsidR="00271E37" w:rsidRPr="009B3F94" w:rsidRDefault="00271E37"/>
        </w:tc>
      </w:tr>
      <w:tr w:rsidR="00271E37" w:rsidRPr="009B3F94" w14:paraId="38E1FFA9" w14:textId="77777777">
        <w:tc>
          <w:tcPr>
            <w:tcW w:w="6237" w:type="dxa"/>
          </w:tcPr>
          <w:p w14:paraId="10225C96" w14:textId="77777777" w:rsidR="00271E37" w:rsidRPr="009B3F94" w:rsidRDefault="00271E37">
            <w:pPr>
              <w:jc w:val="left"/>
            </w:pPr>
            <w:r w:rsidRPr="009B3F94">
              <w:t>Diluted</w:t>
            </w:r>
            <w:r>
              <w:t xml:space="preserve"> earnings per share – continuing operations</w:t>
            </w:r>
          </w:p>
        </w:tc>
        <w:tc>
          <w:tcPr>
            <w:tcW w:w="1134" w:type="dxa"/>
          </w:tcPr>
          <w:p w14:paraId="1146958D" w14:textId="77777777" w:rsidR="00271E37" w:rsidRPr="009B3F94" w:rsidRDefault="00271E37">
            <w:r w:rsidRPr="009B3F94">
              <w:t>21</w:t>
            </w:r>
          </w:p>
        </w:tc>
        <w:tc>
          <w:tcPr>
            <w:tcW w:w="1134" w:type="dxa"/>
            <w:vAlign w:val="bottom"/>
          </w:tcPr>
          <w:p w14:paraId="5BE403E5" w14:textId="77777777" w:rsidR="00271E37" w:rsidRPr="009B3F94" w:rsidRDefault="00271E37">
            <w:pPr>
              <w:rPr>
                <w:b/>
                <w:bCs/>
              </w:rPr>
            </w:pPr>
            <w:r>
              <w:rPr>
                <w:b/>
                <w:bCs/>
              </w:rPr>
              <w:t>5.5</w:t>
            </w:r>
          </w:p>
        </w:tc>
        <w:tc>
          <w:tcPr>
            <w:tcW w:w="1134" w:type="dxa"/>
          </w:tcPr>
          <w:p w14:paraId="55765D31" w14:textId="77777777" w:rsidR="00271E37" w:rsidRPr="009B3F94" w:rsidRDefault="00271E37">
            <w:r>
              <w:t>4.3</w:t>
            </w:r>
          </w:p>
        </w:tc>
      </w:tr>
      <w:tr w:rsidR="00271E37" w:rsidRPr="009B3F94" w14:paraId="6CDCF190" w14:textId="77777777">
        <w:tc>
          <w:tcPr>
            <w:tcW w:w="6237" w:type="dxa"/>
            <w:tcBorders>
              <w:bottom w:val="single" w:sz="4" w:space="0" w:color="auto"/>
            </w:tcBorders>
          </w:tcPr>
          <w:p w14:paraId="5119CE96" w14:textId="77777777" w:rsidR="00271E37" w:rsidRPr="009B3F94" w:rsidRDefault="00271E37">
            <w:pPr>
              <w:jc w:val="left"/>
            </w:pPr>
            <w:r w:rsidRPr="00556D2C">
              <w:t>Diluted loss per share – discontinued operations </w:t>
            </w:r>
          </w:p>
        </w:tc>
        <w:tc>
          <w:tcPr>
            <w:tcW w:w="1134" w:type="dxa"/>
            <w:tcBorders>
              <w:bottom w:val="single" w:sz="4" w:space="0" w:color="auto"/>
            </w:tcBorders>
          </w:tcPr>
          <w:p w14:paraId="66172250" w14:textId="77777777" w:rsidR="00271E37" w:rsidRPr="009B3F94" w:rsidRDefault="00271E37">
            <w:r>
              <w:t>4</w:t>
            </w:r>
          </w:p>
        </w:tc>
        <w:tc>
          <w:tcPr>
            <w:tcW w:w="1134" w:type="dxa"/>
            <w:tcBorders>
              <w:bottom w:val="single" w:sz="4" w:space="0" w:color="auto"/>
            </w:tcBorders>
            <w:vAlign w:val="bottom"/>
          </w:tcPr>
          <w:p w14:paraId="208C3E64" w14:textId="77777777" w:rsidR="00271E37" w:rsidRPr="009B3F94" w:rsidRDefault="00271E37">
            <w:pPr>
              <w:rPr>
                <w:rFonts w:cs="Arial"/>
                <w:b/>
                <w:bCs/>
                <w:szCs w:val="16"/>
              </w:rPr>
            </w:pPr>
            <w:r>
              <w:rPr>
                <w:rFonts w:cs="Arial"/>
                <w:b/>
                <w:bCs/>
                <w:szCs w:val="16"/>
              </w:rPr>
              <w:t>(122</w:t>
            </w:r>
            <w:r w:rsidDel="00AE515C">
              <w:rPr>
                <w:rFonts w:cs="Arial"/>
                <w:b/>
                <w:bCs/>
                <w:szCs w:val="16"/>
              </w:rPr>
              <w:t>.</w:t>
            </w:r>
            <w:r>
              <w:rPr>
                <w:rFonts w:cs="Arial"/>
                <w:b/>
                <w:bCs/>
                <w:szCs w:val="16"/>
              </w:rPr>
              <w:t>4)</w:t>
            </w:r>
          </w:p>
        </w:tc>
        <w:tc>
          <w:tcPr>
            <w:tcW w:w="1134" w:type="dxa"/>
            <w:tcBorders>
              <w:bottom w:val="single" w:sz="4" w:space="0" w:color="auto"/>
            </w:tcBorders>
          </w:tcPr>
          <w:p w14:paraId="3F424850" w14:textId="77777777" w:rsidR="00271E37" w:rsidRPr="009B3F94" w:rsidRDefault="00271E37">
            <w:r>
              <w:t>(85.7)</w:t>
            </w:r>
          </w:p>
        </w:tc>
      </w:tr>
      <w:tr w:rsidR="00271E37" w:rsidRPr="009B3F94" w14:paraId="70565946" w14:textId="77777777">
        <w:tc>
          <w:tcPr>
            <w:tcW w:w="6237" w:type="dxa"/>
            <w:tcBorders>
              <w:top w:val="single" w:sz="4" w:space="0" w:color="auto"/>
              <w:bottom w:val="single" w:sz="12" w:space="0" w:color="auto"/>
            </w:tcBorders>
          </w:tcPr>
          <w:p w14:paraId="732C0C9B" w14:textId="77777777" w:rsidR="00271E37" w:rsidRPr="009B3F94" w:rsidRDefault="00271E37">
            <w:pPr>
              <w:jc w:val="left"/>
            </w:pPr>
            <w:r w:rsidRPr="007A37F4">
              <w:t>Total diluted loss per share</w:t>
            </w:r>
          </w:p>
        </w:tc>
        <w:tc>
          <w:tcPr>
            <w:tcW w:w="1134" w:type="dxa"/>
            <w:tcBorders>
              <w:top w:val="single" w:sz="4" w:space="0" w:color="auto"/>
              <w:bottom w:val="single" w:sz="12" w:space="0" w:color="auto"/>
            </w:tcBorders>
          </w:tcPr>
          <w:p w14:paraId="7BEC9AB4" w14:textId="77777777" w:rsidR="00271E37" w:rsidRPr="009B3F94" w:rsidRDefault="00271E37">
            <w:r>
              <w:t>21</w:t>
            </w:r>
          </w:p>
        </w:tc>
        <w:tc>
          <w:tcPr>
            <w:tcW w:w="1134" w:type="dxa"/>
            <w:tcBorders>
              <w:top w:val="single" w:sz="4" w:space="0" w:color="auto"/>
              <w:bottom w:val="single" w:sz="12" w:space="0" w:color="auto"/>
            </w:tcBorders>
            <w:vAlign w:val="bottom"/>
          </w:tcPr>
          <w:p w14:paraId="3EF7EA18" w14:textId="77777777" w:rsidR="00271E37" w:rsidRPr="009B3F94" w:rsidRDefault="00271E37">
            <w:pPr>
              <w:rPr>
                <w:rFonts w:cs="Arial"/>
                <w:b/>
                <w:bCs/>
                <w:szCs w:val="16"/>
              </w:rPr>
            </w:pPr>
            <w:r>
              <w:rPr>
                <w:rFonts w:cs="Arial"/>
                <w:b/>
                <w:bCs/>
                <w:szCs w:val="16"/>
              </w:rPr>
              <w:t>(116.9)</w:t>
            </w:r>
          </w:p>
        </w:tc>
        <w:tc>
          <w:tcPr>
            <w:tcW w:w="1134" w:type="dxa"/>
            <w:tcBorders>
              <w:top w:val="single" w:sz="4" w:space="0" w:color="auto"/>
              <w:bottom w:val="single" w:sz="12" w:space="0" w:color="auto"/>
            </w:tcBorders>
          </w:tcPr>
          <w:p w14:paraId="47DC7A8D" w14:textId="77777777" w:rsidR="00271E37" w:rsidRPr="009B3F94" w:rsidRDefault="00271E37">
            <w:r>
              <w:t>(81.4)</w:t>
            </w:r>
          </w:p>
        </w:tc>
      </w:tr>
    </w:tbl>
    <w:p w14:paraId="3BABBB68" w14:textId="77777777" w:rsidR="00271E37" w:rsidRDefault="00271E37" w:rsidP="002E39D4"/>
    <w:p w14:paraId="46414AB0" w14:textId="77777777" w:rsidR="00271E37" w:rsidRDefault="00271E37">
      <w:r>
        <w:br w:type="page"/>
      </w:r>
    </w:p>
    <w:p w14:paraId="51DB2DD5" w14:textId="77777777" w:rsidR="00271E37" w:rsidRDefault="00271E37">
      <w:pPr>
        <w:pStyle w:val="Heading1"/>
      </w:pPr>
      <w:r>
        <w:lastRenderedPageBreak/>
        <w:t xml:space="preserve">Consolidated statement of comprehensive income </w:t>
      </w:r>
    </w:p>
    <w:p w14:paraId="607A33CC" w14:textId="30E21612" w:rsidR="00271E37" w:rsidRPr="00064D76" w:rsidRDefault="00271E37" w:rsidP="00064D76">
      <w:pPr>
        <w:rPr>
          <w:b/>
          <w:bCs/>
        </w:rPr>
      </w:pPr>
      <w:r w:rsidRPr="00064D76">
        <w:rPr>
          <w:b/>
          <w:bCs/>
        </w:rPr>
        <w:t xml:space="preserve">Year ended </w:t>
      </w:r>
      <w:r w:rsidRPr="008D5F85">
        <w:rPr>
          <w:b/>
          <w:bCs/>
        </w:rPr>
        <w:t>31 March</w:t>
      </w:r>
      <w:r w:rsidR="00793496" w:rsidRPr="008D5F85">
        <w:rPr>
          <w:b/>
          <w:bCs/>
        </w:rPr>
        <w:t xml:space="preserve"> 2026</w:t>
      </w:r>
    </w:p>
    <w:p w14:paraId="4B21F6C5" w14:textId="77777777" w:rsidR="00271E37" w:rsidRDefault="00271E37" w:rsidP="00064D76"/>
    <w:tbl>
      <w:tblPr>
        <w:tblStyle w:val="tableDUL"/>
        <w:tblW w:w="9638" w:type="dxa"/>
        <w:tblLayout w:type="fixed"/>
        <w:tblLook w:val="04A0" w:firstRow="1" w:lastRow="0" w:firstColumn="1" w:lastColumn="0" w:noHBand="0" w:noVBand="1"/>
      </w:tblPr>
      <w:tblGrid>
        <w:gridCol w:w="6236"/>
        <w:gridCol w:w="1134"/>
        <w:gridCol w:w="1134"/>
        <w:gridCol w:w="1134"/>
      </w:tblGrid>
      <w:tr w:rsidR="00AE6AC3" w:rsidRPr="00064D76" w14:paraId="31A91FE6" w14:textId="77777777">
        <w:trPr>
          <w:trHeight w:hRule="exact" w:val="20"/>
        </w:trPr>
        <w:tc>
          <w:tcPr>
            <w:tcW w:w="6236" w:type="dxa"/>
            <w:tcBorders>
              <w:top w:val="nil"/>
              <w:left w:val="nil"/>
              <w:bottom w:val="nil"/>
              <w:right w:val="nil"/>
            </w:tcBorders>
          </w:tcPr>
          <w:p w14:paraId="700D1882" w14:textId="77777777" w:rsidR="00AE6AC3" w:rsidRDefault="00AE6AC3">
            <w:pPr>
              <w:rPr>
                <w:sz w:val="2"/>
              </w:rPr>
            </w:pPr>
            <w:bookmarkStart w:id="24" w:name="_0fba970c_6fcc_4a3a_b509_da3ed7a86ff3"/>
            <w:bookmarkStart w:id="25" w:name="_6a87d51a_dbd9_43dd_afdc_a9204af34fb7"/>
            <w:bookmarkEnd w:id="24"/>
          </w:p>
        </w:tc>
        <w:tc>
          <w:tcPr>
            <w:tcW w:w="1134" w:type="dxa"/>
            <w:tcBorders>
              <w:top w:val="nil"/>
              <w:left w:val="nil"/>
              <w:bottom w:val="nil"/>
              <w:right w:val="nil"/>
            </w:tcBorders>
          </w:tcPr>
          <w:p w14:paraId="4172341A" w14:textId="77777777" w:rsidR="00AE6AC3" w:rsidRDefault="00AE6AC3">
            <w:pPr>
              <w:rPr>
                <w:sz w:val="2"/>
              </w:rPr>
            </w:pPr>
          </w:p>
        </w:tc>
        <w:tc>
          <w:tcPr>
            <w:tcW w:w="1134" w:type="dxa"/>
            <w:tcBorders>
              <w:top w:val="nil"/>
              <w:left w:val="nil"/>
              <w:bottom w:val="nil"/>
              <w:right w:val="nil"/>
            </w:tcBorders>
          </w:tcPr>
          <w:p w14:paraId="5545B378" w14:textId="77777777" w:rsidR="00AE6AC3" w:rsidRDefault="00AE6AC3">
            <w:pPr>
              <w:rPr>
                <w:sz w:val="2"/>
              </w:rPr>
            </w:pPr>
          </w:p>
        </w:tc>
        <w:tc>
          <w:tcPr>
            <w:tcW w:w="1134" w:type="dxa"/>
            <w:tcBorders>
              <w:top w:val="nil"/>
              <w:left w:val="nil"/>
              <w:bottom w:val="nil"/>
              <w:right w:val="nil"/>
            </w:tcBorders>
          </w:tcPr>
          <w:p w14:paraId="6E02DD41" w14:textId="77777777" w:rsidR="00AE6AC3" w:rsidRPr="00064D76" w:rsidRDefault="00AE6AC3">
            <w:r>
              <w:t>5</w:t>
            </w:r>
            <w:r w:rsidRPr="00064D76">
              <w:t xml:space="preserve"> </w:t>
            </w:r>
          </w:p>
          <w:p w14:paraId="7EEEFE92" w14:textId="77777777" w:rsidR="00AE6AC3" w:rsidRDefault="00AE6AC3">
            <w:pPr>
              <w:rPr>
                <w:sz w:val="2"/>
              </w:rPr>
            </w:pPr>
          </w:p>
        </w:tc>
      </w:tr>
      <w:tr w:rsidR="00AE6AC3" w:rsidRPr="00064D76" w14:paraId="592B5AF6" w14:textId="77777777">
        <w:tc>
          <w:tcPr>
            <w:tcW w:w="6236" w:type="dxa"/>
          </w:tcPr>
          <w:p w14:paraId="403993F2" w14:textId="77777777" w:rsidR="00AE6AC3" w:rsidRPr="00064D76" w:rsidRDefault="00AE6AC3">
            <w:pPr>
              <w:jc w:val="left"/>
            </w:pPr>
          </w:p>
        </w:tc>
        <w:tc>
          <w:tcPr>
            <w:tcW w:w="1134" w:type="dxa"/>
          </w:tcPr>
          <w:p w14:paraId="7BED7923" w14:textId="77777777" w:rsidR="00AE6AC3" w:rsidRPr="00064D76" w:rsidRDefault="00AE6AC3"/>
        </w:tc>
        <w:tc>
          <w:tcPr>
            <w:tcW w:w="1134" w:type="dxa"/>
          </w:tcPr>
          <w:p w14:paraId="604D25D4" w14:textId="77777777" w:rsidR="00AE6AC3" w:rsidRPr="00064D76" w:rsidRDefault="00AE6AC3">
            <w:pPr>
              <w:rPr>
                <w:b/>
                <w:bCs/>
              </w:rPr>
            </w:pPr>
            <w:r>
              <w:rPr>
                <w:b/>
                <w:bCs/>
              </w:rPr>
              <w:tab/>
            </w:r>
            <w:r>
              <w:rPr>
                <w:b/>
                <w:bCs/>
              </w:rPr>
              <w:tab/>
            </w:r>
            <w:r w:rsidRPr="00064D76">
              <w:rPr>
                <w:b/>
                <w:bCs/>
              </w:rPr>
              <w:t>202</w:t>
            </w:r>
            <w:r>
              <w:rPr>
                <w:b/>
                <w:bCs/>
              </w:rPr>
              <w:t>6</w:t>
            </w:r>
          </w:p>
        </w:tc>
        <w:tc>
          <w:tcPr>
            <w:tcW w:w="1134" w:type="dxa"/>
          </w:tcPr>
          <w:p w14:paraId="6B33CE74" w14:textId="77777777" w:rsidR="004011AB" w:rsidRPr="008D5F85" w:rsidRDefault="004011AB"/>
          <w:p w14:paraId="4968EBD0" w14:textId="77777777" w:rsidR="00AE6AC3" w:rsidRPr="008D5F85" w:rsidRDefault="00AE6AC3">
            <w:r w:rsidRPr="008D5F85">
              <w:t xml:space="preserve">2025 </w:t>
            </w:r>
          </w:p>
        </w:tc>
      </w:tr>
      <w:tr w:rsidR="00AE6AC3" w:rsidRPr="00064D76" w14:paraId="79370830" w14:textId="77777777">
        <w:tc>
          <w:tcPr>
            <w:tcW w:w="6236" w:type="dxa"/>
            <w:tcBorders>
              <w:bottom w:val="single" w:sz="4" w:space="0" w:color="000000" w:themeColor="text1"/>
            </w:tcBorders>
          </w:tcPr>
          <w:p w14:paraId="6F4D6562" w14:textId="77777777" w:rsidR="00AE6AC3" w:rsidRPr="00064D76" w:rsidRDefault="00AE6AC3">
            <w:pPr>
              <w:jc w:val="left"/>
            </w:pPr>
          </w:p>
        </w:tc>
        <w:tc>
          <w:tcPr>
            <w:tcW w:w="1134" w:type="dxa"/>
            <w:tcBorders>
              <w:bottom w:val="single" w:sz="4" w:space="0" w:color="000000" w:themeColor="text1"/>
            </w:tcBorders>
          </w:tcPr>
          <w:p w14:paraId="07374E86" w14:textId="77777777" w:rsidR="00AE6AC3" w:rsidRPr="00064D76" w:rsidRDefault="00AE6AC3">
            <w:r w:rsidRPr="00064D76">
              <w:t>Note</w:t>
            </w:r>
          </w:p>
        </w:tc>
        <w:tc>
          <w:tcPr>
            <w:tcW w:w="1134" w:type="dxa"/>
            <w:tcBorders>
              <w:bottom w:val="single" w:sz="4" w:space="0" w:color="000000" w:themeColor="text1"/>
            </w:tcBorders>
          </w:tcPr>
          <w:p w14:paraId="6FCC3023" w14:textId="77777777" w:rsidR="00AE6AC3" w:rsidRPr="00064D76" w:rsidRDefault="00AE6AC3">
            <w:pPr>
              <w:rPr>
                <w:b/>
                <w:bCs/>
              </w:rPr>
            </w:pPr>
            <w:r>
              <w:rPr>
                <w:b/>
                <w:bCs/>
              </w:rPr>
              <w:t>£</w:t>
            </w:r>
            <w:r w:rsidRPr="00064D76">
              <w:rPr>
                <w:b/>
                <w:bCs/>
              </w:rPr>
              <w:t>000</w:t>
            </w:r>
          </w:p>
        </w:tc>
        <w:tc>
          <w:tcPr>
            <w:tcW w:w="1134" w:type="dxa"/>
            <w:tcBorders>
              <w:bottom w:val="single" w:sz="4" w:space="0" w:color="000000" w:themeColor="text1"/>
            </w:tcBorders>
          </w:tcPr>
          <w:p w14:paraId="075F972B" w14:textId="77777777" w:rsidR="00AE6AC3" w:rsidRPr="008D5F85" w:rsidRDefault="00AE6AC3">
            <w:r w:rsidRPr="008D5F85">
              <w:t>£000</w:t>
            </w:r>
          </w:p>
        </w:tc>
      </w:tr>
      <w:tr w:rsidR="00AE6AC3" w:rsidRPr="00064D76" w14:paraId="75144273" w14:textId="77777777">
        <w:trPr>
          <w:trHeight w:val="227"/>
        </w:trPr>
        <w:tc>
          <w:tcPr>
            <w:tcW w:w="6236" w:type="dxa"/>
            <w:tcBorders>
              <w:top w:val="single" w:sz="4" w:space="0" w:color="000000" w:themeColor="text1"/>
            </w:tcBorders>
          </w:tcPr>
          <w:p w14:paraId="4F4202C9" w14:textId="77777777" w:rsidR="00AE6AC3" w:rsidRPr="00064D76" w:rsidRDefault="00AE6AC3">
            <w:pPr>
              <w:jc w:val="left"/>
              <w:rPr>
                <w:b/>
                <w:bCs/>
              </w:rPr>
            </w:pPr>
            <w:r>
              <w:rPr>
                <w:b/>
                <w:bCs/>
              </w:rPr>
              <w:t>Loss</w:t>
            </w:r>
            <w:r w:rsidRPr="00064D76">
              <w:rPr>
                <w:b/>
                <w:bCs/>
              </w:rPr>
              <w:t xml:space="preserve"> for the year</w:t>
            </w:r>
          </w:p>
        </w:tc>
        <w:tc>
          <w:tcPr>
            <w:tcW w:w="1134" w:type="dxa"/>
            <w:tcBorders>
              <w:top w:val="single" w:sz="4" w:space="0" w:color="000000" w:themeColor="text1"/>
            </w:tcBorders>
          </w:tcPr>
          <w:p w14:paraId="3271C1D8" w14:textId="77777777" w:rsidR="00AE6AC3" w:rsidRPr="00064D76" w:rsidRDefault="00AE6AC3"/>
        </w:tc>
        <w:tc>
          <w:tcPr>
            <w:tcW w:w="1134" w:type="dxa"/>
            <w:tcBorders>
              <w:top w:val="single" w:sz="4" w:space="0" w:color="000000" w:themeColor="text1"/>
            </w:tcBorders>
            <w:vAlign w:val="center"/>
          </w:tcPr>
          <w:p w14:paraId="512659BA" w14:textId="77777777" w:rsidR="00AE6AC3" w:rsidRPr="00B24C29" w:rsidRDefault="00AE6AC3">
            <w:pPr>
              <w:rPr>
                <w:b/>
                <w:bCs/>
              </w:rPr>
            </w:pPr>
            <w:r w:rsidRPr="00B24C29">
              <w:rPr>
                <w:rFonts w:cs="Arial"/>
                <w:b/>
                <w:bCs/>
                <w:color w:val="000000"/>
                <w:szCs w:val="16"/>
              </w:rPr>
              <w:t>(1</w:t>
            </w:r>
            <w:r>
              <w:rPr>
                <w:rFonts w:cs="Arial"/>
                <w:b/>
                <w:bCs/>
                <w:color w:val="000000"/>
                <w:szCs w:val="16"/>
              </w:rPr>
              <w:t>12,317</w:t>
            </w:r>
            <w:r w:rsidRPr="00B24C29">
              <w:rPr>
                <w:rFonts w:cs="Arial"/>
                <w:b/>
                <w:bCs/>
                <w:color w:val="000000"/>
                <w:szCs w:val="16"/>
              </w:rPr>
              <w:t>)</w:t>
            </w:r>
          </w:p>
        </w:tc>
        <w:tc>
          <w:tcPr>
            <w:tcW w:w="1134" w:type="dxa"/>
            <w:tcBorders>
              <w:top w:val="single" w:sz="4" w:space="0" w:color="000000" w:themeColor="text1"/>
            </w:tcBorders>
            <w:vAlign w:val="center"/>
          </w:tcPr>
          <w:p w14:paraId="474D21BE" w14:textId="77777777" w:rsidR="00AE6AC3" w:rsidRPr="00987BF0" w:rsidRDefault="00AE6AC3">
            <w:r>
              <w:rPr>
                <w:rFonts w:cs="Arial"/>
                <w:color w:val="000000"/>
                <w:szCs w:val="16"/>
              </w:rPr>
              <w:t>(78,152)</w:t>
            </w:r>
          </w:p>
        </w:tc>
      </w:tr>
      <w:tr w:rsidR="00AE6AC3" w:rsidRPr="00064D76" w14:paraId="74D1B88D" w14:textId="77777777">
        <w:trPr>
          <w:trHeight w:val="227"/>
        </w:trPr>
        <w:tc>
          <w:tcPr>
            <w:tcW w:w="6236" w:type="dxa"/>
            <w:tcBorders>
              <w:bottom w:val="nil"/>
            </w:tcBorders>
          </w:tcPr>
          <w:p w14:paraId="25461A1C" w14:textId="77777777" w:rsidR="00AE6AC3" w:rsidRPr="00064D76" w:rsidRDefault="00AE6AC3">
            <w:pPr>
              <w:jc w:val="left"/>
            </w:pPr>
            <w:r w:rsidRPr="00064D76">
              <w:t>Other comprehensive (expense)/income:</w:t>
            </w:r>
          </w:p>
        </w:tc>
        <w:tc>
          <w:tcPr>
            <w:tcW w:w="1134" w:type="dxa"/>
            <w:tcBorders>
              <w:bottom w:val="nil"/>
            </w:tcBorders>
          </w:tcPr>
          <w:p w14:paraId="0D64600B" w14:textId="77777777" w:rsidR="00AE6AC3" w:rsidRPr="00064D76" w:rsidRDefault="00AE6AC3"/>
        </w:tc>
        <w:tc>
          <w:tcPr>
            <w:tcW w:w="1134" w:type="dxa"/>
            <w:tcBorders>
              <w:bottom w:val="nil"/>
            </w:tcBorders>
          </w:tcPr>
          <w:p w14:paraId="5EC53E7E" w14:textId="77777777" w:rsidR="00AE6AC3" w:rsidRPr="00987BF0" w:rsidRDefault="00AE6AC3">
            <w:pPr>
              <w:rPr>
                <w:b/>
                <w:bCs/>
              </w:rPr>
            </w:pPr>
          </w:p>
        </w:tc>
        <w:tc>
          <w:tcPr>
            <w:tcW w:w="1134" w:type="dxa"/>
            <w:tcBorders>
              <w:bottom w:val="nil"/>
            </w:tcBorders>
          </w:tcPr>
          <w:p w14:paraId="4FFB3FF7" w14:textId="77777777" w:rsidR="00AE6AC3" w:rsidRPr="00987BF0" w:rsidRDefault="00AE6AC3"/>
        </w:tc>
      </w:tr>
      <w:tr w:rsidR="00AE6AC3" w:rsidRPr="00064D76" w14:paraId="42C0CD62" w14:textId="77777777">
        <w:trPr>
          <w:trHeight w:val="227"/>
        </w:trPr>
        <w:tc>
          <w:tcPr>
            <w:tcW w:w="6236" w:type="dxa"/>
            <w:tcBorders>
              <w:bottom w:val="nil"/>
            </w:tcBorders>
          </w:tcPr>
          <w:p w14:paraId="2CA1E08D" w14:textId="77777777" w:rsidR="00AE6AC3" w:rsidRPr="00DD777C" w:rsidRDefault="00AE6AC3">
            <w:pPr>
              <w:jc w:val="left"/>
              <w:rPr>
                <w:b/>
                <w:bCs/>
              </w:rPr>
            </w:pPr>
            <w:r w:rsidRPr="00DD777C">
              <w:rPr>
                <w:b/>
                <w:bCs/>
              </w:rPr>
              <w:t>Items that will not be reclassified to profit or loss</w:t>
            </w:r>
          </w:p>
        </w:tc>
        <w:tc>
          <w:tcPr>
            <w:tcW w:w="1134" w:type="dxa"/>
            <w:tcBorders>
              <w:bottom w:val="nil"/>
            </w:tcBorders>
          </w:tcPr>
          <w:p w14:paraId="59304748" w14:textId="77777777" w:rsidR="00AE6AC3" w:rsidRPr="00064D76" w:rsidRDefault="00AE6AC3"/>
        </w:tc>
        <w:tc>
          <w:tcPr>
            <w:tcW w:w="1134" w:type="dxa"/>
            <w:tcBorders>
              <w:bottom w:val="nil"/>
            </w:tcBorders>
          </w:tcPr>
          <w:p w14:paraId="2C2B68A1" w14:textId="77777777" w:rsidR="00AE6AC3" w:rsidRPr="00987BF0" w:rsidRDefault="00AE6AC3">
            <w:pPr>
              <w:rPr>
                <w:b/>
                <w:bCs/>
              </w:rPr>
            </w:pPr>
          </w:p>
        </w:tc>
        <w:tc>
          <w:tcPr>
            <w:tcW w:w="1134" w:type="dxa"/>
            <w:tcBorders>
              <w:bottom w:val="nil"/>
            </w:tcBorders>
          </w:tcPr>
          <w:p w14:paraId="1859A94E" w14:textId="77777777" w:rsidR="00AE6AC3" w:rsidRPr="00987BF0" w:rsidRDefault="00AE6AC3"/>
        </w:tc>
      </w:tr>
      <w:tr w:rsidR="00AE6AC3" w:rsidRPr="00064D76" w14:paraId="279962A5" w14:textId="77777777">
        <w:trPr>
          <w:trHeight w:val="227"/>
        </w:trPr>
        <w:tc>
          <w:tcPr>
            <w:tcW w:w="6236" w:type="dxa"/>
            <w:tcBorders>
              <w:top w:val="nil"/>
            </w:tcBorders>
          </w:tcPr>
          <w:p w14:paraId="7993FD58" w14:textId="77777777" w:rsidR="00AE6AC3" w:rsidRPr="00064D76" w:rsidRDefault="00AE6AC3">
            <w:pPr>
              <w:jc w:val="left"/>
            </w:pPr>
            <w:r w:rsidRPr="00064D76">
              <w:t>Re-measurement of defined benefit pension and health benefit schemes</w:t>
            </w:r>
          </w:p>
        </w:tc>
        <w:tc>
          <w:tcPr>
            <w:tcW w:w="1134" w:type="dxa"/>
            <w:tcBorders>
              <w:top w:val="nil"/>
            </w:tcBorders>
          </w:tcPr>
          <w:p w14:paraId="3D6B0384" w14:textId="77777777" w:rsidR="00AE6AC3" w:rsidRPr="00064D76" w:rsidRDefault="00AE6AC3"/>
        </w:tc>
        <w:tc>
          <w:tcPr>
            <w:tcW w:w="1134" w:type="dxa"/>
            <w:tcBorders>
              <w:top w:val="nil"/>
            </w:tcBorders>
            <w:vAlign w:val="center"/>
          </w:tcPr>
          <w:p w14:paraId="4D72C42E" w14:textId="77777777" w:rsidR="00AE6AC3" w:rsidRPr="00987BF0" w:rsidRDefault="00AE6AC3">
            <w:pPr>
              <w:rPr>
                <w:b/>
                <w:bCs/>
              </w:rPr>
            </w:pPr>
            <w:r>
              <w:rPr>
                <w:b/>
                <w:bCs/>
              </w:rPr>
              <w:t>-</w:t>
            </w:r>
          </w:p>
        </w:tc>
        <w:tc>
          <w:tcPr>
            <w:tcW w:w="1134" w:type="dxa"/>
            <w:tcBorders>
              <w:top w:val="nil"/>
            </w:tcBorders>
            <w:vAlign w:val="center"/>
          </w:tcPr>
          <w:p w14:paraId="46DD01C3" w14:textId="77777777" w:rsidR="00AE6AC3" w:rsidRPr="00987BF0" w:rsidRDefault="00AE6AC3">
            <w:r>
              <w:t>(31)</w:t>
            </w:r>
          </w:p>
        </w:tc>
      </w:tr>
      <w:tr w:rsidR="00AE6AC3" w:rsidRPr="00064D76" w14:paraId="15346730" w14:textId="77777777">
        <w:trPr>
          <w:trHeight w:val="227"/>
        </w:trPr>
        <w:tc>
          <w:tcPr>
            <w:tcW w:w="6236" w:type="dxa"/>
            <w:tcBorders>
              <w:bottom w:val="single" w:sz="4" w:space="0" w:color="000000" w:themeColor="text1"/>
            </w:tcBorders>
          </w:tcPr>
          <w:p w14:paraId="426A0E63" w14:textId="77777777" w:rsidR="00AE6AC3" w:rsidRPr="00064D76" w:rsidRDefault="00AE6AC3">
            <w:pPr>
              <w:jc w:val="left"/>
              <w:rPr>
                <w:b/>
                <w:bCs/>
              </w:rPr>
            </w:pPr>
            <w:r w:rsidRPr="00064D76">
              <w:rPr>
                <w:b/>
                <w:bCs/>
              </w:rPr>
              <w:t>Items that may be reclassified subsequently to profit or loss</w:t>
            </w:r>
          </w:p>
        </w:tc>
        <w:tc>
          <w:tcPr>
            <w:tcW w:w="1134" w:type="dxa"/>
            <w:tcBorders>
              <w:bottom w:val="single" w:sz="4" w:space="0" w:color="000000" w:themeColor="text1"/>
            </w:tcBorders>
          </w:tcPr>
          <w:p w14:paraId="79B6B983" w14:textId="77777777" w:rsidR="00AE6AC3" w:rsidRPr="00064D76" w:rsidRDefault="00AE6AC3"/>
        </w:tc>
        <w:tc>
          <w:tcPr>
            <w:tcW w:w="1134" w:type="dxa"/>
            <w:tcBorders>
              <w:bottom w:val="single" w:sz="4" w:space="0" w:color="000000" w:themeColor="text1"/>
            </w:tcBorders>
            <w:vAlign w:val="bottom"/>
          </w:tcPr>
          <w:p w14:paraId="71F7D6B7" w14:textId="77777777" w:rsidR="00AE6AC3" w:rsidRPr="00987BF0" w:rsidRDefault="00AE6AC3">
            <w:pPr>
              <w:rPr>
                <w:b/>
                <w:bCs/>
              </w:rPr>
            </w:pPr>
          </w:p>
        </w:tc>
        <w:tc>
          <w:tcPr>
            <w:tcW w:w="1134" w:type="dxa"/>
            <w:tcBorders>
              <w:bottom w:val="single" w:sz="4" w:space="0" w:color="000000" w:themeColor="text1"/>
            </w:tcBorders>
          </w:tcPr>
          <w:p w14:paraId="4BF51BB2" w14:textId="77777777" w:rsidR="00AE6AC3" w:rsidRPr="00987BF0" w:rsidRDefault="00AE6AC3"/>
        </w:tc>
      </w:tr>
      <w:tr w:rsidR="00AE6AC3" w:rsidRPr="00064D76" w14:paraId="0A8D875B" w14:textId="77777777">
        <w:trPr>
          <w:trHeight w:val="227"/>
        </w:trPr>
        <w:tc>
          <w:tcPr>
            <w:tcW w:w="6236" w:type="dxa"/>
            <w:tcBorders>
              <w:top w:val="single" w:sz="4" w:space="0" w:color="000000" w:themeColor="text1"/>
              <w:bottom w:val="nil"/>
            </w:tcBorders>
          </w:tcPr>
          <w:p w14:paraId="16676904" w14:textId="77777777" w:rsidR="00AE6AC3" w:rsidRPr="00064D76" w:rsidRDefault="00AE6AC3">
            <w:pPr>
              <w:jc w:val="left"/>
            </w:pPr>
            <w:r w:rsidRPr="00064D76">
              <w:t>Exchange difference on translation of foreign operations</w:t>
            </w:r>
          </w:p>
        </w:tc>
        <w:tc>
          <w:tcPr>
            <w:tcW w:w="1134" w:type="dxa"/>
            <w:tcBorders>
              <w:top w:val="single" w:sz="4" w:space="0" w:color="000000" w:themeColor="text1"/>
              <w:bottom w:val="nil"/>
            </w:tcBorders>
          </w:tcPr>
          <w:p w14:paraId="18348A5C" w14:textId="77777777" w:rsidR="00AE6AC3" w:rsidRPr="00064D76" w:rsidRDefault="00AE6AC3">
            <w:pPr>
              <w:jc w:val="left"/>
            </w:pPr>
          </w:p>
        </w:tc>
        <w:tc>
          <w:tcPr>
            <w:tcW w:w="1134" w:type="dxa"/>
            <w:tcBorders>
              <w:top w:val="single" w:sz="4" w:space="0" w:color="000000" w:themeColor="text1"/>
              <w:bottom w:val="nil"/>
            </w:tcBorders>
          </w:tcPr>
          <w:p w14:paraId="32AC9EF9" w14:textId="77777777" w:rsidR="00AE6AC3" w:rsidRPr="00987BF0" w:rsidRDefault="00AE6AC3">
            <w:pPr>
              <w:rPr>
                <w:b/>
                <w:bCs/>
              </w:rPr>
            </w:pPr>
            <w:r>
              <w:rPr>
                <w:b/>
                <w:bCs/>
              </w:rPr>
              <w:t>(1,351)</w:t>
            </w:r>
          </w:p>
        </w:tc>
        <w:tc>
          <w:tcPr>
            <w:tcW w:w="1134" w:type="dxa"/>
            <w:tcBorders>
              <w:top w:val="single" w:sz="4" w:space="0" w:color="000000" w:themeColor="text1"/>
              <w:bottom w:val="nil"/>
            </w:tcBorders>
            <w:vAlign w:val="center"/>
          </w:tcPr>
          <w:p w14:paraId="235B8F19" w14:textId="77777777" w:rsidR="00AE6AC3" w:rsidRPr="00987BF0" w:rsidRDefault="00AE6AC3">
            <w:r>
              <w:rPr>
                <w:rFonts w:cs="Arial"/>
                <w:color w:val="000000"/>
                <w:szCs w:val="16"/>
              </w:rPr>
              <w:t>(5,526)</w:t>
            </w:r>
          </w:p>
        </w:tc>
      </w:tr>
      <w:tr w:rsidR="00AE6AC3" w:rsidRPr="00064D76" w14:paraId="5B31DD32" w14:textId="77777777">
        <w:trPr>
          <w:trHeight w:val="227"/>
        </w:trPr>
        <w:tc>
          <w:tcPr>
            <w:tcW w:w="6236" w:type="dxa"/>
            <w:tcBorders>
              <w:top w:val="nil"/>
            </w:tcBorders>
          </w:tcPr>
          <w:p w14:paraId="728E564B" w14:textId="77777777" w:rsidR="00AE6AC3" w:rsidRPr="00064D76" w:rsidRDefault="00AE6AC3">
            <w:pPr>
              <w:jc w:val="left"/>
            </w:pPr>
            <w:r w:rsidRPr="006C3C85">
              <w:t xml:space="preserve">Exchange difference </w:t>
            </w:r>
            <w:r>
              <w:t>reclassified to profit or loss on disposal of DG Americas</w:t>
            </w:r>
          </w:p>
        </w:tc>
        <w:tc>
          <w:tcPr>
            <w:tcW w:w="1134" w:type="dxa"/>
            <w:tcBorders>
              <w:top w:val="nil"/>
            </w:tcBorders>
          </w:tcPr>
          <w:p w14:paraId="599169D7" w14:textId="77777777" w:rsidR="00AE6AC3" w:rsidRPr="00064D76" w:rsidRDefault="00AE6AC3">
            <w:r>
              <w:t>4</w:t>
            </w:r>
          </w:p>
        </w:tc>
        <w:tc>
          <w:tcPr>
            <w:tcW w:w="1134" w:type="dxa"/>
            <w:tcBorders>
              <w:top w:val="nil"/>
            </w:tcBorders>
            <w:vAlign w:val="bottom"/>
          </w:tcPr>
          <w:p w14:paraId="3A963AD7" w14:textId="77777777" w:rsidR="00AE6AC3" w:rsidRPr="00B24C29" w:rsidRDefault="00AE6AC3">
            <w:pPr>
              <w:rPr>
                <w:b/>
                <w:bCs/>
              </w:rPr>
            </w:pPr>
            <w:r w:rsidRPr="00B24C29">
              <w:rPr>
                <w:b/>
                <w:bCs/>
              </w:rPr>
              <w:t>10,813</w:t>
            </w:r>
          </w:p>
        </w:tc>
        <w:tc>
          <w:tcPr>
            <w:tcW w:w="1134" w:type="dxa"/>
            <w:tcBorders>
              <w:top w:val="nil"/>
            </w:tcBorders>
            <w:vAlign w:val="center"/>
          </w:tcPr>
          <w:p w14:paraId="305C2CDD" w14:textId="77777777" w:rsidR="00AE6AC3" w:rsidRPr="00987BF0" w:rsidRDefault="00AE6AC3">
            <w:r>
              <w:rPr>
                <w:rFonts w:cs="Arial"/>
                <w:color w:val="000000"/>
                <w:szCs w:val="16"/>
              </w:rPr>
              <w:t xml:space="preserve"> - </w:t>
            </w:r>
          </w:p>
        </w:tc>
      </w:tr>
      <w:tr w:rsidR="00AE6AC3" w:rsidRPr="00064D76" w14:paraId="7D667D41" w14:textId="77777777">
        <w:trPr>
          <w:trHeight w:val="227"/>
        </w:trPr>
        <w:tc>
          <w:tcPr>
            <w:tcW w:w="6236" w:type="dxa"/>
          </w:tcPr>
          <w:p w14:paraId="22FFA8DF" w14:textId="77777777" w:rsidR="00AE6AC3" w:rsidRPr="00064D76" w:rsidRDefault="00AE6AC3">
            <w:pPr>
              <w:jc w:val="left"/>
            </w:pPr>
            <w:r w:rsidRPr="006C3C85">
              <w:t xml:space="preserve">Exchange difference </w:t>
            </w:r>
            <w:r>
              <w:t>reclassified to profit or loss on disposal of Huizhou</w:t>
            </w:r>
          </w:p>
        </w:tc>
        <w:tc>
          <w:tcPr>
            <w:tcW w:w="1134" w:type="dxa"/>
          </w:tcPr>
          <w:p w14:paraId="44FE4775" w14:textId="77777777" w:rsidR="00AE6AC3" w:rsidRPr="00064D76" w:rsidRDefault="00AE6AC3">
            <w:r>
              <w:t>1</w:t>
            </w:r>
          </w:p>
        </w:tc>
        <w:tc>
          <w:tcPr>
            <w:tcW w:w="1134" w:type="dxa"/>
            <w:vAlign w:val="bottom"/>
          </w:tcPr>
          <w:p w14:paraId="6A08222D" w14:textId="77777777" w:rsidR="00AE6AC3" w:rsidRPr="00B8452B" w:rsidRDefault="00AE6AC3">
            <w:pPr>
              <w:rPr>
                <w:b/>
              </w:rPr>
            </w:pPr>
            <w:r w:rsidRPr="00B24C29">
              <w:rPr>
                <w:b/>
                <w:bCs/>
              </w:rPr>
              <w:t>(406)</w:t>
            </w:r>
          </w:p>
        </w:tc>
        <w:tc>
          <w:tcPr>
            <w:tcW w:w="1134" w:type="dxa"/>
            <w:vAlign w:val="center"/>
          </w:tcPr>
          <w:p w14:paraId="55140DE9" w14:textId="77777777" w:rsidR="00AE6AC3" w:rsidRDefault="00AE6AC3">
            <w:pPr>
              <w:rPr>
                <w:rFonts w:cs="Arial"/>
                <w:color w:val="000000"/>
                <w:szCs w:val="16"/>
              </w:rPr>
            </w:pPr>
            <w:r>
              <w:rPr>
                <w:rFonts w:cs="Arial"/>
                <w:color w:val="000000"/>
                <w:szCs w:val="16"/>
              </w:rPr>
              <w:t>-</w:t>
            </w:r>
          </w:p>
        </w:tc>
      </w:tr>
      <w:tr w:rsidR="00AE6AC3" w:rsidRPr="00064D76" w14:paraId="29C6B849" w14:textId="77777777">
        <w:trPr>
          <w:trHeight w:val="227"/>
        </w:trPr>
        <w:tc>
          <w:tcPr>
            <w:tcW w:w="6236" w:type="dxa"/>
          </w:tcPr>
          <w:p w14:paraId="5FE0301B" w14:textId="77777777" w:rsidR="00AE6AC3" w:rsidRPr="00064D76" w:rsidRDefault="00AE6AC3">
            <w:pPr>
              <w:jc w:val="left"/>
            </w:pPr>
            <w:r w:rsidRPr="00064D76">
              <w:t>Transfer to profit and loss on maturing cash flow hedges</w:t>
            </w:r>
          </w:p>
        </w:tc>
        <w:tc>
          <w:tcPr>
            <w:tcW w:w="1134" w:type="dxa"/>
          </w:tcPr>
          <w:p w14:paraId="36A261A3" w14:textId="77777777" w:rsidR="00AE6AC3" w:rsidRPr="00064D76" w:rsidRDefault="00AE6AC3"/>
        </w:tc>
        <w:tc>
          <w:tcPr>
            <w:tcW w:w="1134" w:type="dxa"/>
            <w:vAlign w:val="bottom"/>
          </w:tcPr>
          <w:p w14:paraId="0E887E4A" w14:textId="77777777" w:rsidR="00AE6AC3" w:rsidRPr="00B24C29" w:rsidRDefault="00AE6AC3">
            <w:pPr>
              <w:rPr>
                <w:b/>
                <w:bCs/>
              </w:rPr>
            </w:pPr>
            <w:r w:rsidRPr="00B24C29">
              <w:rPr>
                <w:b/>
                <w:bCs/>
              </w:rPr>
              <w:t>(490)</w:t>
            </w:r>
          </w:p>
        </w:tc>
        <w:tc>
          <w:tcPr>
            <w:tcW w:w="1134" w:type="dxa"/>
            <w:vAlign w:val="center"/>
          </w:tcPr>
          <w:p w14:paraId="256188B8" w14:textId="77777777" w:rsidR="00AE6AC3" w:rsidRPr="00987BF0" w:rsidRDefault="00AE6AC3">
            <w:r>
              <w:rPr>
                <w:rFonts w:cs="Arial"/>
                <w:color w:val="000000"/>
                <w:szCs w:val="16"/>
              </w:rPr>
              <w:t>(311)</w:t>
            </w:r>
          </w:p>
        </w:tc>
      </w:tr>
      <w:tr w:rsidR="00AE6AC3" w:rsidRPr="00064D76" w14:paraId="5D2C5179" w14:textId="77777777">
        <w:trPr>
          <w:trHeight w:val="227"/>
        </w:trPr>
        <w:tc>
          <w:tcPr>
            <w:tcW w:w="6236" w:type="dxa"/>
          </w:tcPr>
          <w:p w14:paraId="4798A043" w14:textId="77777777" w:rsidR="00AE6AC3" w:rsidRPr="00064D76" w:rsidRDefault="00AE6AC3">
            <w:pPr>
              <w:jc w:val="left"/>
            </w:pPr>
            <w:r w:rsidRPr="00064D76">
              <w:t xml:space="preserve">Net unrealised </w:t>
            </w:r>
            <w:r>
              <w:t>gain/(loss)</w:t>
            </w:r>
            <w:r w:rsidRPr="00064D76">
              <w:t xml:space="preserve"> on cash flow hedges</w:t>
            </w:r>
          </w:p>
        </w:tc>
        <w:tc>
          <w:tcPr>
            <w:tcW w:w="1134" w:type="dxa"/>
          </w:tcPr>
          <w:p w14:paraId="4548F8B7" w14:textId="77777777" w:rsidR="00AE6AC3" w:rsidRPr="00064D76" w:rsidRDefault="00AE6AC3"/>
        </w:tc>
        <w:tc>
          <w:tcPr>
            <w:tcW w:w="1134" w:type="dxa"/>
            <w:vAlign w:val="center"/>
          </w:tcPr>
          <w:p w14:paraId="1B7A5E2C" w14:textId="77777777" w:rsidR="00AE6AC3" w:rsidRPr="00B24C29" w:rsidRDefault="00AE6AC3">
            <w:pPr>
              <w:rPr>
                <w:b/>
                <w:bCs/>
              </w:rPr>
            </w:pPr>
            <w:r w:rsidRPr="00D50533">
              <w:rPr>
                <w:rFonts w:cs="Arial"/>
                <w:b/>
                <w:color w:val="000000"/>
                <w:szCs w:val="16"/>
              </w:rPr>
              <w:t>1,070</w:t>
            </w:r>
            <w:r w:rsidRPr="00B24C29">
              <w:rPr>
                <w:rFonts w:cs="Arial"/>
                <w:b/>
                <w:bCs/>
                <w:color w:val="000000"/>
                <w:szCs w:val="16"/>
              </w:rPr>
              <w:t xml:space="preserve"> </w:t>
            </w:r>
          </w:p>
        </w:tc>
        <w:tc>
          <w:tcPr>
            <w:tcW w:w="1134" w:type="dxa"/>
            <w:vAlign w:val="center"/>
          </w:tcPr>
          <w:p w14:paraId="407B81B8" w14:textId="77777777" w:rsidR="00AE6AC3" w:rsidRPr="00987BF0" w:rsidRDefault="00AE6AC3">
            <w:r>
              <w:rPr>
                <w:rFonts w:cs="Arial"/>
                <w:color w:val="000000"/>
                <w:szCs w:val="16"/>
              </w:rPr>
              <w:t>(136)</w:t>
            </w:r>
          </w:p>
        </w:tc>
      </w:tr>
      <w:tr w:rsidR="00AE6AC3" w:rsidRPr="00064D76" w14:paraId="6382C940" w14:textId="77777777">
        <w:trPr>
          <w:trHeight w:val="227"/>
        </w:trPr>
        <w:tc>
          <w:tcPr>
            <w:tcW w:w="6236" w:type="dxa"/>
            <w:tcBorders>
              <w:top w:val="single" w:sz="4" w:space="0" w:color="000000" w:themeColor="text1"/>
              <w:bottom w:val="single" w:sz="4" w:space="0" w:color="auto"/>
            </w:tcBorders>
          </w:tcPr>
          <w:p w14:paraId="7D5D7A65" w14:textId="77777777" w:rsidR="00AE6AC3" w:rsidRPr="00064D76" w:rsidRDefault="00AE6AC3">
            <w:pPr>
              <w:jc w:val="left"/>
            </w:pPr>
          </w:p>
        </w:tc>
        <w:tc>
          <w:tcPr>
            <w:tcW w:w="1134" w:type="dxa"/>
            <w:tcBorders>
              <w:top w:val="single" w:sz="4" w:space="0" w:color="000000" w:themeColor="text1"/>
              <w:bottom w:val="single" w:sz="4" w:space="0" w:color="auto"/>
            </w:tcBorders>
          </w:tcPr>
          <w:p w14:paraId="062D79C5" w14:textId="77777777" w:rsidR="00AE6AC3" w:rsidRPr="00064D76" w:rsidRDefault="00AE6AC3"/>
        </w:tc>
        <w:tc>
          <w:tcPr>
            <w:tcW w:w="1134" w:type="dxa"/>
            <w:tcBorders>
              <w:top w:val="single" w:sz="4" w:space="0" w:color="000000" w:themeColor="text1"/>
              <w:bottom w:val="single" w:sz="4" w:space="0" w:color="auto"/>
            </w:tcBorders>
            <w:vAlign w:val="center"/>
          </w:tcPr>
          <w:p w14:paraId="19A51E76" w14:textId="77777777" w:rsidR="00AE6AC3" w:rsidRPr="00B24C29" w:rsidRDefault="00AE6AC3">
            <w:pPr>
              <w:rPr>
                <w:b/>
                <w:bCs/>
              </w:rPr>
            </w:pPr>
            <w:r w:rsidRPr="00B24C29">
              <w:rPr>
                <w:rFonts w:cs="Arial"/>
                <w:b/>
                <w:bCs/>
                <w:color w:val="000000"/>
                <w:szCs w:val="16"/>
              </w:rPr>
              <w:t xml:space="preserve">9,636 </w:t>
            </w:r>
          </w:p>
        </w:tc>
        <w:tc>
          <w:tcPr>
            <w:tcW w:w="1134" w:type="dxa"/>
            <w:tcBorders>
              <w:top w:val="single" w:sz="4" w:space="0" w:color="000000" w:themeColor="text1"/>
              <w:bottom w:val="single" w:sz="4" w:space="0" w:color="auto"/>
            </w:tcBorders>
            <w:vAlign w:val="center"/>
          </w:tcPr>
          <w:p w14:paraId="6E8E4891" w14:textId="77777777" w:rsidR="00AE6AC3" w:rsidRPr="00987BF0" w:rsidRDefault="00AE6AC3">
            <w:r>
              <w:rPr>
                <w:rFonts w:cs="Arial"/>
                <w:color w:val="000000"/>
                <w:szCs w:val="16"/>
              </w:rPr>
              <w:t>(5,973)</w:t>
            </w:r>
          </w:p>
        </w:tc>
      </w:tr>
      <w:tr w:rsidR="00AE6AC3" w:rsidRPr="0023408D" w14:paraId="4019908B" w14:textId="77777777">
        <w:trPr>
          <w:trHeight w:val="227"/>
        </w:trPr>
        <w:tc>
          <w:tcPr>
            <w:tcW w:w="6236" w:type="dxa"/>
            <w:tcBorders>
              <w:top w:val="single" w:sz="4" w:space="0" w:color="auto"/>
              <w:bottom w:val="single" w:sz="4" w:space="0" w:color="000000" w:themeColor="text1"/>
            </w:tcBorders>
          </w:tcPr>
          <w:p w14:paraId="2B6F8FB7" w14:textId="77777777" w:rsidR="00AE6AC3" w:rsidRPr="0023408D" w:rsidRDefault="00AE6AC3">
            <w:pPr>
              <w:jc w:val="left"/>
              <w:rPr>
                <w:b/>
                <w:bCs/>
              </w:rPr>
            </w:pPr>
            <w:r w:rsidRPr="0023408D">
              <w:rPr>
                <w:b/>
                <w:bCs/>
              </w:rPr>
              <w:t xml:space="preserve">Other comprehensive </w:t>
            </w:r>
            <w:r>
              <w:rPr>
                <w:b/>
                <w:bCs/>
              </w:rPr>
              <w:t>income/(</w:t>
            </w:r>
            <w:r w:rsidRPr="0023408D">
              <w:rPr>
                <w:b/>
                <w:bCs/>
              </w:rPr>
              <w:t>expense</w:t>
            </w:r>
            <w:r>
              <w:rPr>
                <w:b/>
                <w:bCs/>
              </w:rPr>
              <w:t>)</w:t>
            </w:r>
            <w:r w:rsidRPr="0023408D">
              <w:rPr>
                <w:b/>
                <w:bCs/>
              </w:rPr>
              <w:t xml:space="preserve"> for the year, net of tax</w:t>
            </w:r>
          </w:p>
        </w:tc>
        <w:tc>
          <w:tcPr>
            <w:tcW w:w="1134" w:type="dxa"/>
            <w:tcBorders>
              <w:top w:val="single" w:sz="4" w:space="0" w:color="auto"/>
              <w:bottom w:val="single" w:sz="4" w:space="0" w:color="000000" w:themeColor="text1"/>
            </w:tcBorders>
          </w:tcPr>
          <w:p w14:paraId="71E935CC" w14:textId="77777777" w:rsidR="00AE6AC3" w:rsidRPr="0023408D" w:rsidRDefault="00AE6AC3">
            <w:pPr>
              <w:rPr>
                <w:b/>
                <w:bCs/>
              </w:rPr>
            </w:pPr>
          </w:p>
        </w:tc>
        <w:tc>
          <w:tcPr>
            <w:tcW w:w="1134" w:type="dxa"/>
            <w:tcBorders>
              <w:top w:val="single" w:sz="4" w:space="0" w:color="auto"/>
              <w:bottom w:val="single" w:sz="4" w:space="0" w:color="000000" w:themeColor="text1"/>
            </w:tcBorders>
            <w:vAlign w:val="center"/>
          </w:tcPr>
          <w:p w14:paraId="1AC1B68B" w14:textId="77777777" w:rsidR="00AE6AC3" w:rsidRPr="00B24C29" w:rsidRDefault="00AE6AC3">
            <w:pPr>
              <w:rPr>
                <w:b/>
                <w:bCs/>
              </w:rPr>
            </w:pPr>
            <w:r w:rsidRPr="00B24C29">
              <w:rPr>
                <w:rFonts w:cs="Arial"/>
                <w:b/>
                <w:bCs/>
                <w:color w:val="000000"/>
                <w:szCs w:val="16"/>
              </w:rPr>
              <w:t xml:space="preserve">9,636 </w:t>
            </w:r>
          </w:p>
        </w:tc>
        <w:tc>
          <w:tcPr>
            <w:tcW w:w="1134" w:type="dxa"/>
            <w:tcBorders>
              <w:top w:val="single" w:sz="4" w:space="0" w:color="auto"/>
              <w:bottom w:val="single" w:sz="4" w:space="0" w:color="000000" w:themeColor="text1"/>
            </w:tcBorders>
            <w:vAlign w:val="center"/>
          </w:tcPr>
          <w:p w14:paraId="1484A779" w14:textId="77777777" w:rsidR="00AE6AC3" w:rsidRPr="0023408D" w:rsidRDefault="00AE6AC3">
            <w:pPr>
              <w:rPr>
                <w:b/>
                <w:bCs/>
              </w:rPr>
            </w:pPr>
            <w:r>
              <w:rPr>
                <w:rFonts w:cs="Arial"/>
                <w:color w:val="000000"/>
                <w:szCs w:val="16"/>
              </w:rPr>
              <w:t>(6,004)</w:t>
            </w:r>
          </w:p>
        </w:tc>
      </w:tr>
      <w:tr w:rsidR="00AE6AC3" w:rsidRPr="00871254" w14:paraId="379D90A7" w14:textId="77777777">
        <w:trPr>
          <w:trHeight w:val="227"/>
        </w:trPr>
        <w:tc>
          <w:tcPr>
            <w:tcW w:w="6236" w:type="dxa"/>
            <w:tcBorders>
              <w:top w:val="single" w:sz="4" w:space="0" w:color="000000" w:themeColor="text1"/>
              <w:bottom w:val="single" w:sz="12" w:space="0" w:color="000000" w:themeColor="text1"/>
            </w:tcBorders>
          </w:tcPr>
          <w:p w14:paraId="2FCAF831" w14:textId="77777777" w:rsidR="00AE6AC3" w:rsidRPr="00064D76" w:rsidRDefault="00AE6AC3">
            <w:pPr>
              <w:jc w:val="left"/>
              <w:rPr>
                <w:b/>
                <w:bCs/>
              </w:rPr>
            </w:pPr>
            <w:r w:rsidRPr="00064D76">
              <w:rPr>
                <w:b/>
                <w:bCs/>
              </w:rPr>
              <w:t>Total comprehensive expense for the year, net of tax</w:t>
            </w:r>
          </w:p>
        </w:tc>
        <w:tc>
          <w:tcPr>
            <w:tcW w:w="1134" w:type="dxa"/>
            <w:tcBorders>
              <w:top w:val="single" w:sz="4" w:space="0" w:color="000000" w:themeColor="text1"/>
              <w:bottom w:val="single" w:sz="12" w:space="0" w:color="000000" w:themeColor="text1"/>
            </w:tcBorders>
          </w:tcPr>
          <w:p w14:paraId="18A04585" w14:textId="77777777" w:rsidR="00AE6AC3" w:rsidRPr="00064D76" w:rsidRDefault="00AE6AC3"/>
        </w:tc>
        <w:tc>
          <w:tcPr>
            <w:tcW w:w="1134" w:type="dxa"/>
            <w:tcBorders>
              <w:top w:val="single" w:sz="4" w:space="0" w:color="000000" w:themeColor="text1"/>
              <w:bottom w:val="single" w:sz="12" w:space="0" w:color="000000" w:themeColor="text1"/>
            </w:tcBorders>
            <w:vAlign w:val="center"/>
          </w:tcPr>
          <w:p w14:paraId="5797D15D" w14:textId="77777777" w:rsidR="00AE6AC3" w:rsidRPr="00987BF0" w:rsidRDefault="00AE6AC3">
            <w:pPr>
              <w:rPr>
                <w:b/>
                <w:bCs/>
              </w:rPr>
            </w:pPr>
            <w:r>
              <w:rPr>
                <w:rFonts w:cs="Arial"/>
                <w:b/>
                <w:bCs/>
                <w:color w:val="000000"/>
                <w:szCs w:val="16"/>
              </w:rPr>
              <w:t>(102,681)</w:t>
            </w:r>
          </w:p>
        </w:tc>
        <w:tc>
          <w:tcPr>
            <w:tcW w:w="1134" w:type="dxa"/>
            <w:tcBorders>
              <w:top w:val="single" w:sz="4" w:space="0" w:color="000000" w:themeColor="text1"/>
              <w:bottom w:val="single" w:sz="12" w:space="0" w:color="000000" w:themeColor="text1"/>
            </w:tcBorders>
            <w:vAlign w:val="center"/>
          </w:tcPr>
          <w:p w14:paraId="7647B2A6" w14:textId="77777777" w:rsidR="00AE6AC3" w:rsidRPr="00871254" w:rsidRDefault="00AE6AC3">
            <w:r w:rsidRPr="00A23643">
              <w:rPr>
                <w:rFonts w:cs="Arial"/>
                <w:color w:val="000000"/>
                <w:szCs w:val="16"/>
              </w:rPr>
              <w:t>(84,156)</w:t>
            </w:r>
          </w:p>
        </w:tc>
      </w:tr>
      <w:tr w:rsidR="00AE6AC3" w:rsidRPr="00064D76" w14:paraId="69AAED0D" w14:textId="77777777">
        <w:trPr>
          <w:trHeight w:val="227"/>
        </w:trPr>
        <w:tc>
          <w:tcPr>
            <w:tcW w:w="6236" w:type="dxa"/>
            <w:tcBorders>
              <w:top w:val="single" w:sz="12" w:space="0" w:color="000000" w:themeColor="text1"/>
            </w:tcBorders>
          </w:tcPr>
          <w:p w14:paraId="32C3245F" w14:textId="77777777" w:rsidR="00AE6AC3" w:rsidRPr="00064D76" w:rsidRDefault="00AE6AC3">
            <w:pPr>
              <w:rPr>
                <w:b/>
                <w:bCs/>
              </w:rPr>
            </w:pPr>
          </w:p>
        </w:tc>
        <w:tc>
          <w:tcPr>
            <w:tcW w:w="1134" w:type="dxa"/>
            <w:tcBorders>
              <w:top w:val="single" w:sz="12" w:space="0" w:color="000000" w:themeColor="text1"/>
            </w:tcBorders>
          </w:tcPr>
          <w:p w14:paraId="035711DA" w14:textId="77777777" w:rsidR="00AE6AC3" w:rsidRPr="00064D76" w:rsidRDefault="00AE6AC3"/>
        </w:tc>
        <w:tc>
          <w:tcPr>
            <w:tcW w:w="1134" w:type="dxa"/>
            <w:tcBorders>
              <w:top w:val="single" w:sz="12" w:space="0" w:color="000000" w:themeColor="text1"/>
            </w:tcBorders>
            <w:vAlign w:val="bottom"/>
          </w:tcPr>
          <w:p w14:paraId="3E549AA8" w14:textId="77777777" w:rsidR="00AE6AC3" w:rsidRDefault="00AE6AC3">
            <w:pPr>
              <w:rPr>
                <w:rFonts w:cs="Arial"/>
                <w:b/>
                <w:bCs/>
                <w:szCs w:val="16"/>
              </w:rPr>
            </w:pPr>
          </w:p>
        </w:tc>
        <w:tc>
          <w:tcPr>
            <w:tcW w:w="1134" w:type="dxa"/>
            <w:tcBorders>
              <w:top w:val="single" w:sz="12" w:space="0" w:color="000000" w:themeColor="text1"/>
            </w:tcBorders>
          </w:tcPr>
          <w:p w14:paraId="4EBDFD4A" w14:textId="77777777" w:rsidR="00AE6AC3" w:rsidRPr="00DD777C" w:rsidRDefault="00AE6AC3"/>
        </w:tc>
      </w:tr>
      <w:tr w:rsidR="00AE6AC3" w:rsidRPr="00064D76" w14:paraId="1438CF24" w14:textId="77777777">
        <w:trPr>
          <w:trHeight w:val="227"/>
        </w:trPr>
        <w:tc>
          <w:tcPr>
            <w:tcW w:w="6236" w:type="dxa"/>
          </w:tcPr>
          <w:p w14:paraId="5D54FE83" w14:textId="77777777" w:rsidR="00AE6AC3" w:rsidRPr="00064D76" w:rsidRDefault="00AE6AC3">
            <w:pPr>
              <w:jc w:val="left"/>
            </w:pPr>
            <w:r w:rsidRPr="00064D76">
              <w:t>Attributable to:</w:t>
            </w:r>
          </w:p>
        </w:tc>
        <w:tc>
          <w:tcPr>
            <w:tcW w:w="1134" w:type="dxa"/>
          </w:tcPr>
          <w:p w14:paraId="20B4CBEC" w14:textId="77777777" w:rsidR="00AE6AC3" w:rsidRPr="00064D76" w:rsidRDefault="00AE6AC3"/>
        </w:tc>
        <w:tc>
          <w:tcPr>
            <w:tcW w:w="1134" w:type="dxa"/>
            <w:vAlign w:val="bottom"/>
          </w:tcPr>
          <w:p w14:paraId="52FFD887" w14:textId="77777777" w:rsidR="00AE6AC3" w:rsidRPr="00987BF0" w:rsidRDefault="00AE6AC3">
            <w:pPr>
              <w:rPr>
                <w:b/>
                <w:bCs/>
              </w:rPr>
            </w:pPr>
          </w:p>
        </w:tc>
        <w:tc>
          <w:tcPr>
            <w:tcW w:w="1134" w:type="dxa"/>
          </w:tcPr>
          <w:p w14:paraId="3C228AEF" w14:textId="77777777" w:rsidR="00AE6AC3" w:rsidRPr="00987BF0" w:rsidRDefault="00AE6AC3"/>
        </w:tc>
      </w:tr>
      <w:tr w:rsidR="00AE6AC3" w:rsidRPr="00064D76" w14:paraId="66F8E64C" w14:textId="77777777">
        <w:trPr>
          <w:trHeight w:val="227"/>
        </w:trPr>
        <w:tc>
          <w:tcPr>
            <w:tcW w:w="6236" w:type="dxa"/>
          </w:tcPr>
          <w:p w14:paraId="626F4329" w14:textId="77777777" w:rsidR="00AE6AC3" w:rsidRPr="00064D76" w:rsidRDefault="00AE6AC3">
            <w:pPr>
              <w:jc w:val="left"/>
            </w:pPr>
            <w:r w:rsidRPr="00064D76">
              <w:t>Owners of the Parent Company</w:t>
            </w:r>
          </w:p>
        </w:tc>
        <w:tc>
          <w:tcPr>
            <w:tcW w:w="1134" w:type="dxa"/>
          </w:tcPr>
          <w:p w14:paraId="617066BE" w14:textId="77777777" w:rsidR="00AE6AC3" w:rsidRPr="00064D76" w:rsidRDefault="00AE6AC3"/>
        </w:tc>
        <w:tc>
          <w:tcPr>
            <w:tcW w:w="1134" w:type="dxa"/>
            <w:vAlign w:val="center"/>
          </w:tcPr>
          <w:p w14:paraId="3022619D" w14:textId="1133A73A" w:rsidR="00AE6AC3" w:rsidRPr="00B24C29" w:rsidRDefault="00AE6AC3">
            <w:pPr>
              <w:rPr>
                <w:b/>
                <w:bCs/>
              </w:rPr>
            </w:pPr>
            <w:r w:rsidRPr="00B24C29">
              <w:rPr>
                <w:rFonts w:cs="Arial"/>
                <w:b/>
                <w:bCs/>
                <w:color w:val="000000"/>
                <w:szCs w:val="16"/>
              </w:rPr>
              <w:t>(</w:t>
            </w:r>
            <w:r>
              <w:rPr>
                <w:rFonts w:cs="Arial"/>
                <w:b/>
                <w:bCs/>
                <w:color w:val="000000"/>
                <w:szCs w:val="16"/>
              </w:rPr>
              <w:t>103,126</w:t>
            </w:r>
            <w:r w:rsidRPr="00B24C29">
              <w:rPr>
                <w:rFonts w:cs="Arial"/>
                <w:b/>
                <w:bCs/>
                <w:color w:val="000000"/>
                <w:szCs w:val="16"/>
              </w:rPr>
              <w:t>)</w:t>
            </w:r>
          </w:p>
        </w:tc>
        <w:tc>
          <w:tcPr>
            <w:tcW w:w="1134" w:type="dxa"/>
            <w:vAlign w:val="center"/>
          </w:tcPr>
          <w:p w14:paraId="32078EAA" w14:textId="77777777" w:rsidR="00AE6AC3" w:rsidRPr="00987BF0" w:rsidRDefault="00AE6AC3">
            <w:r>
              <w:rPr>
                <w:rFonts w:cs="Arial"/>
                <w:color w:val="000000"/>
                <w:szCs w:val="16"/>
              </w:rPr>
              <w:t>(84,070)</w:t>
            </w:r>
          </w:p>
        </w:tc>
      </w:tr>
      <w:tr w:rsidR="00AE6AC3" w:rsidRPr="00064D76" w14:paraId="19097DA9" w14:textId="77777777">
        <w:trPr>
          <w:trHeight w:val="227"/>
        </w:trPr>
        <w:tc>
          <w:tcPr>
            <w:tcW w:w="6236" w:type="dxa"/>
            <w:tcBorders>
              <w:bottom w:val="single" w:sz="4" w:space="0" w:color="000000" w:themeColor="text1"/>
            </w:tcBorders>
          </w:tcPr>
          <w:p w14:paraId="75A7E9F1" w14:textId="77777777" w:rsidR="00AE6AC3" w:rsidRPr="00064D76" w:rsidRDefault="00AE6AC3">
            <w:pPr>
              <w:jc w:val="left"/>
            </w:pPr>
            <w:r w:rsidRPr="00064D76">
              <w:t>Non-controlling interests</w:t>
            </w:r>
          </w:p>
        </w:tc>
        <w:tc>
          <w:tcPr>
            <w:tcW w:w="1134" w:type="dxa"/>
            <w:tcBorders>
              <w:bottom w:val="single" w:sz="4" w:space="0" w:color="000000" w:themeColor="text1"/>
            </w:tcBorders>
          </w:tcPr>
          <w:p w14:paraId="45C6B7D0" w14:textId="77777777" w:rsidR="00AE6AC3" w:rsidRPr="00064D76" w:rsidRDefault="00AE6AC3"/>
        </w:tc>
        <w:tc>
          <w:tcPr>
            <w:tcW w:w="1134" w:type="dxa"/>
            <w:tcBorders>
              <w:bottom w:val="single" w:sz="4" w:space="0" w:color="000000" w:themeColor="text1"/>
            </w:tcBorders>
            <w:vAlign w:val="center"/>
          </w:tcPr>
          <w:p w14:paraId="73868ABD" w14:textId="05A326DA" w:rsidR="00AE6AC3" w:rsidRPr="00B24C29" w:rsidRDefault="00AE6AC3">
            <w:pPr>
              <w:rPr>
                <w:b/>
                <w:bCs/>
              </w:rPr>
            </w:pPr>
            <w:r w:rsidRPr="00B24C29">
              <w:rPr>
                <w:rFonts w:cs="Arial"/>
                <w:b/>
                <w:bCs/>
                <w:color w:val="000000"/>
                <w:szCs w:val="16"/>
              </w:rPr>
              <w:t>44</w:t>
            </w:r>
            <w:r>
              <w:rPr>
                <w:rFonts w:cs="Arial"/>
                <w:b/>
                <w:bCs/>
                <w:color w:val="000000"/>
                <w:szCs w:val="16"/>
              </w:rPr>
              <w:t>5</w:t>
            </w:r>
            <w:r w:rsidRPr="00B24C29">
              <w:rPr>
                <w:rFonts w:cs="Arial"/>
                <w:b/>
                <w:bCs/>
                <w:color w:val="000000"/>
                <w:szCs w:val="16"/>
              </w:rPr>
              <w:t xml:space="preserve"> </w:t>
            </w:r>
          </w:p>
        </w:tc>
        <w:tc>
          <w:tcPr>
            <w:tcW w:w="1134" w:type="dxa"/>
            <w:tcBorders>
              <w:bottom w:val="single" w:sz="4" w:space="0" w:color="000000" w:themeColor="text1"/>
            </w:tcBorders>
            <w:vAlign w:val="center"/>
          </w:tcPr>
          <w:p w14:paraId="0B856F3F" w14:textId="77777777" w:rsidR="00AE6AC3" w:rsidRPr="00987BF0" w:rsidRDefault="00AE6AC3">
            <w:r>
              <w:rPr>
                <w:rFonts w:cs="Arial"/>
                <w:color w:val="000000"/>
                <w:szCs w:val="16"/>
              </w:rPr>
              <w:t>(86)</w:t>
            </w:r>
          </w:p>
        </w:tc>
      </w:tr>
      <w:tr w:rsidR="00AE6AC3" w:rsidRPr="00064D76" w14:paraId="7E8BB63D" w14:textId="77777777">
        <w:trPr>
          <w:trHeight w:val="227"/>
        </w:trPr>
        <w:tc>
          <w:tcPr>
            <w:tcW w:w="6236" w:type="dxa"/>
            <w:tcBorders>
              <w:top w:val="single" w:sz="4" w:space="0" w:color="000000" w:themeColor="text1"/>
              <w:bottom w:val="single" w:sz="12" w:space="0" w:color="000000" w:themeColor="text1"/>
            </w:tcBorders>
          </w:tcPr>
          <w:p w14:paraId="1C267199" w14:textId="77777777" w:rsidR="00AE6AC3" w:rsidRPr="00064D76" w:rsidRDefault="00AE6AC3">
            <w:pPr>
              <w:jc w:val="left"/>
            </w:pPr>
          </w:p>
        </w:tc>
        <w:tc>
          <w:tcPr>
            <w:tcW w:w="1134" w:type="dxa"/>
            <w:tcBorders>
              <w:top w:val="single" w:sz="4" w:space="0" w:color="000000" w:themeColor="text1"/>
              <w:bottom w:val="single" w:sz="12" w:space="0" w:color="000000" w:themeColor="text1"/>
            </w:tcBorders>
          </w:tcPr>
          <w:p w14:paraId="09E0ACB6" w14:textId="77777777" w:rsidR="00AE6AC3" w:rsidRPr="00064D76" w:rsidRDefault="00AE6AC3"/>
        </w:tc>
        <w:tc>
          <w:tcPr>
            <w:tcW w:w="1134" w:type="dxa"/>
            <w:tcBorders>
              <w:top w:val="single" w:sz="4" w:space="0" w:color="000000" w:themeColor="text1"/>
              <w:bottom w:val="single" w:sz="12" w:space="0" w:color="000000" w:themeColor="text1"/>
            </w:tcBorders>
            <w:vAlign w:val="center"/>
          </w:tcPr>
          <w:p w14:paraId="0B4E8974" w14:textId="77777777" w:rsidR="00AE6AC3" w:rsidRPr="00B24C29" w:rsidRDefault="00AE6AC3">
            <w:pPr>
              <w:rPr>
                <w:b/>
                <w:bCs/>
              </w:rPr>
            </w:pPr>
            <w:r w:rsidRPr="00B24C29">
              <w:rPr>
                <w:rFonts w:cs="Arial"/>
                <w:b/>
                <w:bCs/>
                <w:color w:val="000000"/>
                <w:szCs w:val="16"/>
              </w:rPr>
              <w:t>(</w:t>
            </w:r>
            <w:r>
              <w:rPr>
                <w:rFonts w:cs="Arial"/>
                <w:b/>
                <w:bCs/>
                <w:color w:val="000000"/>
                <w:szCs w:val="16"/>
              </w:rPr>
              <w:t>102,681</w:t>
            </w:r>
            <w:r w:rsidRPr="00B24C29">
              <w:rPr>
                <w:rFonts w:cs="Arial"/>
                <w:b/>
                <w:bCs/>
                <w:color w:val="000000"/>
                <w:szCs w:val="16"/>
              </w:rPr>
              <w:t>)</w:t>
            </w:r>
          </w:p>
        </w:tc>
        <w:tc>
          <w:tcPr>
            <w:tcW w:w="1134" w:type="dxa"/>
            <w:tcBorders>
              <w:top w:val="single" w:sz="4" w:space="0" w:color="000000" w:themeColor="text1"/>
              <w:bottom w:val="single" w:sz="12" w:space="0" w:color="000000" w:themeColor="text1"/>
            </w:tcBorders>
            <w:vAlign w:val="center"/>
          </w:tcPr>
          <w:p w14:paraId="5EFBD79E" w14:textId="77777777" w:rsidR="00AE6AC3" w:rsidRPr="00871254" w:rsidRDefault="00AE6AC3">
            <w:r w:rsidRPr="00A23643">
              <w:rPr>
                <w:rFonts w:cs="Arial"/>
                <w:color w:val="000000"/>
                <w:szCs w:val="16"/>
              </w:rPr>
              <w:t>(84,156)</w:t>
            </w:r>
          </w:p>
        </w:tc>
      </w:tr>
      <w:tr w:rsidR="00AE6AC3" w:rsidRPr="00064D76" w14:paraId="58300BB3" w14:textId="77777777">
        <w:trPr>
          <w:trHeight w:val="227"/>
        </w:trPr>
        <w:tc>
          <w:tcPr>
            <w:tcW w:w="6236" w:type="dxa"/>
            <w:tcBorders>
              <w:top w:val="single" w:sz="12" w:space="0" w:color="000000" w:themeColor="text1"/>
              <w:bottom w:val="nil"/>
            </w:tcBorders>
          </w:tcPr>
          <w:p w14:paraId="50DB4D4D" w14:textId="77777777" w:rsidR="00AE6AC3" w:rsidRPr="00064D76" w:rsidRDefault="00AE6AC3"/>
        </w:tc>
        <w:tc>
          <w:tcPr>
            <w:tcW w:w="1134" w:type="dxa"/>
            <w:tcBorders>
              <w:top w:val="single" w:sz="12" w:space="0" w:color="000000" w:themeColor="text1"/>
              <w:bottom w:val="nil"/>
            </w:tcBorders>
          </w:tcPr>
          <w:p w14:paraId="083168A7" w14:textId="77777777" w:rsidR="00AE6AC3" w:rsidRPr="00064D76" w:rsidRDefault="00AE6AC3"/>
        </w:tc>
        <w:tc>
          <w:tcPr>
            <w:tcW w:w="1134" w:type="dxa"/>
            <w:tcBorders>
              <w:top w:val="single" w:sz="12" w:space="0" w:color="000000" w:themeColor="text1"/>
              <w:bottom w:val="nil"/>
            </w:tcBorders>
            <w:vAlign w:val="bottom"/>
          </w:tcPr>
          <w:p w14:paraId="6A8894CC" w14:textId="77777777" w:rsidR="00AE6AC3" w:rsidRPr="00987BF0" w:rsidRDefault="00AE6AC3">
            <w:pPr>
              <w:rPr>
                <w:b/>
                <w:bCs/>
              </w:rPr>
            </w:pPr>
          </w:p>
        </w:tc>
        <w:tc>
          <w:tcPr>
            <w:tcW w:w="1134" w:type="dxa"/>
            <w:tcBorders>
              <w:top w:val="single" w:sz="12" w:space="0" w:color="000000" w:themeColor="text1"/>
              <w:bottom w:val="nil"/>
            </w:tcBorders>
          </w:tcPr>
          <w:p w14:paraId="14C156EA" w14:textId="77777777" w:rsidR="00AE6AC3" w:rsidRPr="00871254" w:rsidRDefault="00AE6AC3"/>
        </w:tc>
      </w:tr>
      <w:tr w:rsidR="00AE6AC3" w:rsidRPr="00064D76" w14:paraId="390B774C" w14:textId="77777777">
        <w:trPr>
          <w:trHeight w:val="227"/>
        </w:trPr>
        <w:tc>
          <w:tcPr>
            <w:tcW w:w="6236" w:type="dxa"/>
            <w:tcBorders>
              <w:top w:val="nil"/>
              <w:bottom w:val="nil"/>
            </w:tcBorders>
          </w:tcPr>
          <w:p w14:paraId="463DB0D0" w14:textId="77777777" w:rsidR="00AE6AC3" w:rsidRPr="00064D76" w:rsidRDefault="00AE6AC3">
            <w:pPr>
              <w:jc w:val="left"/>
            </w:pPr>
            <w:r w:rsidRPr="00D1315D">
              <w:t>Total comprehensive income</w:t>
            </w:r>
            <w:r>
              <w:t>/(expense)</w:t>
            </w:r>
            <w:r w:rsidRPr="00D1315D">
              <w:t xml:space="preserve"> for the </w:t>
            </w:r>
            <w:r>
              <w:t>year</w:t>
            </w:r>
            <w:r w:rsidRPr="00D1315D">
              <w:t xml:space="preserve"> attributable to owners of the Parent Company arises from:</w:t>
            </w:r>
          </w:p>
        </w:tc>
        <w:tc>
          <w:tcPr>
            <w:tcW w:w="1134" w:type="dxa"/>
            <w:tcBorders>
              <w:top w:val="nil"/>
              <w:bottom w:val="nil"/>
            </w:tcBorders>
          </w:tcPr>
          <w:p w14:paraId="47B4ECC9" w14:textId="77777777" w:rsidR="00AE6AC3" w:rsidRPr="00064D76" w:rsidRDefault="00AE6AC3"/>
        </w:tc>
        <w:tc>
          <w:tcPr>
            <w:tcW w:w="1134" w:type="dxa"/>
            <w:tcBorders>
              <w:top w:val="nil"/>
              <w:bottom w:val="nil"/>
            </w:tcBorders>
            <w:vAlign w:val="bottom"/>
          </w:tcPr>
          <w:p w14:paraId="02ECB0F7" w14:textId="77777777" w:rsidR="00AE6AC3" w:rsidRPr="00987BF0" w:rsidRDefault="00AE6AC3">
            <w:pPr>
              <w:rPr>
                <w:b/>
                <w:bCs/>
              </w:rPr>
            </w:pPr>
          </w:p>
        </w:tc>
        <w:tc>
          <w:tcPr>
            <w:tcW w:w="1134" w:type="dxa"/>
            <w:tcBorders>
              <w:top w:val="nil"/>
              <w:bottom w:val="nil"/>
            </w:tcBorders>
          </w:tcPr>
          <w:p w14:paraId="4D4DB451" w14:textId="77777777" w:rsidR="00AE6AC3" w:rsidRPr="00871254" w:rsidRDefault="00AE6AC3"/>
        </w:tc>
      </w:tr>
      <w:tr w:rsidR="00AE6AC3" w:rsidRPr="00064D76" w14:paraId="00DE0DBD" w14:textId="77777777">
        <w:trPr>
          <w:trHeight w:val="227"/>
        </w:trPr>
        <w:tc>
          <w:tcPr>
            <w:tcW w:w="6236" w:type="dxa"/>
            <w:tcBorders>
              <w:top w:val="nil"/>
              <w:bottom w:val="nil"/>
            </w:tcBorders>
          </w:tcPr>
          <w:p w14:paraId="07EC705C" w14:textId="77777777" w:rsidR="00AE6AC3" w:rsidRPr="00064D76" w:rsidRDefault="00AE6AC3">
            <w:pPr>
              <w:jc w:val="left"/>
            </w:pPr>
            <w:r w:rsidRPr="00D1315D">
              <w:t>Continuing operations</w:t>
            </w:r>
          </w:p>
        </w:tc>
        <w:tc>
          <w:tcPr>
            <w:tcW w:w="1134" w:type="dxa"/>
            <w:tcBorders>
              <w:top w:val="nil"/>
              <w:bottom w:val="nil"/>
            </w:tcBorders>
          </w:tcPr>
          <w:p w14:paraId="149F336B" w14:textId="77777777" w:rsidR="00AE6AC3" w:rsidRPr="00064D76" w:rsidRDefault="00AE6AC3"/>
        </w:tc>
        <w:tc>
          <w:tcPr>
            <w:tcW w:w="1134" w:type="dxa"/>
            <w:tcBorders>
              <w:top w:val="nil"/>
              <w:bottom w:val="nil"/>
            </w:tcBorders>
            <w:vAlign w:val="bottom"/>
          </w:tcPr>
          <w:p w14:paraId="3A8459FA" w14:textId="77777777" w:rsidR="00AE6AC3" w:rsidRPr="00987BF0" w:rsidRDefault="00AE6AC3">
            <w:pPr>
              <w:rPr>
                <w:b/>
                <w:bCs/>
              </w:rPr>
            </w:pPr>
            <w:r>
              <w:rPr>
                <w:b/>
                <w:bCs/>
              </w:rPr>
              <w:t>14,986</w:t>
            </w:r>
          </w:p>
        </w:tc>
        <w:tc>
          <w:tcPr>
            <w:tcW w:w="1134" w:type="dxa"/>
            <w:tcBorders>
              <w:top w:val="nil"/>
              <w:bottom w:val="nil"/>
            </w:tcBorders>
          </w:tcPr>
          <w:p w14:paraId="027C97F4" w14:textId="77777777" w:rsidR="00AE6AC3" w:rsidRPr="00987BF0" w:rsidRDefault="00AE6AC3">
            <w:r>
              <w:t>(1,530)</w:t>
            </w:r>
          </w:p>
        </w:tc>
      </w:tr>
      <w:tr w:rsidR="00AE6AC3" w:rsidRPr="00064D76" w14:paraId="011D15AC" w14:textId="77777777">
        <w:trPr>
          <w:trHeight w:val="227"/>
        </w:trPr>
        <w:tc>
          <w:tcPr>
            <w:tcW w:w="6236" w:type="dxa"/>
            <w:tcBorders>
              <w:top w:val="nil"/>
              <w:bottom w:val="single" w:sz="4" w:space="0" w:color="000000" w:themeColor="text1"/>
            </w:tcBorders>
          </w:tcPr>
          <w:p w14:paraId="61C1B193" w14:textId="77777777" w:rsidR="00AE6AC3" w:rsidRPr="00064D76" w:rsidRDefault="00AE6AC3">
            <w:pPr>
              <w:jc w:val="left"/>
            </w:pPr>
            <w:r w:rsidRPr="00D1315D">
              <w:t>Discontinued operations</w:t>
            </w:r>
          </w:p>
        </w:tc>
        <w:tc>
          <w:tcPr>
            <w:tcW w:w="1134" w:type="dxa"/>
            <w:tcBorders>
              <w:top w:val="nil"/>
              <w:bottom w:val="single" w:sz="4" w:space="0" w:color="000000" w:themeColor="text1"/>
            </w:tcBorders>
          </w:tcPr>
          <w:p w14:paraId="5EC641CA" w14:textId="77777777" w:rsidR="00AE6AC3" w:rsidRPr="00064D76" w:rsidRDefault="00AE6AC3"/>
        </w:tc>
        <w:tc>
          <w:tcPr>
            <w:tcW w:w="1134" w:type="dxa"/>
            <w:tcBorders>
              <w:top w:val="nil"/>
              <w:bottom w:val="single" w:sz="4" w:space="0" w:color="000000" w:themeColor="text1"/>
            </w:tcBorders>
            <w:vAlign w:val="bottom"/>
          </w:tcPr>
          <w:p w14:paraId="76D6D6F8" w14:textId="5F16374F" w:rsidR="00AE6AC3" w:rsidRPr="00987BF0" w:rsidRDefault="00AE6AC3">
            <w:pPr>
              <w:rPr>
                <w:b/>
                <w:bCs/>
              </w:rPr>
            </w:pPr>
            <w:r>
              <w:rPr>
                <w:b/>
                <w:bCs/>
              </w:rPr>
              <w:t>(118</w:t>
            </w:r>
            <w:r w:rsidDel="002E110E">
              <w:rPr>
                <w:b/>
                <w:bCs/>
              </w:rPr>
              <w:t>,11</w:t>
            </w:r>
            <w:r>
              <w:rPr>
                <w:b/>
                <w:bCs/>
              </w:rPr>
              <w:t>2)</w:t>
            </w:r>
          </w:p>
        </w:tc>
        <w:tc>
          <w:tcPr>
            <w:tcW w:w="1134" w:type="dxa"/>
            <w:tcBorders>
              <w:top w:val="nil"/>
              <w:bottom w:val="single" w:sz="4" w:space="0" w:color="000000" w:themeColor="text1"/>
            </w:tcBorders>
          </w:tcPr>
          <w:p w14:paraId="2B01DA36" w14:textId="77777777" w:rsidR="00AE6AC3" w:rsidRPr="00871254" w:rsidRDefault="00AE6AC3">
            <w:r w:rsidRPr="00871254">
              <w:t>(82,540)</w:t>
            </w:r>
          </w:p>
        </w:tc>
      </w:tr>
      <w:tr w:rsidR="00AE6AC3" w:rsidRPr="00064D76" w14:paraId="787AE6CE" w14:textId="77777777">
        <w:trPr>
          <w:trHeight w:val="227"/>
        </w:trPr>
        <w:tc>
          <w:tcPr>
            <w:tcW w:w="6236" w:type="dxa"/>
            <w:tcBorders>
              <w:top w:val="single" w:sz="4" w:space="0" w:color="000000" w:themeColor="text1"/>
              <w:bottom w:val="single" w:sz="12" w:space="0" w:color="000000" w:themeColor="text1"/>
            </w:tcBorders>
          </w:tcPr>
          <w:p w14:paraId="53D528F9" w14:textId="77777777" w:rsidR="00AE6AC3" w:rsidRPr="00D1315D" w:rsidRDefault="00AE6AC3"/>
        </w:tc>
        <w:tc>
          <w:tcPr>
            <w:tcW w:w="1134" w:type="dxa"/>
            <w:tcBorders>
              <w:top w:val="single" w:sz="4" w:space="0" w:color="000000" w:themeColor="text1"/>
              <w:bottom w:val="single" w:sz="12" w:space="0" w:color="000000" w:themeColor="text1"/>
            </w:tcBorders>
          </w:tcPr>
          <w:p w14:paraId="3391A8DB" w14:textId="77777777" w:rsidR="00AE6AC3" w:rsidRPr="00064D76" w:rsidRDefault="00AE6AC3"/>
        </w:tc>
        <w:tc>
          <w:tcPr>
            <w:tcW w:w="1134" w:type="dxa"/>
            <w:tcBorders>
              <w:top w:val="single" w:sz="4" w:space="0" w:color="000000" w:themeColor="text1"/>
              <w:bottom w:val="single" w:sz="12" w:space="0" w:color="000000" w:themeColor="text1"/>
            </w:tcBorders>
            <w:vAlign w:val="center"/>
          </w:tcPr>
          <w:p w14:paraId="7607BB0A" w14:textId="7254C1CA" w:rsidR="00AE6AC3" w:rsidRPr="00987BF0" w:rsidRDefault="00AE6AC3">
            <w:pPr>
              <w:rPr>
                <w:b/>
                <w:bCs/>
              </w:rPr>
            </w:pPr>
            <w:r>
              <w:rPr>
                <w:rFonts w:cs="Arial"/>
                <w:b/>
                <w:bCs/>
                <w:color w:val="000000"/>
                <w:szCs w:val="16"/>
              </w:rPr>
              <w:t>(103,126)</w:t>
            </w:r>
          </w:p>
        </w:tc>
        <w:tc>
          <w:tcPr>
            <w:tcW w:w="1134" w:type="dxa"/>
            <w:tcBorders>
              <w:top w:val="single" w:sz="4" w:space="0" w:color="000000" w:themeColor="text1"/>
              <w:bottom w:val="single" w:sz="12" w:space="0" w:color="000000" w:themeColor="text1"/>
            </w:tcBorders>
            <w:vAlign w:val="center"/>
          </w:tcPr>
          <w:p w14:paraId="219F548A" w14:textId="77777777" w:rsidR="00AE6AC3" w:rsidRPr="00871254" w:rsidRDefault="00AE6AC3">
            <w:r w:rsidRPr="00A23643">
              <w:rPr>
                <w:rFonts w:cs="Arial"/>
                <w:color w:val="000000"/>
                <w:szCs w:val="16"/>
              </w:rPr>
              <w:t>(84,070)</w:t>
            </w:r>
          </w:p>
        </w:tc>
      </w:tr>
      <w:bookmarkEnd w:id="25"/>
    </w:tbl>
    <w:p w14:paraId="1DF56147" w14:textId="77777777" w:rsidR="00271E37" w:rsidRDefault="00271E37" w:rsidP="002E39D4"/>
    <w:p w14:paraId="674D79A3" w14:textId="77777777" w:rsidR="00271E37" w:rsidRDefault="00271E37">
      <w:r>
        <w:br w:type="page"/>
      </w:r>
    </w:p>
    <w:p w14:paraId="224058D4" w14:textId="77777777" w:rsidR="00271E37" w:rsidRPr="00064D76" w:rsidRDefault="00271E37">
      <w:pPr>
        <w:pStyle w:val="Heading1"/>
      </w:pPr>
      <w:r w:rsidRPr="00064D76">
        <w:lastRenderedPageBreak/>
        <w:t>Consolidated statement of changes in equity</w:t>
      </w:r>
    </w:p>
    <w:p w14:paraId="199C8519" w14:textId="6611F2B7" w:rsidR="00271E37" w:rsidRPr="008D5F85" w:rsidRDefault="00271E37" w:rsidP="00064D76">
      <w:pPr>
        <w:rPr>
          <w:b/>
          <w:bCs/>
        </w:rPr>
      </w:pPr>
      <w:r w:rsidRPr="00064D76">
        <w:rPr>
          <w:b/>
          <w:bCs/>
        </w:rPr>
        <w:t xml:space="preserve">Year ended 31 </w:t>
      </w:r>
      <w:r w:rsidRPr="008D5F85">
        <w:rPr>
          <w:b/>
          <w:bCs/>
        </w:rPr>
        <w:t>March</w:t>
      </w:r>
      <w:r w:rsidR="00793496" w:rsidRPr="008D5F85">
        <w:rPr>
          <w:b/>
          <w:bCs/>
        </w:rPr>
        <w:t xml:space="preserve"> 2026</w:t>
      </w:r>
    </w:p>
    <w:p w14:paraId="24AADFE2" w14:textId="77777777" w:rsidR="00271E37" w:rsidRPr="008D5F85" w:rsidRDefault="00271E37" w:rsidP="00064D76"/>
    <w:tbl>
      <w:tblPr>
        <w:tblStyle w:val="tableDUL"/>
        <w:tblW w:w="9924" w:type="dxa"/>
        <w:tblLayout w:type="fixed"/>
        <w:tblLook w:val="04A0" w:firstRow="1" w:lastRow="0" w:firstColumn="1" w:lastColumn="0" w:noHBand="0" w:noVBand="1"/>
      </w:tblPr>
      <w:tblGrid>
        <w:gridCol w:w="1958"/>
        <w:gridCol w:w="840"/>
        <w:gridCol w:w="840"/>
        <w:gridCol w:w="839"/>
        <w:gridCol w:w="839"/>
        <w:gridCol w:w="839"/>
        <w:gridCol w:w="1075"/>
        <w:gridCol w:w="1016"/>
        <w:gridCol w:w="839"/>
        <w:gridCol w:w="839"/>
      </w:tblGrid>
      <w:tr w:rsidR="00271E37" w:rsidRPr="008D5F85" w14:paraId="49530B98" w14:textId="77777777">
        <w:tc>
          <w:tcPr>
            <w:tcW w:w="1958" w:type="dxa"/>
          </w:tcPr>
          <w:p w14:paraId="4A5BA5BC" w14:textId="77777777" w:rsidR="00271E37" w:rsidRPr="008D5F85" w:rsidRDefault="00271E37" w:rsidP="00064D76">
            <w:pPr>
              <w:jc w:val="left"/>
            </w:pPr>
          </w:p>
        </w:tc>
        <w:tc>
          <w:tcPr>
            <w:tcW w:w="5272" w:type="dxa"/>
            <w:gridSpan w:val="6"/>
            <w:tcBorders>
              <w:bottom w:val="single" w:sz="4" w:space="0" w:color="auto"/>
            </w:tcBorders>
          </w:tcPr>
          <w:p w14:paraId="38F205D3" w14:textId="77777777" w:rsidR="00271E37" w:rsidRPr="008D5F85" w:rsidRDefault="00271E37" w:rsidP="00064D76">
            <w:pPr>
              <w:jc w:val="center"/>
            </w:pPr>
            <w:r w:rsidRPr="008D5F85">
              <w:t>Attributable to the owners of the Parent Company</w:t>
            </w:r>
          </w:p>
        </w:tc>
        <w:tc>
          <w:tcPr>
            <w:tcW w:w="1016" w:type="dxa"/>
            <w:tcBorders>
              <w:bottom w:val="single" w:sz="4" w:space="0" w:color="auto"/>
            </w:tcBorders>
          </w:tcPr>
          <w:p w14:paraId="37D6320A" w14:textId="77777777" w:rsidR="00271E37" w:rsidRPr="008D5F85" w:rsidRDefault="00271E37" w:rsidP="000923EA"/>
        </w:tc>
        <w:tc>
          <w:tcPr>
            <w:tcW w:w="839" w:type="dxa"/>
          </w:tcPr>
          <w:p w14:paraId="2F4A80ED" w14:textId="77777777" w:rsidR="00271E37" w:rsidRPr="008D5F85" w:rsidRDefault="00271E37" w:rsidP="000923EA"/>
        </w:tc>
        <w:tc>
          <w:tcPr>
            <w:tcW w:w="839" w:type="dxa"/>
          </w:tcPr>
          <w:p w14:paraId="5840CF06" w14:textId="77777777" w:rsidR="00271E37" w:rsidRPr="008D5F85" w:rsidRDefault="00271E37" w:rsidP="000923EA"/>
        </w:tc>
      </w:tr>
      <w:tr w:rsidR="00271E37" w:rsidRPr="008D5F85" w14:paraId="5C4A33B1" w14:textId="77777777">
        <w:tc>
          <w:tcPr>
            <w:tcW w:w="1958" w:type="dxa"/>
            <w:tcBorders>
              <w:bottom w:val="nil"/>
            </w:tcBorders>
          </w:tcPr>
          <w:p w14:paraId="11F0AE13" w14:textId="77777777" w:rsidR="00271E37" w:rsidRPr="008D5F85" w:rsidRDefault="00271E37" w:rsidP="00064D76">
            <w:pPr>
              <w:jc w:val="left"/>
            </w:pPr>
          </w:p>
        </w:tc>
        <w:tc>
          <w:tcPr>
            <w:tcW w:w="840" w:type="dxa"/>
            <w:tcBorders>
              <w:top w:val="single" w:sz="4" w:space="0" w:color="000000"/>
              <w:bottom w:val="nil"/>
            </w:tcBorders>
            <w:vAlign w:val="bottom"/>
          </w:tcPr>
          <w:p w14:paraId="5952B8F0" w14:textId="77777777" w:rsidR="00271E37" w:rsidRPr="008D5F85" w:rsidRDefault="00271E37" w:rsidP="00064D76">
            <w:r w:rsidRPr="008D5F85">
              <w:t xml:space="preserve">Share </w:t>
            </w:r>
          </w:p>
          <w:p w14:paraId="558DA534" w14:textId="77777777" w:rsidR="00271E37" w:rsidRPr="008D5F85" w:rsidRDefault="00271E37">
            <w:r w:rsidRPr="008D5F85">
              <w:t xml:space="preserve">capital </w:t>
            </w:r>
          </w:p>
        </w:tc>
        <w:tc>
          <w:tcPr>
            <w:tcW w:w="840" w:type="dxa"/>
            <w:tcBorders>
              <w:top w:val="single" w:sz="4" w:space="0" w:color="000000"/>
              <w:bottom w:val="nil"/>
            </w:tcBorders>
            <w:vAlign w:val="bottom"/>
          </w:tcPr>
          <w:p w14:paraId="3607A9D0" w14:textId="77777777" w:rsidR="00271E37" w:rsidRPr="008D5F85" w:rsidRDefault="00271E37" w:rsidP="00064D76">
            <w:r w:rsidRPr="008D5F85">
              <w:t>Share premium and capital redemption reserve</w:t>
            </w:r>
          </w:p>
        </w:tc>
        <w:tc>
          <w:tcPr>
            <w:tcW w:w="839" w:type="dxa"/>
            <w:tcBorders>
              <w:top w:val="single" w:sz="4" w:space="0" w:color="000000"/>
              <w:bottom w:val="nil"/>
            </w:tcBorders>
            <w:vAlign w:val="bottom"/>
          </w:tcPr>
          <w:p w14:paraId="5F0A55F2" w14:textId="77777777" w:rsidR="00271E37" w:rsidRPr="008D5F85" w:rsidRDefault="00271E37" w:rsidP="00064D76">
            <w:r w:rsidRPr="008D5F85">
              <w:t>Merger reserve</w:t>
            </w:r>
          </w:p>
        </w:tc>
        <w:tc>
          <w:tcPr>
            <w:tcW w:w="839" w:type="dxa"/>
            <w:tcBorders>
              <w:top w:val="single" w:sz="4" w:space="0" w:color="000000"/>
              <w:bottom w:val="nil"/>
            </w:tcBorders>
            <w:vAlign w:val="bottom"/>
          </w:tcPr>
          <w:p w14:paraId="2A900666" w14:textId="77777777" w:rsidR="00271E37" w:rsidRPr="008D5F85" w:rsidRDefault="00271E37" w:rsidP="00064D76">
            <w:r w:rsidRPr="008D5F85">
              <w:t>Hedging reserve</w:t>
            </w:r>
          </w:p>
        </w:tc>
        <w:tc>
          <w:tcPr>
            <w:tcW w:w="839" w:type="dxa"/>
            <w:tcBorders>
              <w:top w:val="single" w:sz="4" w:space="0" w:color="000000"/>
              <w:bottom w:val="nil"/>
            </w:tcBorders>
            <w:vAlign w:val="bottom"/>
          </w:tcPr>
          <w:p w14:paraId="72523697" w14:textId="77777777" w:rsidR="00271E37" w:rsidRPr="008D5F85" w:rsidRDefault="00271E37" w:rsidP="00064D76">
            <w:r w:rsidRPr="008D5F85">
              <w:t>Translation reserve</w:t>
            </w:r>
          </w:p>
        </w:tc>
        <w:tc>
          <w:tcPr>
            <w:tcW w:w="1075" w:type="dxa"/>
            <w:tcBorders>
              <w:top w:val="single" w:sz="4" w:space="0" w:color="000000"/>
              <w:bottom w:val="nil"/>
            </w:tcBorders>
            <w:vAlign w:val="bottom"/>
          </w:tcPr>
          <w:p w14:paraId="57054041" w14:textId="77777777" w:rsidR="00271E37" w:rsidRPr="008D5F85" w:rsidRDefault="00271E37" w:rsidP="00064D76">
            <w:r w:rsidRPr="008D5F85">
              <w:t>Retained earnings/</w:t>
            </w:r>
          </w:p>
          <w:p w14:paraId="7F7EF220" w14:textId="77777777" w:rsidR="00271E37" w:rsidRPr="008D5F85" w:rsidRDefault="00271E37">
            <w:r w:rsidRPr="008D5F85">
              <w:t xml:space="preserve">(Accumulated losses) </w:t>
            </w:r>
          </w:p>
        </w:tc>
        <w:tc>
          <w:tcPr>
            <w:tcW w:w="1016" w:type="dxa"/>
            <w:tcBorders>
              <w:bottom w:val="nil"/>
            </w:tcBorders>
            <w:vAlign w:val="bottom"/>
          </w:tcPr>
          <w:p w14:paraId="441BA0C6" w14:textId="77777777" w:rsidR="00271E37" w:rsidRPr="008D5F85" w:rsidRDefault="00271E37">
            <w:r w:rsidRPr="008D5F85">
              <w:t xml:space="preserve">Shareholders’ equity </w:t>
            </w:r>
          </w:p>
        </w:tc>
        <w:tc>
          <w:tcPr>
            <w:tcW w:w="839" w:type="dxa"/>
            <w:tcBorders>
              <w:bottom w:val="nil"/>
            </w:tcBorders>
            <w:vAlign w:val="bottom"/>
          </w:tcPr>
          <w:p w14:paraId="72F39C2D" w14:textId="77777777" w:rsidR="00271E37" w:rsidRPr="008D5F85" w:rsidRDefault="00271E37" w:rsidP="00064D76">
            <w:r w:rsidRPr="008D5F85">
              <w:t xml:space="preserve">Non-controlling interests </w:t>
            </w:r>
          </w:p>
        </w:tc>
        <w:tc>
          <w:tcPr>
            <w:tcW w:w="839" w:type="dxa"/>
            <w:tcBorders>
              <w:bottom w:val="nil"/>
            </w:tcBorders>
            <w:vAlign w:val="bottom"/>
          </w:tcPr>
          <w:p w14:paraId="06BB58CC" w14:textId="77777777" w:rsidR="00271E37" w:rsidRPr="008D5F85" w:rsidRDefault="00271E37">
            <w:r w:rsidRPr="008D5F85">
              <w:t>Total</w:t>
            </w:r>
          </w:p>
        </w:tc>
      </w:tr>
      <w:tr w:rsidR="00271E37" w:rsidRPr="008D5F85" w14:paraId="5CF89EFC" w14:textId="77777777">
        <w:tc>
          <w:tcPr>
            <w:tcW w:w="1958" w:type="dxa"/>
            <w:tcBorders>
              <w:top w:val="nil"/>
              <w:bottom w:val="single" w:sz="4" w:space="0" w:color="000000"/>
            </w:tcBorders>
          </w:tcPr>
          <w:p w14:paraId="25AE063D" w14:textId="77777777" w:rsidR="00271E37" w:rsidRPr="008D5F85" w:rsidRDefault="00271E37" w:rsidP="00064D76"/>
        </w:tc>
        <w:tc>
          <w:tcPr>
            <w:tcW w:w="840" w:type="dxa"/>
            <w:tcBorders>
              <w:top w:val="nil"/>
              <w:bottom w:val="single" w:sz="4" w:space="0" w:color="000000"/>
            </w:tcBorders>
            <w:vAlign w:val="bottom"/>
          </w:tcPr>
          <w:p w14:paraId="20320C15" w14:textId="77777777" w:rsidR="00271E37" w:rsidRPr="008D5F85" w:rsidRDefault="00271E37" w:rsidP="00064D76">
            <w:r w:rsidRPr="008D5F85">
              <w:t>£000</w:t>
            </w:r>
          </w:p>
        </w:tc>
        <w:tc>
          <w:tcPr>
            <w:tcW w:w="840" w:type="dxa"/>
            <w:tcBorders>
              <w:top w:val="nil"/>
              <w:bottom w:val="single" w:sz="4" w:space="0" w:color="000000"/>
            </w:tcBorders>
            <w:vAlign w:val="bottom"/>
          </w:tcPr>
          <w:p w14:paraId="3B0644C4" w14:textId="77777777" w:rsidR="00271E37" w:rsidRPr="008D5F85" w:rsidRDefault="00271E37" w:rsidP="00064D76">
            <w:r w:rsidRPr="008D5F85">
              <w:t>£000</w:t>
            </w:r>
          </w:p>
        </w:tc>
        <w:tc>
          <w:tcPr>
            <w:tcW w:w="839" w:type="dxa"/>
            <w:tcBorders>
              <w:top w:val="nil"/>
              <w:bottom w:val="single" w:sz="4" w:space="0" w:color="000000"/>
            </w:tcBorders>
            <w:vAlign w:val="bottom"/>
          </w:tcPr>
          <w:p w14:paraId="7A88E373" w14:textId="77777777" w:rsidR="00271E37" w:rsidRPr="008D5F85" w:rsidRDefault="00271E37" w:rsidP="00064D76">
            <w:r w:rsidRPr="008D5F85">
              <w:t>£000</w:t>
            </w:r>
          </w:p>
        </w:tc>
        <w:tc>
          <w:tcPr>
            <w:tcW w:w="839" w:type="dxa"/>
            <w:tcBorders>
              <w:top w:val="nil"/>
              <w:bottom w:val="single" w:sz="4" w:space="0" w:color="000000"/>
            </w:tcBorders>
            <w:vAlign w:val="bottom"/>
          </w:tcPr>
          <w:p w14:paraId="708AA138" w14:textId="77777777" w:rsidR="00271E37" w:rsidRPr="008D5F85" w:rsidRDefault="00271E37" w:rsidP="00064D76">
            <w:r w:rsidRPr="008D5F85">
              <w:t>£000</w:t>
            </w:r>
          </w:p>
        </w:tc>
        <w:tc>
          <w:tcPr>
            <w:tcW w:w="839" w:type="dxa"/>
            <w:tcBorders>
              <w:top w:val="nil"/>
              <w:bottom w:val="single" w:sz="4" w:space="0" w:color="000000"/>
            </w:tcBorders>
            <w:vAlign w:val="bottom"/>
          </w:tcPr>
          <w:p w14:paraId="1157D7A9" w14:textId="77777777" w:rsidR="00271E37" w:rsidRPr="008D5F85" w:rsidRDefault="00271E37" w:rsidP="00064D76">
            <w:r w:rsidRPr="008D5F85">
              <w:t>£000</w:t>
            </w:r>
          </w:p>
        </w:tc>
        <w:tc>
          <w:tcPr>
            <w:tcW w:w="1075" w:type="dxa"/>
            <w:tcBorders>
              <w:top w:val="nil"/>
              <w:bottom w:val="single" w:sz="4" w:space="0" w:color="000000"/>
            </w:tcBorders>
            <w:vAlign w:val="bottom"/>
          </w:tcPr>
          <w:p w14:paraId="71F91AAD" w14:textId="77777777" w:rsidR="00271E37" w:rsidRPr="008D5F85" w:rsidRDefault="00271E37" w:rsidP="00064D76">
            <w:r w:rsidRPr="008D5F85">
              <w:t>£000</w:t>
            </w:r>
          </w:p>
        </w:tc>
        <w:tc>
          <w:tcPr>
            <w:tcW w:w="1016" w:type="dxa"/>
            <w:tcBorders>
              <w:top w:val="nil"/>
              <w:bottom w:val="single" w:sz="4" w:space="0" w:color="000000"/>
            </w:tcBorders>
            <w:vAlign w:val="bottom"/>
          </w:tcPr>
          <w:p w14:paraId="7C814618" w14:textId="77777777" w:rsidR="00271E37" w:rsidRPr="008D5F85" w:rsidRDefault="00271E37" w:rsidP="00064D76">
            <w:r w:rsidRPr="008D5F85">
              <w:t>£000</w:t>
            </w:r>
          </w:p>
        </w:tc>
        <w:tc>
          <w:tcPr>
            <w:tcW w:w="839" w:type="dxa"/>
            <w:tcBorders>
              <w:top w:val="nil"/>
              <w:bottom w:val="single" w:sz="4" w:space="0" w:color="000000"/>
            </w:tcBorders>
            <w:vAlign w:val="bottom"/>
          </w:tcPr>
          <w:p w14:paraId="066B129D" w14:textId="77777777" w:rsidR="00271E37" w:rsidRPr="008D5F85" w:rsidRDefault="00271E37" w:rsidP="00064D76">
            <w:r w:rsidRPr="008D5F85">
              <w:t>£000</w:t>
            </w:r>
          </w:p>
        </w:tc>
        <w:tc>
          <w:tcPr>
            <w:tcW w:w="839" w:type="dxa"/>
            <w:tcBorders>
              <w:top w:val="nil"/>
              <w:bottom w:val="single" w:sz="4" w:space="0" w:color="000000"/>
            </w:tcBorders>
            <w:vAlign w:val="bottom"/>
          </w:tcPr>
          <w:p w14:paraId="54B5C94E" w14:textId="77777777" w:rsidR="00271E37" w:rsidRPr="008D5F85" w:rsidRDefault="00271E37" w:rsidP="00064D76">
            <w:r w:rsidRPr="008D5F85">
              <w:t>£000</w:t>
            </w:r>
          </w:p>
        </w:tc>
      </w:tr>
      <w:tr w:rsidR="00271E37" w:rsidRPr="00064D76" w14:paraId="2A133E77" w14:textId="77777777">
        <w:tc>
          <w:tcPr>
            <w:tcW w:w="1958" w:type="dxa"/>
            <w:tcBorders>
              <w:top w:val="single" w:sz="4" w:space="0" w:color="000000"/>
              <w:bottom w:val="single" w:sz="4" w:space="0" w:color="000000"/>
            </w:tcBorders>
          </w:tcPr>
          <w:p w14:paraId="48F807BB" w14:textId="3355B7E8" w:rsidR="00271E37" w:rsidRPr="008D5F85" w:rsidRDefault="00271E37">
            <w:pPr>
              <w:jc w:val="left"/>
              <w:rPr>
                <w:b/>
                <w:bCs/>
              </w:rPr>
            </w:pPr>
            <w:r w:rsidRPr="008D5F85">
              <w:rPr>
                <w:b/>
                <w:bCs/>
              </w:rPr>
              <w:t>At 1 April 2025</w:t>
            </w:r>
          </w:p>
        </w:tc>
        <w:tc>
          <w:tcPr>
            <w:tcW w:w="840" w:type="dxa"/>
            <w:tcBorders>
              <w:top w:val="single" w:sz="4" w:space="0" w:color="000000"/>
              <w:bottom w:val="single" w:sz="4" w:space="0" w:color="000000"/>
            </w:tcBorders>
            <w:vAlign w:val="center"/>
          </w:tcPr>
          <w:p w14:paraId="6E4D7722" w14:textId="77777777" w:rsidR="00271E37" w:rsidRPr="008D5F85" w:rsidRDefault="00271E37">
            <w:pPr>
              <w:rPr>
                <w:b/>
                <w:bCs/>
                <w:szCs w:val="16"/>
              </w:rPr>
            </w:pPr>
            <w:r w:rsidRPr="008D5F85">
              <w:rPr>
                <w:rFonts w:cs="Arial"/>
                <w:b/>
                <w:bCs/>
                <w:color w:val="000000"/>
                <w:szCs w:val="16"/>
              </w:rPr>
              <w:t xml:space="preserve">4,915 </w:t>
            </w:r>
          </w:p>
        </w:tc>
        <w:tc>
          <w:tcPr>
            <w:tcW w:w="840" w:type="dxa"/>
            <w:tcBorders>
              <w:top w:val="single" w:sz="4" w:space="0" w:color="000000"/>
              <w:bottom w:val="single" w:sz="4" w:space="0" w:color="000000"/>
            </w:tcBorders>
            <w:vAlign w:val="center"/>
          </w:tcPr>
          <w:p w14:paraId="2CE04A44" w14:textId="77777777" w:rsidR="00271E37" w:rsidRPr="008D5F85" w:rsidRDefault="00271E37">
            <w:pPr>
              <w:rPr>
                <w:b/>
                <w:bCs/>
                <w:szCs w:val="16"/>
              </w:rPr>
            </w:pPr>
            <w:r w:rsidRPr="008D5F85">
              <w:rPr>
                <w:rFonts w:cs="Arial"/>
                <w:b/>
                <w:bCs/>
                <w:color w:val="000000"/>
                <w:szCs w:val="16"/>
              </w:rPr>
              <w:t xml:space="preserve">173,723 </w:t>
            </w:r>
          </w:p>
        </w:tc>
        <w:tc>
          <w:tcPr>
            <w:tcW w:w="839" w:type="dxa"/>
            <w:tcBorders>
              <w:top w:val="single" w:sz="4" w:space="0" w:color="000000"/>
              <w:bottom w:val="single" w:sz="4" w:space="0" w:color="000000"/>
            </w:tcBorders>
            <w:vAlign w:val="center"/>
          </w:tcPr>
          <w:p w14:paraId="338DD05F" w14:textId="77777777" w:rsidR="00271E37" w:rsidRPr="008D5F85" w:rsidRDefault="00271E37">
            <w:pPr>
              <w:rPr>
                <w:b/>
                <w:bCs/>
                <w:szCs w:val="16"/>
              </w:rPr>
            </w:pPr>
            <w:r w:rsidRPr="008D5F85">
              <w:rPr>
                <w:rFonts w:cs="Arial"/>
                <w:b/>
                <w:bCs/>
                <w:color w:val="000000"/>
                <w:szCs w:val="16"/>
              </w:rPr>
              <w:t xml:space="preserve">32,399 </w:t>
            </w:r>
          </w:p>
        </w:tc>
        <w:tc>
          <w:tcPr>
            <w:tcW w:w="839" w:type="dxa"/>
            <w:tcBorders>
              <w:top w:val="single" w:sz="4" w:space="0" w:color="000000"/>
              <w:bottom w:val="single" w:sz="4" w:space="0" w:color="000000"/>
            </w:tcBorders>
            <w:vAlign w:val="center"/>
          </w:tcPr>
          <w:p w14:paraId="627F92CB" w14:textId="77777777" w:rsidR="00271E37" w:rsidRPr="008D5F85" w:rsidRDefault="00271E37">
            <w:pPr>
              <w:rPr>
                <w:b/>
                <w:bCs/>
                <w:szCs w:val="16"/>
              </w:rPr>
            </w:pPr>
            <w:r w:rsidRPr="008D5F85">
              <w:rPr>
                <w:rFonts w:cs="Arial"/>
                <w:b/>
                <w:bCs/>
                <w:color w:val="000000"/>
                <w:szCs w:val="16"/>
              </w:rPr>
              <w:t>(412)</w:t>
            </w:r>
          </w:p>
        </w:tc>
        <w:tc>
          <w:tcPr>
            <w:tcW w:w="839" w:type="dxa"/>
            <w:tcBorders>
              <w:top w:val="single" w:sz="4" w:space="0" w:color="000000"/>
              <w:bottom w:val="single" w:sz="4" w:space="0" w:color="000000"/>
            </w:tcBorders>
            <w:vAlign w:val="center"/>
          </w:tcPr>
          <w:p w14:paraId="532F5E1F" w14:textId="77777777" w:rsidR="00271E37" w:rsidRPr="008D5F85" w:rsidRDefault="00271E37">
            <w:pPr>
              <w:rPr>
                <w:b/>
                <w:bCs/>
                <w:szCs w:val="16"/>
              </w:rPr>
            </w:pPr>
            <w:r w:rsidRPr="008D5F85">
              <w:rPr>
                <w:rFonts w:cs="Arial"/>
                <w:b/>
                <w:bCs/>
                <w:color w:val="000000"/>
                <w:szCs w:val="16"/>
              </w:rPr>
              <w:t>(2,088)</w:t>
            </w:r>
          </w:p>
        </w:tc>
        <w:tc>
          <w:tcPr>
            <w:tcW w:w="1075" w:type="dxa"/>
            <w:tcBorders>
              <w:top w:val="single" w:sz="4" w:space="0" w:color="000000"/>
              <w:bottom w:val="single" w:sz="4" w:space="0" w:color="000000"/>
            </w:tcBorders>
            <w:vAlign w:val="center"/>
          </w:tcPr>
          <w:p w14:paraId="5B3AA613" w14:textId="77777777" w:rsidR="00271E37" w:rsidRPr="008D5F85" w:rsidRDefault="00271E37">
            <w:pPr>
              <w:rPr>
                <w:b/>
                <w:bCs/>
                <w:szCs w:val="16"/>
              </w:rPr>
            </w:pPr>
            <w:r w:rsidRPr="008D5F85">
              <w:rPr>
                <w:rFonts w:cs="Arial"/>
                <w:b/>
                <w:bCs/>
                <w:color w:val="000000"/>
                <w:szCs w:val="16"/>
              </w:rPr>
              <w:t>(5,293)</w:t>
            </w:r>
          </w:p>
        </w:tc>
        <w:tc>
          <w:tcPr>
            <w:tcW w:w="1016" w:type="dxa"/>
            <w:tcBorders>
              <w:top w:val="single" w:sz="4" w:space="0" w:color="000000"/>
              <w:bottom w:val="single" w:sz="4" w:space="0" w:color="000000"/>
            </w:tcBorders>
            <w:vAlign w:val="center"/>
          </w:tcPr>
          <w:p w14:paraId="7402066F" w14:textId="77777777" w:rsidR="00271E37" w:rsidRPr="008D5F85" w:rsidRDefault="00271E37">
            <w:pPr>
              <w:rPr>
                <w:b/>
                <w:bCs/>
                <w:szCs w:val="16"/>
              </w:rPr>
            </w:pPr>
            <w:r w:rsidRPr="008D5F85">
              <w:rPr>
                <w:rFonts w:cs="Arial"/>
                <w:b/>
                <w:bCs/>
                <w:color w:val="000000"/>
                <w:szCs w:val="16"/>
              </w:rPr>
              <w:t xml:space="preserve">203,244 </w:t>
            </w:r>
          </w:p>
        </w:tc>
        <w:tc>
          <w:tcPr>
            <w:tcW w:w="839" w:type="dxa"/>
            <w:tcBorders>
              <w:top w:val="single" w:sz="4" w:space="0" w:color="000000"/>
              <w:bottom w:val="single" w:sz="4" w:space="0" w:color="000000"/>
            </w:tcBorders>
            <w:vAlign w:val="center"/>
          </w:tcPr>
          <w:p w14:paraId="0CBDC0DF" w14:textId="77777777" w:rsidR="00271E37" w:rsidRPr="008D5F85" w:rsidRDefault="00271E37">
            <w:pPr>
              <w:rPr>
                <w:b/>
                <w:bCs/>
                <w:szCs w:val="16"/>
              </w:rPr>
            </w:pPr>
            <w:r w:rsidRPr="008D5F85">
              <w:rPr>
                <w:rFonts w:cs="Arial"/>
                <w:b/>
                <w:bCs/>
                <w:color w:val="000000"/>
                <w:szCs w:val="16"/>
              </w:rPr>
              <w:t xml:space="preserve">5,631 </w:t>
            </w:r>
          </w:p>
        </w:tc>
        <w:tc>
          <w:tcPr>
            <w:tcW w:w="839" w:type="dxa"/>
            <w:tcBorders>
              <w:top w:val="single" w:sz="4" w:space="0" w:color="000000"/>
              <w:bottom w:val="single" w:sz="4" w:space="0" w:color="000000"/>
            </w:tcBorders>
            <w:vAlign w:val="center"/>
          </w:tcPr>
          <w:p w14:paraId="669CD7E4" w14:textId="77777777" w:rsidR="00271E37" w:rsidRPr="00A37AB3" w:rsidRDefault="00271E37">
            <w:pPr>
              <w:rPr>
                <w:b/>
                <w:bCs/>
                <w:szCs w:val="16"/>
              </w:rPr>
            </w:pPr>
            <w:r w:rsidRPr="008D5F85">
              <w:rPr>
                <w:rFonts w:cs="Arial"/>
                <w:b/>
                <w:bCs/>
                <w:color w:val="000000"/>
                <w:szCs w:val="16"/>
              </w:rPr>
              <w:t>208,875</w:t>
            </w:r>
            <w:r w:rsidRPr="00A37AB3">
              <w:rPr>
                <w:rFonts w:cs="Arial"/>
                <w:b/>
                <w:bCs/>
                <w:color w:val="000000"/>
                <w:szCs w:val="16"/>
              </w:rPr>
              <w:t xml:space="preserve"> </w:t>
            </w:r>
          </w:p>
        </w:tc>
      </w:tr>
      <w:tr w:rsidR="00271E37" w:rsidRPr="00064D76" w14:paraId="067A7273" w14:textId="77777777">
        <w:tc>
          <w:tcPr>
            <w:tcW w:w="1958" w:type="dxa"/>
            <w:tcBorders>
              <w:top w:val="single" w:sz="4" w:space="0" w:color="000000"/>
            </w:tcBorders>
          </w:tcPr>
          <w:p w14:paraId="3F501FA4" w14:textId="77777777" w:rsidR="00271E37" w:rsidRPr="00064D76" w:rsidRDefault="00271E37">
            <w:pPr>
              <w:jc w:val="left"/>
            </w:pPr>
            <w:r>
              <w:t>(Loss)/p</w:t>
            </w:r>
            <w:r w:rsidRPr="00064D76">
              <w:t>rofit for the year</w:t>
            </w:r>
          </w:p>
        </w:tc>
        <w:tc>
          <w:tcPr>
            <w:tcW w:w="840" w:type="dxa"/>
            <w:tcBorders>
              <w:top w:val="single" w:sz="4" w:space="0" w:color="000000"/>
            </w:tcBorders>
            <w:vAlign w:val="center"/>
          </w:tcPr>
          <w:p w14:paraId="7FDAAA32" w14:textId="77777777" w:rsidR="00271E37" w:rsidRPr="00A37AB3" w:rsidRDefault="00271E37">
            <w:pPr>
              <w:rPr>
                <w:b/>
                <w:bCs/>
                <w:szCs w:val="16"/>
              </w:rPr>
            </w:pPr>
            <w:r>
              <w:rPr>
                <w:b/>
                <w:bCs/>
                <w:szCs w:val="16"/>
              </w:rPr>
              <w:t>-</w:t>
            </w:r>
          </w:p>
        </w:tc>
        <w:tc>
          <w:tcPr>
            <w:tcW w:w="840" w:type="dxa"/>
            <w:tcBorders>
              <w:top w:val="single" w:sz="4" w:space="0" w:color="000000"/>
            </w:tcBorders>
            <w:vAlign w:val="center"/>
          </w:tcPr>
          <w:p w14:paraId="02C03548" w14:textId="77777777" w:rsidR="00271E37" w:rsidRPr="00A37AB3" w:rsidRDefault="00271E37">
            <w:pPr>
              <w:rPr>
                <w:b/>
                <w:bCs/>
                <w:szCs w:val="16"/>
              </w:rPr>
            </w:pPr>
            <w:r>
              <w:rPr>
                <w:b/>
                <w:bCs/>
                <w:szCs w:val="16"/>
              </w:rPr>
              <w:t>-</w:t>
            </w:r>
          </w:p>
        </w:tc>
        <w:tc>
          <w:tcPr>
            <w:tcW w:w="839" w:type="dxa"/>
            <w:tcBorders>
              <w:top w:val="single" w:sz="4" w:space="0" w:color="000000"/>
            </w:tcBorders>
            <w:vAlign w:val="center"/>
          </w:tcPr>
          <w:p w14:paraId="22C8BB0A" w14:textId="77777777" w:rsidR="00271E37" w:rsidRPr="00A37AB3" w:rsidRDefault="00271E37">
            <w:pPr>
              <w:rPr>
                <w:b/>
                <w:bCs/>
                <w:szCs w:val="16"/>
              </w:rPr>
            </w:pPr>
            <w:r>
              <w:rPr>
                <w:b/>
                <w:bCs/>
                <w:szCs w:val="16"/>
              </w:rPr>
              <w:t>-</w:t>
            </w:r>
          </w:p>
        </w:tc>
        <w:tc>
          <w:tcPr>
            <w:tcW w:w="839" w:type="dxa"/>
            <w:tcBorders>
              <w:top w:val="single" w:sz="4" w:space="0" w:color="000000"/>
            </w:tcBorders>
            <w:vAlign w:val="center"/>
          </w:tcPr>
          <w:p w14:paraId="09BC24BD" w14:textId="77777777" w:rsidR="00271E37" w:rsidRPr="00A37AB3" w:rsidRDefault="00271E37">
            <w:pPr>
              <w:rPr>
                <w:b/>
                <w:bCs/>
                <w:szCs w:val="16"/>
              </w:rPr>
            </w:pPr>
            <w:r>
              <w:rPr>
                <w:b/>
                <w:bCs/>
                <w:szCs w:val="16"/>
              </w:rPr>
              <w:t>-</w:t>
            </w:r>
          </w:p>
        </w:tc>
        <w:tc>
          <w:tcPr>
            <w:tcW w:w="839" w:type="dxa"/>
            <w:tcBorders>
              <w:top w:val="single" w:sz="4" w:space="0" w:color="000000"/>
            </w:tcBorders>
            <w:vAlign w:val="center"/>
          </w:tcPr>
          <w:p w14:paraId="11DA1053" w14:textId="77777777" w:rsidR="00271E37" w:rsidRPr="00A37AB3" w:rsidRDefault="00271E37">
            <w:pPr>
              <w:rPr>
                <w:b/>
                <w:bCs/>
                <w:szCs w:val="16"/>
              </w:rPr>
            </w:pPr>
            <w:r>
              <w:rPr>
                <w:b/>
                <w:bCs/>
                <w:szCs w:val="16"/>
              </w:rPr>
              <w:t>-</w:t>
            </w:r>
          </w:p>
        </w:tc>
        <w:tc>
          <w:tcPr>
            <w:tcW w:w="1075" w:type="dxa"/>
            <w:tcBorders>
              <w:top w:val="single" w:sz="4" w:space="0" w:color="000000"/>
            </w:tcBorders>
            <w:vAlign w:val="center"/>
          </w:tcPr>
          <w:p w14:paraId="75B0F353" w14:textId="77777777" w:rsidR="00271E37" w:rsidRPr="00A37AB3" w:rsidRDefault="00271E37">
            <w:pPr>
              <w:rPr>
                <w:b/>
                <w:bCs/>
                <w:szCs w:val="16"/>
              </w:rPr>
            </w:pPr>
            <w:r>
              <w:rPr>
                <w:rFonts w:cs="Arial"/>
                <w:color w:val="000000"/>
                <w:szCs w:val="16"/>
              </w:rPr>
              <w:t>(112,337)</w:t>
            </w:r>
          </w:p>
        </w:tc>
        <w:tc>
          <w:tcPr>
            <w:tcW w:w="1016" w:type="dxa"/>
            <w:tcBorders>
              <w:top w:val="single" w:sz="4" w:space="0" w:color="000000"/>
            </w:tcBorders>
            <w:vAlign w:val="center"/>
          </w:tcPr>
          <w:p w14:paraId="2073B9AE" w14:textId="77777777" w:rsidR="00271E37" w:rsidRPr="00A37AB3" w:rsidRDefault="00271E37">
            <w:pPr>
              <w:rPr>
                <w:b/>
                <w:bCs/>
                <w:szCs w:val="16"/>
              </w:rPr>
            </w:pPr>
            <w:r>
              <w:rPr>
                <w:rFonts w:cs="Arial"/>
                <w:color w:val="000000"/>
                <w:szCs w:val="16"/>
              </w:rPr>
              <w:t>(112,337)</w:t>
            </w:r>
          </w:p>
        </w:tc>
        <w:tc>
          <w:tcPr>
            <w:tcW w:w="839" w:type="dxa"/>
            <w:tcBorders>
              <w:top w:val="single" w:sz="4" w:space="0" w:color="000000"/>
            </w:tcBorders>
            <w:vAlign w:val="center"/>
          </w:tcPr>
          <w:p w14:paraId="12A70BE0" w14:textId="77777777" w:rsidR="00271E37" w:rsidRPr="00A37AB3" w:rsidRDefault="00271E37">
            <w:pPr>
              <w:rPr>
                <w:b/>
                <w:bCs/>
                <w:szCs w:val="16"/>
              </w:rPr>
            </w:pPr>
            <w:r>
              <w:rPr>
                <w:rFonts w:cs="Arial"/>
                <w:color w:val="000000"/>
                <w:szCs w:val="16"/>
              </w:rPr>
              <w:t xml:space="preserve">20 </w:t>
            </w:r>
          </w:p>
        </w:tc>
        <w:tc>
          <w:tcPr>
            <w:tcW w:w="839" w:type="dxa"/>
            <w:tcBorders>
              <w:top w:val="single" w:sz="4" w:space="0" w:color="000000"/>
            </w:tcBorders>
            <w:vAlign w:val="center"/>
          </w:tcPr>
          <w:p w14:paraId="2D7F44AD" w14:textId="77777777" w:rsidR="00271E37" w:rsidRPr="00A37AB3" w:rsidRDefault="00271E37">
            <w:pPr>
              <w:rPr>
                <w:b/>
                <w:bCs/>
                <w:szCs w:val="16"/>
              </w:rPr>
            </w:pPr>
            <w:r>
              <w:rPr>
                <w:rFonts w:cs="Arial"/>
                <w:color w:val="000000"/>
                <w:szCs w:val="16"/>
              </w:rPr>
              <w:t>(112,317)</w:t>
            </w:r>
          </w:p>
        </w:tc>
      </w:tr>
      <w:tr w:rsidR="00271E37" w:rsidRPr="00064D76" w14:paraId="6A2FF1A0" w14:textId="77777777">
        <w:tc>
          <w:tcPr>
            <w:tcW w:w="1958" w:type="dxa"/>
            <w:tcBorders>
              <w:top w:val="single" w:sz="4" w:space="0" w:color="000000"/>
            </w:tcBorders>
          </w:tcPr>
          <w:p w14:paraId="228551D6" w14:textId="77777777" w:rsidR="00271E37" w:rsidRDefault="00271E37">
            <w:pPr>
              <w:jc w:val="left"/>
            </w:pPr>
            <w:r>
              <w:t>Release of translation reserve on disposal of subsidiaries</w:t>
            </w:r>
          </w:p>
        </w:tc>
        <w:tc>
          <w:tcPr>
            <w:tcW w:w="840" w:type="dxa"/>
            <w:tcBorders>
              <w:top w:val="single" w:sz="4" w:space="0" w:color="000000"/>
            </w:tcBorders>
            <w:vAlign w:val="center"/>
          </w:tcPr>
          <w:p w14:paraId="6FA15116" w14:textId="77777777" w:rsidR="00271E37" w:rsidRPr="00A37AB3" w:rsidRDefault="00271E37">
            <w:pPr>
              <w:rPr>
                <w:rFonts w:cs="Arial"/>
                <w:b/>
                <w:bCs/>
                <w:color w:val="000000"/>
                <w:szCs w:val="16"/>
              </w:rPr>
            </w:pPr>
            <w:r>
              <w:rPr>
                <w:rFonts w:cs="Arial"/>
                <w:b/>
                <w:bCs/>
                <w:color w:val="000000"/>
                <w:szCs w:val="16"/>
              </w:rPr>
              <w:t>-</w:t>
            </w:r>
          </w:p>
        </w:tc>
        <w:tc>
          <w:tcPr>
            <w:tcW w:w="840" w:type="dxa"/>
            <w:tcBorders>
              <w:top w:val="single" w:sz="4" w:space="0" w:color="000000"/>
            </w:tcBorders>
            <w:vAlign w:val="center"/>
          </w:tcPr>
          <w:p w14:paraId="1AB0AABC" w14:textId="77777777" w:rsidR="00271E37" w:rsidRPr="00A37AB3" w:rsidRDefault="00271E37">
            <w:pPr>
              <w:rPr>
                <w:rFonts w:cs="Arial"/>
                <w:b/>
                <w:bCs/>
                <w:color w:val="000000"/>
                <w:szCs w:val="16"/>
              </w:rPr>
            </w:pPr>
            <w:r>
              <w:rPr>
                <w:rFonts w:cs="Arial"/>
                <w:b/>
                <w:bCs/>
                <w:color w:val="000000"/>
                <w:szCs w:val="16"/>
              </w:rPr>
              <w:t>-</w:t>
            </w:r>
          </w:p>
        </w:tc>
        <w:tc>
          <w:tcPr>
            <w:tcW w:w="839" w:type="dxa"/>
            <w:tcBorders>
              <w:top w:val="single" w:sz="4" w:space="0" w:color="000000"/>
            </w:tcBorders>
            <w:vAlign w:val="center"/>
          </w:tcPr>
          <w:p w14:paraId="0692BDF3" w14:textId="77777777" w:rsidR="00271E37" w:rsidRPr="00A37AB3" w:rsidRDefault="00271E37">
            <w:pPr>
              <w:rPr>
                <w:rFonts w:cs="Arial"/>
                <w:b/>
                <w:bCs/>
                <w:color w:val="000000"/>
                <w:szCs w:val="16"/>
              </w:rPr>
            </w:pPr>
            <w:r>
              <w:rPr>
                <w:rFonts w:cs="Arial"/>
                <w:b/>
                <w:bCs/>
                <w:color w:val="000000"/>
                <w:szCs w:val="16"/>
              </w:rPr>
              <w:t>-</w:t>
            </w:r>
          </w:p>
        </w:tc>
        <w:tc>
          <w:tcPr>
            <w:tcW w:w="839" w:type="dxa"/>
            <w:tcBorders>
              <w:top w:val="single" w:sz="4" w:space="0" w:color="000000"/>
            </w:tcBorders>
            <w:vAlign w:val="center"/>
          </w:tcPr>
          <w:p w14:paraId="468DC9FA" w14:textId="77777777" w:rsidR="00271E37" w:rsidRPr="00A37AB3" w:rsidRDefault="00271E37">
            <w:pPr>
              <w:rPr>
                <w:rFonts w:cs="Arial"/>
                <w:b/>
                <w:bCs/>
                <w:color w:val="000000"/>
                <w:szCs w:val="16"/>
              </w:rPr>
            </w:pPr>
            <w:r>
              <w:rPr>
                <w:rFonts w:cs="Arial"/>
                <w:b/>
                <w:bCs/>
                <w:color w:val="000000"/>
                <w:szCs w:val="16"/>
              </w:rPr>
              <w:t>-</w:t>
            </w:r>
          </w:p>
        </w:tc>
        <w:tc>
          <w:tcPr>
            <w:tcW w:w="839" w:type="dxa"/>
            <w:tcBorders>
              <w:top w:val="single" w:sz="4" w:space="0" w:color="000000"/>
            </w:tcBorders>
            <w:vAlign w:val="center"/>
          </w:tcPr>
          <w:p w14:paraId="488A4639" w14:textId="77777777" w:rsidR="00271E37" w:rsidRPr="00A37AB3" w:rsidRDefault="00271E37">
            <w:pPr>
              <w:rPr>
                <w:rFonts w:cs="Arial"/>
                <w:b/>
                <w:bCs/>
                <w:color w:val="000000"/>
                <w:szCs w:val="16"/>
              </w:rPr>
            </w:pPr>
            <w:r>
              <w:rPr>
                <w:rFonts w:cs="Arial"/>
                <w:color w:val="000000"/>
                <w:szCs w:val="16"/>
              </w:rPr>
              <w:t xml:space="preserve">10,407 </w:t>
            </w:r>
          </w:p>
        </w:tc>
        <w:tc>
          <w:tcPr>
            <w:tcW w:w="1075" w:type="dxa"/>
            <w:tcBorders>
              <w:top w:val="single" w:sz="4" w:space="0" w:color="000000"/>
            </w:tcBorders>
            <w:vAlign w:val="center"/>
          </w:tcPr>
          <w:p w14:paraId="7BB4E0B4" w14:textId="77777777" w:rsidR="00271E37" w:rsidRPr="00A37AB3" w:rsidRDefault="00271E37">
            <w:pPr>
              <w:rPr>
                <w:rFonts w:cs="Arial"/>
                <w:b/>
                <w:bCs/>
                <w:color w:val="000000"/>
                <w:szCs w:val="16"/>
              </w:rPr>
            </w:pPr>
            <w:r>
              <w:rPr>
                <w:rFonts w:cs="Arial"/>
                <w:color w:val="000000"/>
                <w:szCs w:val="16"/>
              </w:rPr>
              <w:t xml:space="preserve">- </w:t>
            </w:r>
          </w:p>
        </w:tc>
        <w:tc>
          <w:tcPr>
            <w:tcW w:w="1016" w:type="dxa"/>
            <w:tcBorders>
              <w:top w:val="single" w:sz="4" w:space="0" w:color="000000"/>
            </w:tcBorders>
            <w:vAlign w:val="center"/>
          </w:tcPr>
          <w:p w14:paraId="651D5E16" w14:textId="77777777" w:rsidR="00271E37" w:rsidRPr="00A156A2" w:rsidRDefault="00271E37">
            <w:pPr>
              <w:rPr>
                <w:rFonts w:cs="Arial"/>
                <w:color w:val="000000"/>
                <w:szCs w:val="16"/>
              </w:rPr>
            </w:pPr>
            <w:r w:rsidRPr="00A156A2">
              <w:rPr>
                <w:rFonts w:cs="Arial"/>
                <w:color w:val="000000"/>
                <w:szCs w:val="16"/>
              </w:rPr>
              <w:t>10,407</w:t>
            </w:r>
          </w:p>
        </w:tc>
        <w:tc>
          <w:tcPr>
            <w:tcW w:w="839" w:type="dxa"/>
            <w:tcBorders>
              <w:top w:val="single" w:sz="4" w:space="0" w:color="000000"/>
            </w:tcBorders>
            <w:vAlign w:val="center"/>
          </w:tcPr>
          <w:p w14:paraId="32AF6635" w14:textId="77777777" w:rsidR="00271E37" w:rsidRPr="00A156A2" w:rsidRDefault="00271E37">
            <w:pPr>
              <w:rPr>
                <w:rFonts w:cs="Arial"/>
                <w:color w:val="000000"/>
                <w:szCs w:val="16"/>
              </w:rPr>
            </w:pPr>
            <w:r>
              <w:rPr>
                <w:rFonts w:cs="Arial"/>
                <w:color w:val="000000"/>
                <w:szCs w:val="16"/>
              </w:rPr>
              <w:t>-</w:t>
            </w:r>
          </w:p>
        </w:tc>
        <w:tc>
          <w:tcPr>
            <w:tcW w:w="839" w:type="dxa"/>
            <w:tcBorders>
              <w:top w:val="single" w:sz="4" w:space="0" w:color="000000"/>
            </w:tcBorders>
            <w:vAlign w:val="center"/>
          </w:tcPr>
          <w:p w14:paraId="0DF0CE88" w14:textId="77777777" w:rsidR="00271E37" w:rsidRPr="00A37AB3" w:rsidRDefault="00271E37">
            <w:pPr>
              <w:rPr>
                <w:rFonts w:cs="Arial"/>
                <w:b/>
                <w:bCs/>
                <w:color w:val="000000"/>
                <w:szCs w:val="16"/>
              </w:rPr>
            </w:pPr>
            <w:r>
              <w:rPr>
                <w:rFonts w:cs="Arial"/>
                <w:color w:val="000000"/>
                <w:szCs w:val="16"/>
              </w:rPr>
              <w:t xml:space="preserve">10,407 </w:t>
            </w:r>
          </w:p>
        </w:tc>
      </w:tr>
      <w:tr w:rsidR="00271E37" w:rsidRPr="00064D76" w14:paraId="0513F1FE" w14:textId="77777777">
        <w:tc>
          <w:tcPr>
            <w:tcW w:w="1958" w:type="dxa"/>
            <w:tcBorders>
              <w:bottom w:val="single" w:sz="4" w:space="0" w:color="000000"/>
            </w:tcBorders>
          </w:tcPr>
          <w:p w14:paraId="4C556622" w14:textId="77777777" w:rsidR="00271E37" w:rsidRPr="00064D76" w:rsidRDefault="00271E37">
            <w:pPr>
              <w:jc w:val="left"/>
            </w:pPr>
            <w:r w:rsidRPr="00930B13">
              <w:t>Other comprehensive income</w:t>
            </w:r>
            <w:r>
              <w:t>/(expense)</w:t>
            </w:r>
          </w:p>
        </w:tc>
        <w:tc>
          <w:tcPr>
            <w:tcW w:w="840" w:type="dxa"/>
            <w:tcBorders>
              <w:bottom w:val="single" w:sz="4" w:space="0" w:color="000000"/>
            </w:tcBorders>
            <w:vAlign w:val="center"/>
          </w:tcPr>
          <w:p w14:paraId="033C0C7C" w14:textId="77777777" w:rsidR="00271E37" w:rsidRPr="00A37AB3" w:rsidRDefault="00271E37">
            <w:pPr>
              <w:rPr>
                <w:b/>
                <w:bCs/>
                <w:szCs w:val="16"/>
              </w:rPr>
            </w:pPr>
            <w:r>
              <w:rPr>
                <w:b/>
                <w:bCs/>
                <w:szCs w:val="16"/>
              </w:rPr>
              <w:t>-</w:t>
            </w:r>
          </w:p>
        </w:tc>
        <w:tc>
          <w:tcPr>
            <w:tcW w:w="840" w:type="dxa"/>
            <w:tcBorders>
              <w:bottom w:val="single" w:sz="4" w:space="0" w:color="000000"/>
            </w:tcBorders>
            <w:vAlign w:val="center"/>
          </w:tcPr>
          <w:p w14:paraId="31B79444" w14:textId="77777777" w:rsidR="00271E37" w:rsidRPr="00A37AB3" w:rsidRDefault="00271E37">
            <w:pPr>
              <w:rPr>
                <w:b/>
                <w:bCs/>
                <w:szCs w:val="16"/>
              </w:rPr>
            </w:pPr>
            <w:r>
              <w:rPr>
                <w:b/>
                <w:bCs/>
                <w:szCs w:val="16"/>
              </w:rPr>
              <w:t>-</w:t>
            </w:r>
          </w:p>
        </w:tc>
        <w:tc>
          <w:tcPr>
            <w:tcW w:w="839" w:type="dxa"/>
            <w:tcBorders>
              <w:bottom w:val="single" w:sz="4" w:space="0" w:color="000000"/>
            </w:tcBorders>
            <w:vAlign w:val="center"/>
          </w:tcPr>
          <w:p w14:paraId="6ABFB66A" w14:textId="77777777" w:rsidR="00271E37" w:rsidRPr="00A37AB3" w:rsidRDefault="00271E37">
            <w:pPr>
              <w:rPr>
                <w:b/>
                <w:bCs/>
                <w:szCs w:val="16"/>
              </w:rPr>
            </w:pPr>
            <w:r>
              <w:rPr>
                <w:b/>
                <w:bCs/>
                <w:szCs w:val="16"/>
              </w:rPr>
              <w:t>-</w:t>
            </w:r>
          </w:p>
        </w:tc>
        <w:tc>
          <w:tcPr>
            <w:tcW w:w="839" w:type="dxa"/>
            <w:tcBorders>
              <w:bottom w:val="single" w:sz="4" w:space="0" w:color="000000"/>
            </w:tcBorders>
            <w:vAlign w:val="center"/>
          </w:tcPr>
          <w:p w14:paraId="57C5FCD0" w14:textId="77777777" w:rsidR="00271E37" w:rsidRPr="00A37AB3" w:rsidRDefault="00271E37">
            <w:pPr>
              <w:rPr>
                <w:b/>
                <w:bCs/>
                <w:szCs w:val="16"/>
              </w:rPr>
            </w:pPr>
            <w:r>
              <w:rPr>
                <w:rFonts w:cs="Arial"/>
                <w:color w:val="000000"/>
                <w:szCs w:val="16"/>
              </w:rPr>
              <w:t xml:space="preserve">580 </w:t>
            </w:r>
          </w:p>
        </w:tc>
        <w:tc>
          <w:tcPr>
            <w:tcW w:w="839" w:type="dxa"/>
            <w:tcBorders>
              <w:bottom w:val="single" w:sz="4" w:space="0" w:color="000000"/>
            </w:tcBorders>
            <w:vAlign w:val="center"/>
          </w:tcPr>
          <w:p w14:paraId="61809E83" w14:textId="77777777" w:rsidR="00271E37" w:rsidRPr="00A37AB3" w:rsidRDefault="00271E37">
            <w:pPr>
              <w:rPr>
                <w:b/>
                <w:bCs/>
                <w:szCs w:val="16"/>
              </w:rPr>
            </w:pPr>
            <w:r>
              <w:rPr>
                <w:rFonts w:cs="Arial"/>
                <w:color w:val="000000"/>
                <w:szCs w:val="16"/>
              </w:rPr>
              <w:t>(1,776)</w:t>
            </w:r>
          </w:p>
        </w:tc>
        <w:tc>
          <w:tcPr>
            <w:tcW w:w="1075" w:type="dxa"/>
            <w:tcBorders>
              <w:bottom w:val="single" w:sz="4" w:space="0" w:color="000000"/>
            </w:tcBorders>
            <w:vAlign w:val="center"/>
          </w:tcPr>
          <w:p w14:paraId="1E4DF776" w14:textId="77777777" w:rsidR="00271E37" w:rsidRPr="00A37AB3" w:rsidRDefault="00271E37">
            <w:pPr>
              <w:rPr>
                <w:b/>
                <w:bCs/>
                <w:szCs w:val="16"/>
              </w:rPr>
            </w:pPr>
            <w:r>
              <w:rPr>
                <w:b/>
                <w:bCs/>
                <w:szCs w:val="16"/>
              </w:rPr>
              <w:t>-</w:t>
            </w:r>
          </w:p>
        </w:tc>
        <w:tc>
          <w:tcPr>
            <w:tcW w:w="1016" w:type="dxa"/>
            <w:tcBorders>
              <w:bottom w:val="single" w:sz="4" w:space="0" w:color="000000"/>
            </w:tcBorders>
            <w:vAlign w:val="center"/>
          </w:tcPr>
          <w:p w14:paraId="301B249D" w14:textId="77777777" w:rsidR="00271E37" w:rsidRPr="00A37AB3" w:rsidRDefault="00271E37">
            <w:pPr>
              <w:rPr>
                <w:b/>
                <w:bCs/>
                <w:szCs w:val="16"/>
              </w:rPr>
            </w:pPr>
            <w:r>
              <w:rPr>
                <w:rFonts w:cs="Arial"/>
                <w:color w:val="000000"/>
                <w:szCs w:val="16"/>
              </w:rPr>
              <w:t xml:space="preserve">(1,196) </w:t>
            </w:r>
          </w:p>
        </w:tc>
        <w:tc>
          <w:tcPr>
            <w:tcW w:w="839" w:type="dxa"/>
            <w:tcBorders>
              <w:bottom w:val="single" w:sz="4" w:space="0" w:color="000000"/>
            </w:tcBorders>
            <w:vAlign w:val="center"/>
          </w:tcPr>
          <w:p w14:paraId="1C585E19" w14:textId="77777777" w:rsidR="00271E37" w:rsidRPr="00A37AB3" w:rsidRDefault="00271E37">
            <w:pPr>
              <w:rPr>
                <w:b/>
                <w:bCs/>
                <w:szCs w:val="16"/>
              </w:rPr>
            </w:pPr>
            <w:r w:rsidRPr="00A156A2">
              <w:rPr>
                <w:rFonts w:cs="Arial"/>
                <w:szCs w:val="16"/>
              </w:rPr>
              <w:t>425</w:t>
            </w:r>
            <w:r>
              <w:rPr>
                <w:rFonts w:cs="Arial"/>
                <w:color w:val="4D93D9"/>
                <w:szCs w:val="16"/>
              </w:rPr>
              <w:t xml:space="preserve"> </w:t>
            </w:r>
          </w:p>
        </w:tc>
        <w:tc>
          <w:tcPr>
            <w:tcW w:w="839" w:type="dxa"/>
            <w:tcBorders>
              <w:bottom w:val="single" w:sz="4" w:space="0" w:color="000000"/>
            </w:tcBorders>
            <w:vAlign w:val="center"/>
          </w:tcPr>
          <w:p w14:paraId="051EAE5E" w14:textId="77777777" w:rsidR="00271E37" w:rsidRPr="00A37AB3" w:rsidRDefault="00271E37">
            <w:pPr>
              <w:rPr>
                <w:b/>
                <w:bCs/>
                <w:szCs w:val="16"/>
              </w:rPr>
            </w:pPr>
            <w:r>
              <w:rPr>
                <w:rFonts w:cs="Arial"/>
                <w:color w:val="000000"/>
                <w:szCs w:val="16"/>
              </w:rPr>
              <w:t xml:space="preserve">(771) </w:t>
            </w:r>
          </w:p>
        </w:tc>
      </w:tr>
      <w:tr w:rsidR="00271E37" w:rsidRPr="00064D76" w14:paraId="728DADE6" w14:textId="77777777">
        <w:tc>
          <w:tcPr>
            <w:tcW w:w="1958" w:type="dxa"/>
            <w:tcBorders>
              <w:bottom w:val="single" w:sz="4" w:space="0" w:color="000000"/>
            </w:tcBorders>
          </w:tcPr>
          <w:p w14:paraId="69374655" w14:textId="77777777" w:rsidR="00271E37" w:rsidRPr="00B076F2" w:rsidRDefault="00271E37">
            <w:pPr>
              <w:jc w:val="left"/>
              <w:rPr>
                <w:b/>
                <w:bCs/>
              </w:rPr>
            </w:pPr>
            <w:r w:rsidRPr="00B076F2">
              <w:rPr>
                <w:b/>
                <w:bCs/>
              </w:rPr>
              <w:t xml:space="preserve">Total comprehensive </w:t>
            </w:r>
            <w:r>
              <w:rPr>
                <w:b/>
                <w:bCs/>
              </w:rPr>
              <w:t>in</w:t>
            </w:r>
            <w:r w:rsidRPr="00B076F2">
              <w:rPr>
                <w:b/>
                <w:bCs/>
              </w:rPr>
              <w:t>come</w:t>
            </w:r>
            <w:r>
              <w:rPr>
                <w:b/>
                <w:bCs/>
              </w:rPr>
              <w:t>/(expense)</w:t>
            </w:r>
            <w:r w:rsidRPr="00B076F2">
              <w:rPr>
                <w:b/>
                <w:bCs/>
              </w:rPr>
              <w:t xml:space="preserve"> for the year</w:t>
            </w:r>
          </w:p>
        </w:tc>
        <w:tc>
          <w:tcPr>
            <w:tcW w:w="840" w:type="dxa"/>
            <w:tcBorders>
              <w:bottom w:val="single" w:sz="4" w:space="0" w:color="000000"/>
            </w:tcBorders>
            <w:vAlign w:val="center"/>
          </w:tcPr>
          <w:p w14:paraId="08921967" w14:textId="77777777" w:rsidR="00271E37" w:rsidRPr="00A37AB3" w:rsidRDefault="00271E37">
            <w:pPr>
              <w:rPr>
                <w:b/>
                <w:bCs/>
                <w:szCs w:val="16"/>
              </w:rPr>
            </w:pPr>
            <w:r w:rsidRPr="00A37AB3">
              <w:rPr>
                <w:rFonts w:cs="Arial"/>
                <w:color w:val="000000"/>
                <w:szCs w:val="16"/>
              </w:rPr>
              <w:t xml:space="preserve"> - </w:t>
            </w:r>
          </w:p>
        </w:tc>
        <w:tc>
          <w:tcPr>
            <w:tcW w:w="840" w:type="dxa"/>
            <w:tcBorders>
              <w:bottom w:val="single" w:sz="4" w:space="0" w:color="000000"/>
            </w:tcBorders>
            <w:vAlign w:val="center"/>
          </w:tcPr>
          <w:p w14:paraId="67E534D2" w14:textId="77777777" w:rsidR="00271E37" w:rsidRPr="00A37AB3" w:rsidRDefault="00271E37">
            <w:pPr>
              <w:rPr>
                <w:b/>
                <w:bCs/>
                <w:szCs w:val="16"/>
              </w:rPr>
            </w:pPr>
            <w:r w:rsidRPr="00A37AB3">
              <w:rPr>
                <w:rFonts w:cs="Arial"/>
                <w:color w:val="000000"/>
                <w:szCs w:val="16"/>
              </w:rPr>
              <w:t xml:space="preserve"> - </w:t>
            </w:r>
          </w:p>
        </w:tc>
        <w:tc>
          <w:tcPr>
            <w:tcW w:w="839" w:type="dxa"/>
            <w:tcBorders>
              <w:bottom w:val="single" w:sz="4" w:space="0" w:color="000000"/>
            </w:tcBorders>
            <w:vAlign w:val="center"/>
          </w:tcPr>
          <w:p w14:paraId="5F28432A" w14:textId="77777777" w:rsidR="00271E37" w:rsidRPr="00A37AB3" w:rsidRDefault="00271E37">
            <w:pPr>
              <w:rPr>
                <w:b/>
                <w:bCs/>
                <w:szCs w:val="16"/>
              </w:rPr>
            </w:pPr>
            <w:r w:rsidRPr="00A37AB3">
              <w:rPr>
                <w:rFonts w:cs="Arial"/>
                <w:color w:val="000000"/>
                <w:szCs w:val="16"/>
              </w:rPr>
              <w:t xml:space="preserve"> - </w:t>
            </w:r>
          </w:p>
        </w:tc>
        <w:tc>
          <w:tcPr>
            <w:tcW w:w="839" w:type="dxa"/>
            <w:tcBorders>
              <w:bottom w:val="single" w:sz="4" w:space="0" w:color="000000"/>
            </w:tcBorders>
            <w:vAlign w:val="center"/>
          </w:tcPr>
          <w:p w14:paraId="26A58B29" w14:textId="77777777" w:rsidR="00271E37" w:rsidRPr="00A37AB3" w:rsidRDefault="00271E37">
            <w:pPr>
              <w:rPr>
                <w:b/>
                <w:bCs/>
                <w:szCs w:val="16"/>
              </w:rPr>
            </w:pPr>
            <w:r>
              <w:rPr>
                <w:rFonts w:cs="Arial"/>
                <w:color w:val="000000"/>
                <w:szCs w:val="16"/>
              </w:rPr>
              <w:t xml:space="preserve">580 </w:t>
            </w:r>
          </w:p>
        </w:tc>
        <w:tc>
          <w:tcPr>
            <w:tcW w:w="839" w:type="dxa"/>
            <w:tcBorders>
              <w:bottom w:val="single" w:sz="4" w:space="0" w:color="000000"/>
            </w:tcBorders>
            <w:vAlign w:val="center"/>
          </w:tcPr>
          <w:p w14:paraId="37D862C3" w14:textId="77777777" w:rsidR="00271E37" w:rsidRPr="00A37AB3" w:rsidRDefault="00271E37">
            <w:pPr>
              <w:rPr>
                <w:b/>
                <w:bCs/>
                <w:szCs w:val="16"/>
              </w:rPr>
            </w:pPr>
            <w:r>
              <w:rPr>
                <w:rFonts w:cs="Arial"/>
                <w:color w:val="000000"/>
                <w:szCs w:val="16"/>
              </w:rPr>
              <w:t xml:space="preserve">8,631 </w:t>
            </w:r>
          </w:p>
        </w:tc>
        <w:tc>
          <w:tcPr>
            <w:tcW w:w="1075" w:type="dxa"/>
            <w:tcBorders>
              <w:bottom w:val="single" w:sz="4" w:space="0" w:color="000000"/>
            </w:tcBorders>
            <w:vAlign w:val="center"/>
          </w:tcPr>
          <w:p w14:paraId="03519588" w14:textId="77777777" w:rsidR="00271E37" w:rsidRPr="00A37AB3" w:rsidRDefault="00271E37">
            <w:pPr>
              <w:rPr>
                <w:b/>
                <w:bCs/>
                <w:szCs w:val="16"/>
              </w:rPr>
            </w:pPr>
            <w:r>
              <w:rPr>
                <w:rFonts w:cs="Arial"/>
                <w:color w:val="000000"/>
                <w:szCs w:val="16"/>
              </w:rPr>
              <w:t>(112,337)</w:t>
            </w:r>
          </w:p>
        </w:tc>
        <w:tc>
          <w:tcPr>
            <w:tcW w:w="1016" w:type="dxa"/>
            <w:tcBorders>
              <w:bottom w:val="single" w:sz="4" w:space="0" w:color="000000"/>
            </w:tcBorders>
            <w:vAlign w:val="center"/>
          </w:tcPr>
          <w:p w14:paraId="6BE228D8" w14:textId="77777777" w:rsidR="00271E37" w:rsidRPr="00A37AB3" w:rsidRDefault="00271E37">
            <w:pPr>
              <w:rPr>
                <w:b/>
                <w:bCs/>
                <w:szCs w:val="16"/>
              </w:rPr>
            </w:pPr>
            <w:r>
              <w:rPr>
                <w:rFonts w:cs="Arial"/>
                <w:color w:val="000000"/>
                <w:szCs w:val="16"/>
              </w:rPr>
              <w:t>(103,126)</w:t>
            </w:r>
          </w:p>
        </w:tc>
        <w:tc>
          <w:tcPr>
            <w:tcW w:w="839" w:type="dxa"/>
            <w:tcBorders>
              <w:bottom w:val="single" w:sz="4" w:space="0" w:color="000000"/>
            </w:tcBorders>
            <w:vAlign w:val="center"/>
          </w:tcPr>
          <w:p w14:paraId="5E45C747" w14:textId="77777777" w:rsidR="00271E37" w:rsidRPr="00A37AB3" w:rsidRDefault="00271E37">
            <w:pPr>
              <w:rPr>
                <w:b/>
                <w:bCs/>
                <w:szCs w:val="16"/>
              </w:rPr>
            </w:pPr>
            <w:r>
              <w:rPr>
                <w:rFonts w:cs="Arial"/>
                <w:color w:val="000000"/>
                <w:szCs w:val="16"/>
              </w:rPr>
              <w:t xml:space="preserve">445 </w:t>
            </w:r>
          </w:p>
        </w:tc>
        <w:tc>
          <w:tcPr>
            <w:tcW w:w="839" w:type="dxa"/>
            <w:tcBorders>
              <w:bottom w:val="single" w:sz="4" w:space="0" w:color="000000"/>
            </w:tcBorders>
            <w:vAlign w:val="center"/>
          </w:tcPr>
          <w:p w14:paraId="35FAD36C" w14:textId="77777777" w:rsidR="00271E37" w:rsidRPr="00A37AB3" w:rsidRDefault="00271E37">
            <w:pPr>
              <w:rPr>
                <w:b/>
                <w:bCs/>
                <w:szCs w:val="16"/>
              </w:rPr>
            </w:pPr>
            <w:r>
              <w:rPr>
                <w:rFonts w:cs="Arial"/>
                <w:color w:val="000000"/>
                <w:szCs w:val="16"/>
              </w:rPr>
              <w:t>(102,681)</w:t>
            </w:r>
          </w:p>
        </w:tc>
      </w:tr>
      <w:tr w:rsidR="00271E37" w:rsidRPr="00064D76" w14:paraId="2DDEBCFE" w14:textId="77777777">
        <w:tc>
          <w:tcPr>
            <w:tcW w:w="6155" w:type="dxa"/>
            <w:gridSpan w:val="6"/>
            <w:tcBorders>
              <w:top w:val="single" w:sz="4" w:space="0" w:color="000000"/>
            </w:tcBorders>
          </w:tcPr>
          <w:p w14:paraId="40553E53" w14:textId="77777777" w:rsidR="00271E37" w:rsidRPr="00B51278" w:rsidRDefault="00271E37">
            <w:pPr>
              <w:jc w:val="left"/>
              <w:rPr>
                <w:b/>
                <w:bCs/>
              </w:rPr>
            </w:pPr>
            <w:r w:rsidRPr="00B076F2">
              <w:rPr>
                <w:b/>
                <w:bCs/>
              </w:rPr>
              <w:t>Transactions with owners in their capacity as owners</w:t>
            </w:r>
          </w:p>
        </w:tc>
        <w:tc>
          <w:tcPr>
            <w:tcW w:w="1075" w:type="dxa"/>
            <w:tcBorders>
              <w:top w:val="single" w:sz="4" w:space="0" w:color="000000"/>
            </w:tcBorders>
          </w:tcPr>
          <w:p w14:paraId="2144D40A" w14:textId="77777777" w:rsidR="00271E37" w:rsidRPr="00B51278" w:rsidRDefault="00271E37">
            <w:pPr>
              <w:rPr>
                <w:b/>
                <w:bCs/>
              </w:rPr>
            </w:pPr>
          </w:p>
        </w:tc>
        <w:tc>
          <w:tcPr>
            <w:tcW w:w="1016" w:type="dxa"/>
            <w:tcBorders>
              <w:top w:val="single" w:sz="4" w:space="0" w:color="000000"/>
            </w:tcBorders>
          </w:tcPr>
          <w:p w14:paraId="68874DF6" w14:textId="77777777" w:rsidR="00271E37" w:rsidRPr="00B51278" w:rsidRDefault="00271E37">
            <w:pPr>
              <w:rPr>
                <w:b/>
                <w:bCs/>
              </w:rPr>
            </w:pPr>
          </w:p>
        </w:tc>
        <w:tc>
          <w:tcPr>
            <w:tcW w:w="839" w:type="dxa"/>
            <w:tcBorders>
              <w:top w:val="single" w:sz="4" w:space="0" w:color="000000"/>
            </w:tcBorders>
          </w:tcPr>
          <w:p w14:paraId="29C6B767" w14:textId="77777777" w:rsidR="00271E37" w:rsidRPr="00B51278" w:rsidRDefault="00271E37">
            <w:pPr>
              <w:rPr>
                <w:b/>
                <w:bCs/>
              </w:rPr>
            </w:pPr>
          </w:p>
        </w:tc>
        <w:tc>
          <w:tcPr>
            <w:tcW w:w="839" w:type="dxa"/>
            <w:tcBorders>
              <w:top w:val="single" w:sz="4" w:space="0" w:color="000000"/>
            </w:tcBorders>
          </w:tcPr>
          <w:p w14:paraId="4776A683" w14:textId="77777777" w:rsidR="00271E37" w:rsidRPr="00B51278" w:rsidRDefault="00271E37">
            <w:pPr>
              <w:rPr>
                <w:b/>
                <w:bCs/>
              </w:rPr>
            </w:pPr>
          </w:p>
        </w:tc>
      </w:tr>
      <w:tr w:rsidR="00271E37" w:rsidRPr="00064D76" w14:paraId="67D9FF95" w14:textId="77777777">
        <w:tc>
          <w:tcPr>
            <w:tcW w:w="1958" w:type="dxa"/>
            <w:tcBorders>
              <w:top w:val="single" w:sz="4" w:space="0" w:color="000000"/>
            </w:tcBorders>
          </w:tcPr>
          <w:p w14:paraId="5505281A" w14:textId="77777777" w:rsidR="00271E37" w:rsidRPr="00554056" w:rsidRDefault="00271E37">
            <w:pPr>
              <w:jc w:val="left"/>
            </w:pPr>
            <w:r w:rsidRPr="00554056">
              <w:t>Reclassification on disposal of division</w:t>
            </w:r>
          </w:p>
        </w:tc>
        <w:tc>
          <w:tcPr>
            <w:tcW w:w="840" w:type="dxa"/>
            <w:tcBorders>
              <w:top w:val="single" w:sz="4" w:space="0" w:color="000000"/>
            </w:tcBorders>
            <w:vAlign w:val="center"/>
          </w:tcPr>
          <w:p w14:paraId="41E04064" w14:textId="77777777" w:rsidR="00271E37" w:rsidRPr="00B51278" w:rsidRDefault="00271E37">
            <w:pPr>
              <w:rPr>
                <w:b/>
                <w:bCs/>
              </w:rPr>
            </w:pPr>
            <w:r>
              <w:rPr>
                <w:b/>
                <w:bCs/>
              </w:rPr>
              <w:t>-</w:t>
            </w:r>
          </w:p>
        </w:tc>
        <w:tc>
          <w:tcPr>
            <w:tcW w:w="840" w:type="dxa"/>
            <w:tcBorders>
              <w:top w:val="single" w:sz="4" w:space="0" w:color="000000"/>
            </w:tcBorders>
            <w:vAlign w:val="center"/>
          </w:tcPr>
          <w:p w14:paraId="53131917" w14:textId="77777777" w:rsidR="00271E37" w:rsidRPr="00B51278" w:rsidRDefault="00271E37">
            <w:pPr>
              <w:rPr>
                <w:b/>
                <w:bCs/>
              </w:rPr>
            </w:pPr>
            <w:r>
              <w:rPr>
                <w:b/>
                <w:bCs/>
              </w:rPr>
              <w:t>-</w:t>
            </w:r>
          </w:p>
        </w:tc>
        <w:tc>
          <w:tcPr>
            <w:tcW w:w="839" w:type="dxa"/>
            <w:tcBorders>
              <w:top w:val="single" w:sz="4" w:space="0" w:color="000000"/>
            </w:tcBorders>
            <w:vAlign w:val="center"/>
          </w:tcPr>
          <w:p w14:paraId="1EB65C40" w14:textId="77777777" w:rsidR="00271E37" w:rsidRPr="00B51278" w:rsidRDefault="00271E37">
            <w:pPr>
              <w:rPr>
                <w:b/>
                <w:bCs/>
              </w:rPr>
            </w:pPr>
            <w:r>
              <w:rPr>
                <w:rFonts w:cs="Arial"/>
                <w:color w:val="000000"/>
                <w:szCs w:val="16"/>
              </w:rPr>
              <w:t>(17,500)</w:t>
            </w:r>
          </w:p>
        </w:tc>
        <w:tc>
          <w:tcPr>
            <w:tcW w:w="839" w:type="dxa"/>
            <w:tcBorders>
              <w:top w:val="single" w:sz="4" w:space="0" w:color="000000"/>
            </w:tcBorders>
            <w:vAlign w:val="center"/>
          </w:tcPr>
          <w:p w14:paraId="54FDD55F" w14:textId="77777777" w:rsidR="00271E37" w:rsidRPr="00B51278" w:rsidRDefault="00271E37">
            <w:pPr>
              <w:rPr>
                <w:b/>
                <w:bCs/>
              </w:rPr>
            </w:pPr>
            <w:r>
              <w:rPr>
                <w:b/>
                <w:bCs/>
              </w:rPr>
              <w:t>-</w:t>
            </w:r>
          </w:p>
        </w:tc>
        <w:tc>
          <w:tcPr>
            <w:tcW w:w="839" w:type="dxa"/>
            <w:tcBorders>
              <w:top w:val="single" w:sz="4" w:space="0" w:color="000000"/>
            </w:tcBorders>
            <w:vAlign w:val="center"/>
          </w:tcPr>
          <w:p w14:paraId="28EF7A59" w14:textId="77777777" w:rsidR="00271E37" w:rsidRPr="00B51278" w:rsidRDefault="00271E37">
            <w:pPr>
              <w:rPr>
                <w:b/>
                <w:bCs/>
              </w:rPr>
            </w:pPr>
            <w:r>
              <w:rPr>
                <w:b/>
                <w:bCs/>
              </w:rPr>
              <w:t>-</w:t>
            </w:r>
          </w:p>
        </w:tc>
        <w:tc>
          <w:tcPr>
            <w:tcW w:w="1075" w:type="dxa"/>
            <w:tcBorders>
              <w:top w:val="single" w:sz="4" w:space="0" w:color="000000"/>
            </w:tcBorders>
            <w:vAlign w:val="center"/>
          </w:tcPr>
          <w:p w14:paraId="06358433" w14:textId="77777777" w:rsidR="00271E37" w:rsidRPr="00B51278" w:rsidRDefault="00271E37">
            <w:pPr>
              <w:rPr>
                <w:b/>
                <w:bCs/>
              </w:rPr>
            </w:pPr>
            <w:r w:rsidRPr="00014B08">
              <w:rPr>
                <w:rFonts w:cs="Arial"/>
                <w:szCs w:val="16"/>
              </w:rPr>
              <w:t xml:space="preserve">17,500 </w:t>
            </w:r>
          </w:p>
        </w:tc>
        <w:tc>
          <w:tcPr>
            <w:tcW w:w="1016" w:type="dxa"/>
            <w:tcBorders>
              <w:top w:val="single" w:sz="4" w:space="0" w:color="000000"/>
            </w:tcBorders>
            <w:vAlign w:val="center"/>
          </w:tcPr>
          <w:p w14:paraId="4E1D402A" w14:textId="77777777" w:rsidR="00271E37" w:rsidRPr="00B51278" w:rsidRDefault="00271E37">
            <w:pPr>
              <w:rPr>
                <w:b/>
                <w:bCs/>
              </w:rPr>
            </w:pPr>
            <w:r>
              <w:rPr>
                <w:rFonts w:cs="Arial"/>
                <w:color w:val="000000"/>
                <w:szCs w:val="16"/>
              </w:rPr>
              <w:t xml:space="preserve"> - </w:t>
            </w:r>
          </w:p>
        </w:tc>
        <w:tc>
          <w:tcPr>
            <w:tcW w:w="839" w:type="dxa"/>
            <w:tcBorders>
              <w:top w:val="single" w:sz="4" w:space="0" w:color="000000"/>
            </w:tcBorders>
            <w:vAlign w:val="center"/>
          </w:tcPr>
          <w:p w14:paraId="53336878" w14:textId="77777777" w:rsidR="00271E37" w:rsidRPr="00B51278" w:rsidRDefault="00271E37">
            <w:pPr>
              <w:rPr>
                <w:b/>
                <w:bCs/>
              </w:rPr>
            </w:pPr>
            <w:r>
              <w:rPr>
                <w:b/>
                <w:bCs/>
              </w:rPr>
              <w:t>-</w:t>
            </w:r>
          </w:p>
        </w:tc>
        <w:tc>
          <w:tcPr>
            <w:tcW w:w="839" w:type="dxa"/>
            <w:tcBorders>
              <w:top w:val="single" w:sz="4" w:space="0" w:color="000000"/>
            </w:tcBorders>
            <w:vAlign w:val="center"/>
          </w:tcPr>
          <w:p w14:paraId="763B9BEE" w14:textId="77777777" w:rsidR="00271E37" w:rsidRPr="00B51278" w:rsidRDefault="00271E37">
            <w:pPr>
              <w:rPr>
                <w:b/>
                <w:bCs/>
              </w:rPr>
            </w:pPr>
            <w:r>
              <w:rPr>
                <w:rFonts w:cs="Arial"/>
                <w:color w:val="000000"/>
                <w:szCs w:val="16"/>
              </w:rPr>
              <w:t xml:space="preserve"> - </w:t>
            </w:r>
          </w:p>
        </w:tc>
      </w:tr>
      <w:tr w:rsidR="00271E37" w:rsidRPr="00425E0B" w14:paraId="25F31DEC" w14:textId="77777777">
        <w:tc>
          <w:tcPr>
            <w:tcW w:w="1958" w:type="dxa"/>
          </w:tcPr>
          <w:p w14:paraId="312ED65D" w14:textId="77777777" w:rsidR="00271E37" w:rsidRPr="00064D76" w:rsidRDefault="00271E37">
            <w:pPr>
              <w:jc w:val="left"/>
            </w:pPr>
            <w:r>
              <w:t>Reclassification on capital reorganisation</w:t>
            </w:r>
          </w:p>
        </w:tc>
        <w:tc>
          <w:tcPr>
            <w:tcW w:w="840" w:type="dxa"/>
            <w:vAlign w:val="center"/>
          </w:tcPr>
          <w:p w14:paraId="6CE28274" w14:textId="77777777" w:rsidR="00271E37" w:rsidRPr="00B51278" w:rsidRDefault="00271E37">
            <w:pPr>
              <w:rPr>
                <w:b/>
                <w:bCs/>
              </w:rPr>
            </w:pPr>
            <w:r>
              <w:rPr>
                <w:b/>
                <w:bCs/>
              </w:rPr>
              <w:t>-</w:t>
            </w:r>
          </w:p>
        </w:tc>
        <w:tc>
          <w:tcPr>
            <w:tcW w:w="840" w:type="dxa"/>
            <w:vAlign w:val="center"/>
          </w:tcPr>
          <w:p w14:paraId="48B37FB8" w14:textId="77777777" w:rsidR="00271E37" w:rsidRPr="00B51278" w:rsidRDefault="00271E37">
            <w:pPr>
              <w:rPr>
                <w:b/>
                <w:bCs/>
              </w:rPr>
            </w:pPr>
            <w:r>
              <w:rPr>
                <w:rFonts w:cs="Arial"/>
                <w:color w:val="000000"/>
                <w:szCs w:val="16"/>
              </w:rPr>
              <w:t>(173,723)</w:t>
            </w:r>
          </w:p>
        </w:tc>
        <w:tc>
          <w:tcPr>
            <w:tcW w:w="839" w:type="dxa"/>
            <w:vAlign w:val="center"/>
          </w:tcPr>
          <w:p w14:paraId="29379F1F" w14:textId="77777777" w:rsidR="00271E37" w:rsidRPr="008C0F83" w:rsidRDefault="00271E37">
            <w:r w:rsidRPr="008C0F83">
              <w:rPr>
                <w:rFonts w:cs="Arial"/>
                <w:color w:val="000000"/>
                <w:szCs w:val="16"/>
              </w:rPr>
              <w:t>(14,899)</w:t>
            </w:r>
          </w:p>
        </w:tc>
        <w:tc>
          <w:tcPr>
            <w:tcW w:w="839" w:type="dxa"/>
            <w:vAlign w:val="center"/>
          </w:tcPr>
          <w:p w14:paraId="55E0239B" w14:textId="77777777" w:rsidR="00271E37" w:rsidRPr="008C0F83" w:rsidRDefault="00271E37">
            <w:r>
              <w:rPr>
                <w:b/>
                <w:bCs/>
              </w:rPr>
              <w:t>-</w:t>
            </w:r>
          </w:p>
        </w:tc>
        <w:tc>
          <w:tcPr>
            <w:tcW w:w="839" w:type="dxa"/>
            <w:vAlign w:val="center"/>
          </w:tcPr>
          <w:p w14:paraId="12C2C5C2" w14:textId="77777777" w:rsidR="00271E37" w:rsidRPr="008C0F83" w:rsidRDefault="00271E37">
            <w:r>
              <w:rPr>
                <w:b/>
                <w:bCs/>
              </w:rPr>
              <w:t>-</w:t>
            </w:r>
          </w:p>
        </w:tc>
        <w:tc>
          <w:tcPr>
            <w:tcW w:w="1075" w:type="dxa"/>
            <w:vAlign w:val="center"/>
          </w:tcPr>
          <w:p w14:paraId="55294BC9" w14:textId="77777777" w:rsidR="00271E37" w:rsidRPr="008C0F83" w:rsidRDefault="00271E37">
            <w:r>
              <w:rPr>
                <w:rFonts w:cs="Arial"/>
                <w:color w:val="000000"/>
                <w:szCs w:val="16"/>
              </w:rPr>
              <w:t xml:space="preserve">188,622 </w:t>
            </w:r>
          </w:p>
        </w:tc>
        <w:tc>
          <w:tcPr>
            <w:tcW w:w="1016" w:type="dxa"/>
            <w:vAlign w:val="center"/>
          </w:tcPr>
          <w:p w14:paraId="2C4D5395" w14:textId="77777777" w:rsidR="00271E37" w:rsidRPr="00B51278" w:rsidRDefault="00271E37">
            <w:pPr>
              <w:rPr>
                <w:b/>
                <w:bCs/>
              </w:rPr>
            </w:pPr>
            <w:r>
              <w:rPr>
                <w:rFonts w:cs="Arial"/>
                <w:color w:val="000000"/>
                <w:szCs w:val="16"/>
              </w:rPr>
              <w:t xml:space="preserve"> - </w:t>
            </w:r>
          </w:p>
        </w:tc>
        <w:tc>
          <w:tcPr>
            <w:tcW w:w="839" w:type="dxa"/>
            <w:vAlign w:val="center"/>
          </w:tcPr>
          <w:p w14:paraId="2D8C54BF" w14:textId="77777777" w:rsidR="00271E37" w:rsidRPr="00B51278" w:rsidRDefault="00271E37">
            <w:pPr>
              <w:rPr>
                <w:b/>
                <w:bCs/>
              </w:rPr>
            </w:pPr>
            <w:r>
              <w:rPr>
                <w:b/>
                <w:bCs/>
              </w:rPr>
              <w:t>-</w:t>
            </w:r>
          </w:p>
        </w:tc>
        <w:tc>
          <w:tcPr>
            <w:tcW w:w="839" w:type="dxa"/>
            <w:vAlign w:val="center"/>
          </w:tcPr>
          <w:p w14:paraId="7B9BE026" w14:textId="77777777" w:rsidR="00271E37" w:rsidRPr="00B51278" w:rsidRDefault="00271E37">
            <w:pPr>
              <w:rPr>
                <w:b/>
                <w:bCs/>
              </w:rPr>
            </w:pPr>
            <w:r>
              <w:rPr>
                <w:rFonts w:cs="Arial"/>
                <w:color w:val="000000"/>
                <w:szCs w:val="16"/>
              </w:rPr>
              <w:t xml:space="preserve"> - </w:t>
            </w:r>
          </w:p>
        </w:tc>
      </w:tr>
      <w:tr w:rsidR="00271E37" w:rsidRPr="00425E0B" w14:paraId="09A0DF7E" w14:textId="77777777">
        <w:tc>
          <w:tcPr>
            <w:tcW w:w="1958" w:type="dxa"/>
          </w:tcPr>
          <w:p w14:paraId="7ACFB3FB" w14:textId="77777777" w:rsidR="00271E37" w:rsidRPr="00064D76" w:rsidRDefault="00271E37">
            <w:pPr>
              <w:jc w:val="left"/>
            </w:pPr>
            <w:r w:rsidRPr="00064D76">
              <w:t>Equity-settled share-based payments (note 2</w:t>
            </w:r>
            <w:r>
              <w:t>3</w:t>
            </w:r>
            <w:r w:rsidRPr="00064D76">
              <w:t xml:space="preserve">) </w:t>
            </w:r>
          </w:p>
        </w:tc>
        <w:tc>
          <w:tcPr>
            <w:tcW w:w="840" w:type="dxa"/>
            <w:vAlign w:val="center"/>
          </w:tcPr>
          <w:p w14:paraId="0D38AECE" w14:textId="77777777" w:rsidR="00271E37" w:rsidRPr="00B51278" w:rsidRDefault="00271E37">
            <w:pPr>
              <w:rPr>
                <w:b/>
                <w:bCs/>
              </w:rPr>
            </w:pPr>
            <w:r>
              <w:rPr>
                <w:b/>
                <w:bCs/>
              </w:rPr>
              <w:t>-</w:t>
            </w:r>
          </w:p>
        </w:tc>
        <w:tc>
          <w:tcPr>
            <w:tcW w:w="840" w:type="dxa"/>
            <w:vAlign w:val="center"/>
          </w:tcPr>
          <w:p w14:paraId="5296C9CF" w14:textId="77777777" w:rsidR="00271E37" w:rsidRPr="00B51278" w:rsidRDefault="00271E37">
            <w:pPr>
              <w:rPr>
                <w:b/>
                <w:bCs/>
              </w:rPr>
            </w:pPr>
            <w:r>
              <w:rPr>
                <w:b/>
                <w:bCs/>
              </w:rPr>
              <w:t>-</w:t>
            </w:r>
          </w:p>
        </w:tc>
        <w:tc>
          <w:tcPr>
            <w:tcW w:w="839" w:type="dxa"/>
            <w:vAlign w:val="center"/>
          </w:tcPr>
          <w:p w14:paraId="7DC8F425" w14:textId="77777777" w:rsidR="00271E37" w:rsidRPr="00B51278" w:rsidRDefault="00271E37">
            <w:pPr>
              <w:rPr>
                <w:b/>
                <w:bCs/>
              </w:rPr>
            </w:pPr>
            <w:r>
              <w:rPr>
                <w:b/>
                <w:bCs/>
              </w:rPr>
              <w:t>-</w:t>
            </w:r>
          </w:p>
        </w:tc>
        <w:tc>
          <w:tcPr>
            <w:tcW w:w="839" w:type="dxa"/>
            <w:vAlign w:val="center"/>
          </w:tcPr>
          <w:p w14:paraId="214B2980" w14:textId="77777777" w:rsidR="00271E37" w:rsidRPr="00B51278" w:rsidRDefault="00271E37">
            <w:pPr>
              <w:rPr>
                <w:b/>
                <w:bCs/>
              </w:rPr>
            </w:pPr>
            <w:r>
              <w:rPr>
                <w:b/>
                <w:bCs/>
              </w:rPr>
              <w:t>-</w:t>
            </w:r>
          </w:p>
        </w:tc>
        <w:tc>
          <w:tcPr>
            <w:tcW w:w="839" w:type="dxa"/>
            <w:vAlign w:val="center"/>
          </w:tcPr>
          <w:p w14:paraId="5B83E94B" w14:textId="77777777" w:rsidR="00271E37" w:rsidRPr="00B51278" w:rsidRDefault="00271E37">
            <w:pPr>
              <w:rPr>
                <w:b/>
                <w:bCs/>
              </w:rPr>
            </w:pPr>
            <w:r>
              <w:rPr>
                <w:b/>
                <w:bCs/>
              </w:rPr>
              <w:t>-</w:t>
            </w:r>
          </w:p>
        </w:tc>
        <w:tc>
          <w:tcPr>
            <w:tcW w:w="1075" w:type="dxa"/>
            <w:vAlign w:val="center"/>
          </w:tcPr>
          <w:p w14:paraId="6E99BB42" w14:textId="77777777" w:rsidR="00271E37" w:rsidRPr="00B51278" w:rsidRDefault="00271E37">
            <w:pPr>
              <w:rPr>
                <w:b/>
                <w:bCs/>
              </w:rPr>
            </w:pPr>
            <w:r>
              <w:rPr>
                <w:rFonts w:cs="Arial"/>
                <w:szCs w:val="16"/>
              </w:rPr>
              <w:t xml:space="preserve">628 </w:t>
            </w:r>
          </w:p>
        </w:tc>
        <w:tc>
          <w:tcPr>
            <w:tcW w:w="1016" w:type="dxa"/>
            <w:vAlign w:val="center"/>
          </w:tcPr>
          <w:p w14:paraId="1AB1CB17" w14:textId="77777777" w:rsidR="00271E37" w:rsidRPr="00B51278" w:rsidRDefault="00271E37">
            <w:pPr>
              <w:rPr>
                <w:b/>
                <w:bCs/>
              </w:rPr>
            </w:pPr>
            <w:r>
              <w:rPr>
                <w:rFonts w:cs="Arial"/>
                <w:color w:val="000000"/>
                <w:szCs w:val="16"/>
              </w:rPr>
              <w:t xml:space="preserve">628 </w:t>
            </w:r>
          </w:p>
        </w:tc>
        <w:tc>
          <w:tcPr>
            <w:tcW w:w="839" w:type="dxa"/>
            <w:vAlign w:val="center"/>
          </w:tcPr>
          <w:p w14:paraId="31C8EB6D" w14:textId="77777777" w:rsidR="00271E37" w:rsidRPr="00B51278" w:rsidRDefault="00271E37">
            <w:pPr>
              <w:rPr>
                <w:b/>
                <w:bCs/>
              </w:rPr>
            </w:pPr>
            <w:r>
              <w:rPr>
                <w:b/>
                <w:bCs/>
              </w:rPr>
              <w:t>-</w:t>
            </w:r>
          </w:p>
        </w:tc>
        <w:tc>
          <w:tcPr>
            <w:tcW w:w="839" w:type="dxa"/>
            <w:vAlign w:val="center"/>
          </w:tcPr>
          <w:p w14:paraId="03FC85AD" w14:textId="77777777" w:rsidR="00271E37" w:rsidRPr="00B51278" w:rsidRDefault="00271E37">
            <w:pPr>
              <w:rPr>
                <w:b/>
                <w:bCs/>
              </w:rPr>
            </w:pPr>
            <w:r>
              <w:rPr>
                <w:rFonts w:cs="Arial"/>
                <w:color w:val="000000"/>
                <w:szCs w:val="16"/>
              </w:rPr>
              <w:t xml:space="preserve">628 </w:t>
            </w:r>
          </w:p>
        </w:tc>
      </w:tr>
      <w:tr w:rsidR="00271E37" w:rsidRPr="00425E0B" w14:paraId="601D4A38" w14:textId="77777777">
        <w:tc>
          <w:tcPr>
            <w:tcW w:w="1958" w:type="dxa"/>
          </w:tcPr>
          <w:p w14:paraId="7BAAAD9A" w14:textId="77777777" w:rsidR="00271E37" w:rsidRPr="00064D76" w:rsidRDefault="00271E37">
            <w:pPr>
              <w:jc w:val="left"/>
            </w:pPr>
            <w:r w:rsidRPr="00F41376">
              <w:t>Cash settlement of share-based payments</w:t>
            </w:r>
          </w:p>
        </w:tc>
        <w:tc>
          <w:tcPr>
            <w:tcW w:w="840" w:type="dxa"/>
            <w:vAlign w:val="center"/>
          </w:tcPr>
          <w:p w14:paraId="5DD2DC10" w14:textId="77777777" w:rsidR="00271E37" w:rsidRPr="00B51278" w:rsidRDefault="00271E37">
            <w:pPr>
              <w:rPr>
                <w:b/>
                <w:bCs/>
              </w:rPr>
            </w:pPr>
            <w:r>
              <w:rPr>
                <w:b/>
                <w:bCs/>
              </w:rPr>
              <w:t>-</w:t>
            </w:r>
          </w:p>
        </w:tc>
        <w:tc>
          <w:tcPr>
            <w:tcW w:w="840" w:type="dxa"/>
            <w:vAlign w:val="center"/>
          </w:tcPr>
          <w:p w14:paraId="7D513A09" w14:textId="77777777" w:rsidR="00271E37" w:rsidRPr="00B51278" w:rsidRDefault="00271E37">
            <w:pPr>
              <w:rPr>
                <w:b/>
                <w:bCs/>
              </w:rPr>
            </w:pPr>
            <w:r>
              <w:rPr>
                <w:b/>
                <w:bCs/>
              </w:rPr>
              <w:t>-</w:t>
            </w:r>
          </w:p>
        </w:tc>
        <w:tc>
          <w:tcPr>
            <w:tcW w:w="839" w:type="dxa"/>
            <w:vAlign w:val="center"/>
          </w:tcPr>
          <w:p w14:paraId="302C5E83" w14:textId="77777777" w:rsidR="00271E37" w:rsidRPr="00B51278" w:rsidRDefault="00271E37">
            <w:pPr>
              <w:rPr>
                <w:b/>
                <w:bCs/>
              </w:rPr>
            </w:pPr>
            <w:r>
              <w:rPr>
                <w:b/>
                <w:bCs/>
              </w:rPr>
              <w:t>-</w:t>
            </w:r>
          </w:p>
        </w:tc>
        <w:tc>
          <w:tcPr>
            <w:tcW w:w="839" w:type="dxa"/>
            <w:vAlign w:val="center"/>
          </w:tcPr>
          <w:p w14:paraId="31328927" w14:textId="77777777" w:rsidR="00271E37" w:rsidRPr="00B51278" w:rsidRDefault="00271E37">
            <w:pPr>
              <w:rPr>
                <w:b/>
                <w:bCs/>
              </w:rPr>
            </w:pPr>
            <w:r>
              <w:rPr>
                <w:b/>
                <w:bCs/>
              </w:rPr>
              <w:t>-</w:t>
            </w:r>
          </w:p>
        </w:tc>
        <w:tc>
          <w:tcPr>
            <w:tcW w:w="839" w:type="dxa"/>
            <w:vAlign w:val="center"/>
          </w:tcPr>
          <w:p w14:paraId="7AC47488" w14:textId="77777777" w:rsidR="00271E37" w:rsidRPr="00B51278" w:rsidRDefault="00271E37">
            <w:pPr>
              <w:rPr>
                <w:b/>
                <w:bCs/>
              </w:rPr>
            </w:pPr>
            <w:r>
              <w:rPr>
                <w:b/>
                <w:bCs/>
              </w:rPr>
              <w:t>-</w:t>
            </w:r>
          </w:p>
        </w:tc>
        <w:tc>
          <w:tcPr>
            <w:tcW w:w="1075" w:type="dxa"/>
            <w:vAlign w:val="center"/>
          </w:tcPr>
          <w:p w14:paraId="5DB77DAA" w14:textId="77777777" w:rsidR="00271E37" w:rsidRDefault="00271E37">
            <w:pPr>
              <w:rPr>
                <w:rFonts w:cs="Arial"/>
                <w:szCs w:val="16"/>
              </w:rPr>
            </w:pPr>
            <w:r>
              <w:rPr>
                <w:rFonts w:cs="Arial"/>
                <w:szCs w:val="16"/>
              </w:rPr>
              <w:t>(245)</w:t>
            </w:r>
          </w:p>
        </w:tc>
        <w:tc>
          <w:tcPr>
            <w:tcW w:w="1016" w:type="dxa"/>
            <w:vAlign w:val="center"/>
          </w:tcPr>
          <w:p w14:paraId="635CD120" w14:textId="77777777" w:rsidR="00271E37" w:rsidRDefault="00271E37">
            <w:pPr>
              <w:rPr>
                <w:rFonts w:cs="Arial"/>
                <w:color w:val="000000"/>
                <w:szCs w:val="16"/>
              </w:rPr>
            </w:pPr>
            <w:r>
              <w:rPr>
                <w:rFonts w:cs="Arial"/>
                <w:color w:val="000000"/>
                <w:szCs w:val="16"/>
              </w:rPr>
              <w:t>(245)</w:t>
            </w:r>
          </w:p>
        </w:tc>
        <w:tc>
          <w:tcPr>
            <w:tcW w:w="839" w:type="dxa"/>
            <w:vAlign w:val="center"/>
          </w:tcPr>
          <w:p w14:paraId="7ACFA7D1" w14:textId="77777777" w:rsidR="00271E37" w:rsidRPr="00B51278" w:rsidRDefault="00271E37">
            <w:pPr>
              <w:rPr>
                <w:b/>
                <w:bCs/>
              </w:rPr>
            </w:pPr>
            <w:r>
              <w:rPr>
                <w:b/>
                <w:bCs/>
              </w:rPr>
              <w:t>-</w:t>
            </w:r>
          </w:p>
        </w:tc>
        <w:tc>
          <w:tcPr>
            <w:tcW w:w="839" w:type="dxa"/>
            <w:vAlign w:val="center"/>
          </w:tcPr>
          <w:p w14:paraId="0B65EC0C" w14:textId="77777777" w:rsidR="00271E37" w:rsidRDefault="00271E37">
            <w:pPr>
              <w:rPr>
                <w:rFonts w:cs="Arial"/>
                <w:color w:val="000000"/>
                <w:szCs w:val="16"/>
              </w:rPr>
            </w:pPr>
            <w:r>
              <w:rPr>
                <w:rFonts w:cs="Arial"/>
                <w:color w:val="000000"/>
                <w:szCs w:val="16"/>
              </w:rPr>
              <w:t>(245)</w:t>
            </w:r>
          </w:p>
        </w:tc>
      </w:tr>
      <w:tr w:rsidR="00271E37" w:rsidRPr="00425E0B" w14:paraId="4060F845" w14:textId="77777777">
        <w:trPr>
          <w:trHeight w:val="138"/>
        </w:trPr>
        <w:tc>
          <w:tcPr>
            <w:tcW w:w="1958" w:type="dxa"/>
            <w:tcBorders>
              <w:top w:val="single" w:sz="4" w:space="0" w:color="000000"/>
            </w:tcBorders>
          </w:tcPr>
          <w:p w14:paraId="5EB53995" w14:textId="77777777" w:rsidR="00271E37" w:rsidRPr="00DD777C" w:rsidRDefault="00271E37">
            <w:pPr>
              <w:jc w:val="left"/>
              <w:rPr>
                <w:b/>
                <w:bCs/>
              </w:rPr>
            </w:pPr>
            <w:r w:rsidRPr="00DD777C">
              <w:rPr>
                <w:b/>
                <w:bCs/>
              </w:rPr>
              <w:t>At 31 March 202</w:t>
            </w:r>
            <w:r>
              <w:rPr>
                <w:b/>
                <w:bCs/>
              </w:rPr>
              <w:t>6</w:t>
            </w:r>
          </w:p>
        </w:tc>
        <w:tc>
          <w:tcPr>
            <w:tcW w:w="840" w:type="dxa"/>
            <w:tcBorders>
              <w:top w:val="single" w:sz="4" w:space="0" w:color="000000"/>
            </w:tcBorders>
            <w:vAlign w:val="center"/>
          </w:tcPr>
          <w:p w14:paraId="696EF0E7" w14:textId="77777777" w:rsidR="00271E37" w:rsidRPr="00B51278" w:rsidRDefault="00271E37">
            <w:pPr>
              <w:rPr>
                <w:b/>
                <w:bCs/>
              </w:rPr>
            </w:pPr>
            <w:r>
              <w:rPr>
                <w:rFonts w:cs="Arial"/>
                <w:color w:val="000000"/>
                <w:szCs w:val="16"/>
              </w:rPr>
              <w:t xml:space="preserve">4,915 </w:t>
            </w:r>
          </w:p>
        </w:tc>
        <w:tc>
          <w:tcPr>
            <w:tcW w:w="840" w:type="dxa"/>
            <w:tcBorders>
              <w:top w:val="single" w:sz="4" w:space="0" w:color="000000"/>
            </w:tcBorders>
            <w:vAlign w:val="center"/>
          </w:tcPr>
          <w:p w14:paraId="601CBDB6" w14:textId="77777777" w:rsidR="00271E37" w:rsidRPr="00B51278" w:rsidRDefault="00271E37">
            <w:pPr>
              <w:rPr>
                <w:b/>
                <w:bCs/>
              </w:rPr>
            </w:pPr>
            <w:r>
              <w:rPr>
                <w:rFonts w:cs="Arial"/>
                <w:color w:val="000000"/>
                <w:szCs w:val="16"/>
              </w:rPr>
              <w:t xml:space="preserve"> - </w:t>
            </w:r>
          </w:p>
        </w:tc>
        <w:tc>
          <w:tcPr>
            <w:tcW w:w="839" w:type="dxa"/>
            <w:tcBorders>
              <w:top w:val="single" w:sz="4" w:space="0" w:color="000000"/>
            </w:tcBorders>
            <w:vAlign w:val="center"/>
          </w:tcPr>
          <w:p w14:paraId="49A6C941" w14:textId="77777777" w:rsidR="00271E37" w:rsidRPr="00B51278" w:rsidRDefault="00271E37">
            <w:pPr>
              <w:rPr>
                <w:b/>
                <w:bCs/>
              </w:rPr>
            </w:pPr>
            <w:r>
              <w:rPr>
                <w:rFonts w:cs="Arial"/>
                <w:color w:val="000000"/>
                <w:szCs w:val="16"/>
              </w:rPr>
              <w:t xml:space="preserve"> - </w:t>
            </w:r>
          </w:p>
        </w:tc>
        <w:tc>
          <w:tcPr>
            <w:tcW w:w="839" w:type="dxa"/>
            <w:tcBorders>
              <w:top w:val="single" w:sz="4" w:space="0" w:color="000000"/>
            </w:tcBorders>
            <w:vAlign w:val="center"/>
          </w:tcPr>
          <w:p w14:paraId="1E83B029" w14:textId="77777777" w:rsidR="00271E37" w:rsidRPr="00B51278" w:rsidRDefault="00271E37">
            <w:pPr>
              <w:rPr>
                <w:b/>
                <w:bCs/>
              </w:rPr>
            </w:pPr>
            <w:r>
              <w:rPr>
                <w:rFonts w:cs="Arial"/>
                <w:color w:val="000000"/>
                <w:szCs w:val="16"/>
              </w:rPr>
              <w:t xml:space="preserve">168 </w:t>
            </w:r>
          </w:p>
        </w:tc>
        <w:tc>
          <w:tcPr>
            <w:tcW w:w="839" w:type="dxa"/>
            <w:tcBorders>
              <w:top w:val="single" w:sz="4" w:space="0" w:color="000000"/>
            </w:tcBorders>
            <w:vAlign w:val="center"/>
          </w:tcPr>
          <w:p w14:paraId="3D09DDCD" w14:textId="77777777" w:rsidR="00271E37" w:rsidRPr="00D12C67" w:rsidRDefault="00271E37">
            <w:r>
              <w:t>6,543</w:t>
            </w:r>
          </w:p>
        </w:tc>
        <w:tc>
          <w:tcPr>
            <w:tcW w:w="1075" w:type="dxa"/>
            <w:tcBorders>
              <w:top w:val="single" w:sz="4" w:space="0" w:color="000000"/>
            </w:tcBorders>
            <w:vAlign w:val="center"/>
          </w:tcPr>
          <w:p w14:paraId="3E8ED132" w14:textId="77777777" w:rsidR="00271E37" w:rsidRPr="00D12C67" w:rsidRDefault="00271E37">
            <w:r>
              <w:rPr>
                <w:rFonts w:cs="Arial"/>
                <w:color w:val="000000"/>
                <w:szCs w:val="16"/>
              </w:rPr>
              <w:t>88,875</w:t>
            </w:r>
            <w:r w:rsidRPr="00D12C67">
              <w:rPr>
                <w:rFonts w:cs="Arial"/>
                <w:color w:val="000000"/>
                <w:szCs w:val="16"/>
              </w:rPr>
              <w:t xml:space="preserve"> </w:t>
            </w:r>
          </w:p>
        </w:tc>
        <w:tc>
          <w:tcPr>
            <w:tcW w:w="1016" w:type="dxa"/>
            <w:tcBorders>
              <w:top w:val="single" w:sz="4" w:space="0" w:color="000000"/>
            </w:tcBorders>
            <w:vAlign w:val="center"/>
          </w:tcPr>
          <w:p w14:paraId="07FC4F32" w14:textId="77777777" w:rsidR="00271E37" w:rsidRPr="00B51278" w:rsidRDefault="00271E37">
            <w:pPr>
              <w:rPr>
                <w:b/>
                <w:bCs/>
              </w:rPr>
            </w:pPr>
            <w:r>
              <w:rPr>
                <w:rFonts w:cs="Arial"/>
                <w:color w:val="000000"/>
                <w:szCs w:val="16"/>
              </w:rPr>
              <w:t>100,501</w:t>
            </w:r>
          </w:p>
        </w:tc>
        <w:tc>
          <w:tcPr>
            <w:tcW w:w="839" w:type="dxa"/>
            <w:tcBorders>
              <w:top w:val="single" w:sz="4" w:space="0" w:color="000000"/>
            </w:tcBorders>
            <w:vAlign w:val="center"/>
          </w:tcPr>
          <w:p w14:paraId="7576F772" w14:textId="77777777" w:rsidR="00271E37" w:rsidRPr="00B51278" w:rsidRDefault="00271E37">
            <w:pPr>
              <w:rPr>
                <w:b/>
                <w:bCs/>
              </w:rPr>
            </w:pPr>
            <w:r>
              <w:rPr>
                <w:rFonts w:cs="Arial"/>
                <w:color w:val="000000"/>
                <w:szCs w:val="16"/>
              </w:rPr>
              <w:t xml:space="preserve">6,076 </w:t>
            </w:r>
          </w:p>
        </w:tc>
        <w:tc>
          <w:tcPr>
            <w:tcW w:w="839" w:type="dxa"/>
            <w:tcBorders>
              <w:top w:val="single" w:sz="4" w:space="0" w:color="000000"/>
            </w:tcBorders>
            <w:vAlign w:val="center"/>
          </w:tcPr>
          <w:p w14:paraId="6FFFB8C9" w14:textId="77777777" w:rsidR="00271E37" w:rsidRPr="00B51278" w:rsidRDefault="00271E37">
            <w:pPr>
              <w:rPr>
                <w:b/>
                <w:bCs/>
              </w:rPr>
            </w:pPr>
            <w:r>
              <w:rPr>
                <w:rFonts w:cs="Arial"/>
                <w:color w:val="000000"/>
                <w:szCs w:val="16"/>
              </w:rPr>
              <w:t xml:space="preserve">106,577 </w:t>
            </w:r>
          </w:p>
        </w:tc>
      </w:tr>
    </w:tbl>
    <w:p w14:paraId="632155A4" w14:textId="77777777" w:rsidR="00271E37" w:rsidRDefault="00271E37" w:rsidP="002E39D4"/>
    <w:p w14:paraId="10DF67F9" w14:textId="50E91B7A" w:rsidR="00271E37" w:rsidRPr="009A5EED" w:rsidRDefault="00271E37">
      <w:r w:rsidRPr="009A5EED">
        <w:t>On 12 March 2026</w:t>
      </w:r>
      <w:r w:rsidR="002071E3">
        <w:t>,</w:t>
      </w:r>
      <w:r w:rsidRPr="009A5EED">
        <w:t xml:space="preserve"> the Company completed a capital reorganisation. The transactions related solely to movements between </w:t>
      </w:r>
      <w:r w:rsidR="00BB246C">
        <w:t>P</w:t>
      </w:r>
      <w:r w:rsidRPr="009A5EED">
        <w:t xml:space="preserve">arent </w:t>
      </w:r>
      <w:r w:rsidR="00BB246C">
        <w:t>C</w:t>
      </w:r>
      <w:r w:rsidRPr="009A5EED">
        <w:t xml:space="preserve">ompany equity reserves and had no effect on total </w:t>
      </w:r>
      <w:r w:rsidR="00637867">
        <w:t>s</w:t>
      </w:r>
      <w:r>
        <w:t>hareholders’</w:t>
      </w:r>
      <w:r w:rsidRPr="009A5EED">
        <w:t xml:space="preserve"> equity</w:t>
      </w:r>
      <w:r>
        <w:t xml:space="preserve">. </w:t>
      </w:r>
    </w:p>
    <w:p w14:paraId="65A46471" w14:textId="77777777" w:rsidR="00271E37" w:rsidRDefault="00271E37" w:rsidP="002E39D4">
      <w:pPr>
        <w:rPr>
          <w:b/>
          <w:bCs/>
        </w:rPr>
      </w:pPr>
    </w:p>
    <w:p w14:paraId="6EAE2A99" w14:textId="77777777" w:rsidR="00271E37" w:rsidRPr="00DD777C" w:rsidRDefault="00271E37" w:rsidP="002E39D4">
      <w:pPr>
        <w:rPr>
          <w:b/>
          <w:bCs/>
        </w:rPr>
      </w:pPr>
      <w:r w:rsidRPr="00DD777C">
        <w:rPr>
          <w:b/>
          <w:bCs/>
        </w:rPr>
        <w:t>Merger reserve</w:t>
      </w:r>
    </w:p>
    <w:p w14:paraId="6DCF5E7A" w14:textId="4B390AF6" w:rsidR="005749C1" w:rsidRPr="005749C1" w:rsidRDefault="005749C1" w:rsidP="005749C1">
      <w:r w:rsidRPr="005749C1">
        <w:t>The merger reserve comprised premium on shares issued in relation to business combinations. In the year, £17.5</w:t>
      </w:r>
      <w:r w:rsidR="00DB60D8">
        <w:t xml:space="preserve"> </w:t>
      </w:r>
      <w:r w:rsidRPr="005749C1">
        <w:t>m</w:t>
      </w:r>
      <w:r w:rsidR="00DB60D8">
        <w:t>illion</w:t>
      </w:r>
      <w:r w:rsidRPr="005749C1">
        <w:t xml:space="preserve"> of merger reserve was reclassified to retained earnings on disposal of DG Americas, and a further £14.9</w:t>
      </w:r>
      <w:r w:rsidR="00DB60D8">
        <w:t xml:space="preserve"> </w:t>
      </w:r>
      <w:r w:rsidRPr="005749C1">
        <w:t>m</w:t>
      </w:r>
      <w:r w:rsidR="0045207B">
        <w:t>illion</w:t>
      </w:r>
      <w:r w:rsidRPr="005749C1">
        <w:t xml:space="preserve"> was reclassified to retained earnings as part of the capital reorganisation, resulting in a nil balance at 31 March 2026.</w:t>
      </w:r>
    </w:p>
    <w:p w14:paraId="1E4F41F5" w14:textId="77777777" w:rsidR="00271E37" w:rsidRDefault="00271E37" w:rsidP="002E39D4"/>
    <w:p w14:paraId="61A22107" w14:textId="77777777" w:rsidR="00271E37" w:rsidRPr="00DD777C" w:rsidRDefault="00271E37" w:rsidP="002E39D4">
      <w:pPr>
        <w:rPr>
          <w:b/>
          <w:bCs/>
        </w:rPr>
      </w:pPr>
      <w:r w:rsidRPr="00DD777C">
        <w:rPr>
          <w:b/>
          <w:bCs/>
        </w:rPr>
        <w:t>Capital redemption reserve</w:t>
      </w:r>
    </w:p>
    <w:p w14:paraId="23D9FF42" w14:textId="5977A2A9" w:rsidR="00271E37" w:rsidRDefault="00271E37" w:rsidP="002E39D4">
      <w:r>
        <w:t xml:space="preserve">The capital redemption reserve comprised amounts transferred from retained earnings in relation to the redemption of preference shares. The amount </w:t>
      </w:r>
      <w:r w:rsidRPr="00A644A3">
        <w:t>of £</w:t>
      </w:r>
      <w:r w:rsidRPr="00904B42">
        <w:t>1.3</w:t>
      </w:r>
      <w:r w:rsidRPr="00A644A3">
        <w:t xml:space="preserve"> million</w:t>
      </w:r>
      <w:r>
        <w:t xml:space="preserve"> relating to the capital redemption reserve included within the share premium and capital redemption reserve in the balances at the beginning of the financial year was transferred to </w:t>
      </w:r>
      <w:r w:rsidR="006847D3">
        <w:t>r</w:t>
      </w:r>
      <w:r>
        <w:t>etained earnings/</w:t>
      </w:r>
      <w:r w:rsidR="006847D3">
        <w:t>a</w:t>
      </w:r>
      <w:r>
        <w:t>ccumulated losses.</w:t>
      </w:r>
    </w:p>
    <w:p w14:paraId="7D224829" w14:textId="77777777" w:rsidR="00271E37" w:rsidRDefault="00271E37" w:rsidP="002E39D4"/>
    <w:p w14:paraId="27374E26" w14:textId="77777777" w:rsidR="00271E37" w:rsidRPr="00DD777C" w:rsidRDefault="00271E37" w:rsidP="002E39D4">
      <w:pPr>
        <w:rPr>
          <w:b/>
          <w:bCs/>
        </w:rPr>
      </w:pPr>
      <w:r w:rsidRPr="00DD777C">
        <w:rPr>
          <w:b/>
          <w:bCs/>
        </w:rPr>
        <w:t>Hedging reserve</w:t>
      </w:r>
    </w:p>
    <w:p w14:paraId="0FBDC806" w14:textId="77777777" w:rsidR="00271E37" w:rsidRDefault="00271E37" w:rsidP="002E39D4">
      <w:r>
        <w:t>The hedging reserve comprises the effective portion of the cumulative net change in the fair value of cash flow hedging instruments related to hedged transactions that qualify for hedge accounting and have not yet matured.</w:t>
      </w:r>
    </w:p>
    <w:p w14:paraId="7EAF34D7" w14:textId="77777777" w:rsidR="00271E37" w:rsidRDefault="00271E37" w:rsidP="002E39D4"/>
    <w:p w14:paraId="228B11D2" w14:textId="77777777" w:rsidR="00271E37" w:rsidRPr="00DD777C" w:rsidRDefault="00271E37" w:rsidP="002E39D4">
      <w:pPr>
        <w:rPr>
          <w:b/>
          <w:bCs/>
        </w:rPr>
      </w:pPr>
      <w:r w:rsidRPr="00DD777C">
        <w:rPr>
          <w:b/>
          <w:bCs/>
        </w:rPr>
        <w:t>Translation reserve</w:t>
      </w:r>
    </w:p>
    <w:p w14:paraId="4C37668D" w14:textId="77777777" w:rsidR="00271E37" w:rsidRDefault="00271E37" w:rsidP="002E39D4">
      <w:r>
        <w:t>The translation reserve comprises all foreign currency differences arising from the translation of the financial statements of foreign operations.</w:t>
      </w:r>
    </w:p>
    <w:p w14:paraId="04661115" w14:textId="77777777" w:rsidR="00271E37" w:rsidRDefault="00271E37" w:rsidP="002E39D4"/>
    <w:p w14:paraId="5AAA0EA5" w14:textId="77777777" w:rsidR="00271E37" w:rsidRPr="00DD777C" w:rsidRDefault="00271E37" w:rsidP="002E39D4">
      <w:pPr>
        <w:rPr>
          <w:b/>
          <w:bCs/>
        </w:rPr>
      </w:pPr>
      <w:r w:rsidRPr="00DD777C">
        <w:rPr>
          <w:b/>
          <w:bCs/>
        </w:rPr>
        <w:t>Shareholders’ equity</w:t>
      </w:r>
    </w:p>
    <w:p w14:paraId="4900BCBD" w14:textId="77777777" w:rsidR="00271E37" w:rsidRDefault="00271E37" w:rsidP="002E39D4">
      <w:r>
        <w:t>Shareholders’ equity represents total equity attributable to owners of the Parent Company.</w:t>
      </w:r>
    </w:p>
    <w:p w14:paraId="3C556E9C" w14:textId="77777777" w:rsidR="00271E37" w:rsidRDefault="00271E37">
      <w:r>
        <w:br w:type="page"/>
      </w:r>
    </w:p>
    <w:p w14:paraId="3481293E" w14:textId="77777777" w:rsidR="00271E37" w:rsidRDefault="00271E37" w:rsidP="002E39D4"/>
    <w:p w14:paraId="5A180FCE" w14:textId="77777777" w:rsidR="00271E37" w:rsidRDefault="00271E37" w:rsidP="002E39D4">
      <w:r>
        <w:t> </w:t>
      </w:r>
    </w:p>
    <w:tbl>
      <w:tblPr>
        <w:tblStyle w:val="tableDUL"/>
        <w:tblW w:w="9782" w:type="dxa"/>
        <w:tblLayout w:type="fixed"/>
        <w:tblLook w:val="04A0" w:firstRow="1" w:lastRow="0" w:firstColumn="1" w:lastColumn="0" w:noHBand="0" w:noVBand="1"/>
      </w:tblPr>
      <w:tblGrid>
        <w:gridCol w:w="1985"/>
        <w:gridCol w:w="851"/>
        <w:gridCol w:w="851"/>
        <w:gridCol w:w="851"/>
        <w:gridCol w:w="851"/>
        <w:gridCol w:w="851"/>
        <w:gridCol w:w="990"/>
        <w:gridCol w:w="992"/>
        <w:gridCol w:w="850"/>
        <w:gridCol w:w="710"/>
      </w:tblGrid>
      <w:tr w:rsidR="00ED0032" w:rsidRPr="00064D76" w14:paraId="39AA1ADC" w14:textId="77777777" w:rsidTr="00B931EC">
        <w:trPr>
          <w:trHeight w:hRule="exact" w:val="20"/>
        </w:trPr>
        <w:tc>
          <w:tcPr>
            <w:tcW w:w="1985" w:type="dxa"/>
            <w:tcBorders>
              <w:top w:val="nil"/>
              <w:left w:val="nil"/>
              <w:bottom w:val="nil"/>
              <w:right w:val="nil"/>
            </w:tcBorders>
          </w:tcPr>
          <w:p w14:paraId="4852AF4C" w14:textId="77777777" w:rsidR="00ED0032" w:rsidRDefault="00ED0032">
            <w:pPr>
              <w:rPr>
                <w:sz w:val="2"/>
              </w:rPr>
            </w:pPr>
            <w:bookmarkStart w:id="26" w:name="_06733c0c_d612_454e_b300_f004a3d7e6eb"/>
            <w:bookmarkStart w:id="27" w:name="_19df3c1e_3356_429e_b337_fd08583efe61"/>
            <w:bookmarkEnd w:id="26"/>
          </w:p>
        </w:tc>
        <w:tc>
          <w:tcPr>
            <w:tcW w:w="851" w:type="dxa"/>
            <w:tcBorders>
              <w:top w:val="nil"/>
              <w:left w:val="nil"/>
              <w:bottom w:val="nil"/>
              <w:right w:val="nil"/>
            </w:tcBorders>
            <w:vAlign w:val="bottom"/>
          </w:tcPr>
          <w:p w14:paraId="271BD9F7" w14:textId="77777777" w:rsidR="00ED0032" w:rsidRPr="00064D76" w:rsidRDefault="00ED0032"/>
          <w:p w14:paraId="7285AD06" w14:textId="77777777" w:rsidR="00ED0032" w:rsidRDefault="00ED0032">
            <w:pPr>
              <w:rPr>
                <w:sz w:val="2"/>
              </w:rPr>
            </w:pPr>
          </w:p>
        </w:tc>
        <w:tc>
          <w:tcPr>
            <w:tcW w:w="851" w:type="dxa"/>
            <w:tcBorders>
              <w:top w:val="nil"/>
              <w:left w:val="nil"/>
              <w:bottom w:val="nil"/>
              <w:right w:val="nil"/>
            </w:tcBorders>
            <w:vAlign w:val="bottom"/>
          </w:tcPr>
          <w:p w14:paraId="0D4BA649" w14:textId="77777777" w:rsidR="00ED0032" w:rsidRDefault="00ED0032">
            <w:pPr>
              <w:rPr>
                <w:sz w:val="2"/>
              </w:rPr>
            </w:pPr>
          </w:p>
        </w:tc>
        <w:tc>
          <w:tcPr>
            <w:tcW w:w="851" w:type="dxa"/>
            <w:tcBorders>
              <w:top w:val="nil"/>
              <w:left w:val="nil"/>
              <w:bottom w:val="nil"/>
              <w:right w:val="nil"/>
            </w:tcBorders>
            <w:vAlign w:val="bottom"/>
          </w:tcPr>
          <w:p w14:paraId="2A36EF99" w14:textId="77777777" w:rsidR="00ED0032" w:rsidRDefault="00ED0032">
            <w:pPr>
              <w:rPr>
                <w:sz w:val="2"/>
              </w:rPr>
            </w:pPr>
          </w:p>
        </w:tc>
        <w:tc>
          <w:tcPr>
            <w:tcW w:w="851" w:type="dxa"/>
            <w:tcBorders>
              <w:top w:val="nil"/>
              <w:left w:val="nil"/>
              <w:bottom w:val="nil"/>
              <w:right w:val="nil"/>
            </w:tcBorders>
            <w:vAlign w:val="bottom"/>
          </w:tcPr>
          <w:p w14:paraId="18929973" w14:textId="77777777" w:rsidR="00ED0032" w:rsidRDefault="00ED0032">
            <w:pPr>
              <w:rPr>
                <w:sz w:val="2"/>
              </w:rPr>
            </w:pPr>
          </w:p>
        </w:tc>
        <w:tc>
          <w:tcPr>
            <w:tcW w:w="851" w:type="dxa"/>
            <w:tcBorders>
              <w:top w:val="nil"/>
              <w:left w:val="nil"/>
              <w:bottom w:val="nil"/>
              <w:right w:val="nil"/>
            </w:tcBorders>
            <w:vAlign w:val="bottom"/>
          </w:tcPr>
          <w:p w14:paraId="4B159496" w14:textId="77777777" w:rsidR="00ED0032" w:rsidRDefault="00ED0032">
            <w:pPr>
              <w:rPr>
                <w:sz w:val="2"/>
              </w:rPr>
            </w:pPr>
          </w:p>
        </w:tc>
        <w:tc>
          <w:tcPr>
            <w:tcW w:w="990" w:type="dxa"/>
            <w:tcBorders>
              <w:top w:val="nil"/>
              <w:left w:val="nil"/>
              <w:bottom w:val="nil"/>
              <w:right w:val="nil"/>
            </w:tcBorders>
            <w:vAlign w:val="bottom"/>
          </w:tcPr>
          <w:p w14:paraId="15F22718" w14:textId="77777777" w:rsidR="00ED0032" w:rsidRDefault="00ED0032">
            <w:pPr>
              <w:rPr>
                <w:sz w:val="2"/>
              </w:rPr>
            </w:pPr>
          </w:p>
        </w:tc>
        <w:tc>
          <w:tcPr>
            <w:tcW w:w="992" w:type="dxa"/>
            <w:tcBorders>
              <w:top w:val="nil"/>
              <w:left w:val="nil"/>
              <w:bottom w:val="nil"/>
              <w:right w:val="nil"/>
            </w:tcBorders>
            <w:vAlign w:val="bottom"/>
          </w:tcPr>
          <w:p w14:paraId="05D28D14" w14:textId="77777777" w:rsidR="00ED0032" w:rsidRDefault="00ED0032">
            <w:pPr>
              <w:rPr>
                <w:sz w:val="2"/>
              </w:rPr>
            </w:pPr>
          </w:p>
        </w:tc>
        <w:tc>
          <w:tcPr>
            <w:tcW w:w="850" w:type="dxa"/>
            <w:tcBorders>
              <w:top w:val="nil"/>
              <w:left w:val="nil"/>
              <w:bottom w:val="nil"/>
              <w:right w:val="nil"/>
            </w:tcBorders>
            <w:vAlign w:val="bottom"/>
          </w:tcPr>
          <w:p w14:paraId="797AE512" w14:textId="77777777" w:rsidR="00ED0032" w:rsidRDefault="00ED0032">
            <w:pPr>
              <w:rPr>
                <w:sz w:val="2"/>
              </w:rPr>
            </w:pPr>
          </w:p>
        </w:tc>
        <w:tc>
          <w:tcPr>
            <w:tcW w:w="710" w:type="dxa"/>
            <w:tcBorders>
              <w:top w:val="nil"/>
              <w:left w:val="nil"/>
              <w:bottom w:val="nil"/>
              <w:right w:val="nil"/>
            </w:tcBorders>
            <w:vAlign w:val="bottom"/>
          </w:tcPr>
          <w:p w14:paraId="7AB2D534" w14:textId="77777777" w:rsidR="00ED0032" w:rsidRDefault="00ED0032">
            <w:pPr>
              <w:rPr>
                <w:sz w:val="2"/>
              </w:rPr>
            </w:pPr>
          </w:p>
        </w:tc>
      </w:tr>
      <w:tr w:rsidR="00ED0032" w:rsidRPr="00064D76" w14:paraId="4D7E75F8" w14:textId="77777777" w:rsidTr="00B931EC">
        <w:tc>
          <w:tcPr>
            <w:tcW w:w="1985" w:type="dxa"/>
          </w:tcPr>
          <w:p w14:paraId="4DD54436" w14:textId="77777777" w:rsidR="00ED0032" w:rsidRPr="00064D76" w:rsidRDefault="00ED0032">
            <w:pPr>
              <w:jc w:val="left"/>
            </w:pPr>
          </w:p>
        </w:tc>
        <w:tc>
          <w:tcPr>
            <w:tcW w:w="5245" w:type="dxa"/>
            <w:gridSpan w:val="6"/>
            <w:tcBorders>
              <w:bottom w:val="single" w:sz="4" w:space="0" w:color="auto"/>
            </w:tcBorders>
          </w:tcPr>
          <w:p w14:paraId="09A6A0BD" w14:textId="77777777" w:rsidR="00ED0032" w:rsidRPr="00064D76" w:rsidRDefault="00ED0032">
            <w:pPr>
              <w:jc w:val="center"/>
            </w:pPr>
            <w:r w:rsidRPr="00064D76">
              <w:t>Attributable to the owners of the Parent Company</w:t>
            </w:r>
          </w:p>
        </w:tc>
        <w:tc>
          <w:tcPr>
            <w:tcW w:w="992" w:type="dxa"/>
            <w:tcBorders>
              <w:bottom w:val="single" w:sz="4" w:space="0" w:color="auto"/>
            </w:tcBorders>
          </w:tcPr>
          <w:p w14:paraId="58713352" w14:textId="77777777" w:rsidR="00ED0032" w:rsidRPr="00064D76" w:rsidRDefault="00ED0032"/>
        </w:tc>
        <w:tc>
          <w:tcPr>
            <w:tcW w:w="850" w:type="dxa"/>
          </w:tcPr>
          <w:p w14:paraId="09CAC7A1" w14:textId="77777777" w:rsidR="00ED0032" w:rsidRPr="00064D76" w:rsidRDefault="00ED0032"/>
        </w:tc>
        <w:tc>
          <w:tcPr>
            <w:tcW w:w="710" w:type="dxa"/>
          </w:tcPr>
          <w:p w14:paraId="4359221C" w14:textId="77777777" w:rsidR="00ED0032" w:rsidRPr="00064D76" w:rsidRDefault="00ED0032"/>
        </w:tc>
      </w:tr>
      <w:tr w:rsidR="00ED0032" w:rsidRPr="00064D76" w14:paraId="5A563E41" w14:textId="77777777" w:rsidTr="00B931EC">
        <w:tc>
          <w:tcPr>
            <w:tcW w:w="1985" w:type="dxa"/>
            <w:tcBorders>
              <w:bottom w:val="nil"/>
            </w:tcBorders>
          </w:tcPr>
          <w:p w14:paraId="07809738" w14:textId="77777777" w:rsidR="00ED0032" w:rsidRPr="00064D76" w:rsidRDefault="00ED0032">
            <w:pPr>
              <w:jc w:val="left"/>
            </w:pPr>
          </w:p>
        </w:tc>
        <w:tc>
          <w:tcPr>
            <w:tcW w:w="851" w:type="dxa"/>
            <w:tcBorders>
              <w:top w:val="single" w:sz="4" w:space="0" w:color="auto"/>
              <w:bottom w:val="nil"/>
            </w:tcBorders>
            <w:vAlign w:val="bottom"/>
          </w:tcPr>
          <w:p w14:paraId="6B35F6F0" w14:textId="77777777" w:rsidR="00ED0032" w:rsidRDefault="00ED0032">
            <w:r w:rsidRPr="00064D76">
              <w:t xml:space="preserve">Share </w:t>
            </w:r>
          </w:p>
          <w:p w14:paraId="104F4CDA" w14:textId="77777777" w:rsidR="00ED0032" w:rsidRPr="00064D76" w:rsidRDefault="00ED0032">
            <w:r w:rsidRPr="00064D76">
              <w:t xml:space="preserve">capital </w:t>
            </w:r>
          </w:p>
        </w:tc>
        <w:tc>
          <w:tcPr>
            <w:tcW w:w="851" w:type="dxa"/>
            <w:tcBorders>
              <w:top w:val="single" w:sz="4" w:space="0" w:color="auto"/>
              <w:bottom w:val="nil"/>
            </w:tcBorders>
            <w:vAlign w:val="bottom"/>
          </w:tcPr>
          <w:p w14:paraId="4D43FDD1" w14:textId="77777777" w:rsidR="00ED0032" w:rsidRPr="00064D76" w:rsidRDefault="00ED0032">
            <w:r w:rsidRPr="00064D76">
              <w:t>Share premium and capital redemption reserv</w:t>
            </w:r>
            <w:r>
              <w:t>e</w:t>
            </w:r>
          </w:p>
        </w:tc>
        <w:tc>
          <w:tcPr>
            <w:tcW w:w="851" w:type="dxa"/>
            <w:tcBorders>
              <w:top w:val="single" w:sz="4" w:space="0" w:color="auto"/>
              <w:bottom w:val="nil"/>
            </w:tcBorders>
            <w:vAlign w:val="bottom"/>
          </w:tcPr>
          <w:p w14:paraId="446D24B9" w14:textId="77777777" w:rsidR="00ED0032" w:rsidRPr="00064D76" w:rsidRDefault="00ED0032">
            <w:r w:rsidRPr="00064D76">
              <w:t>Merger reserve</w:t>
            </w:r>
          </w:p>
        </w:tc>
        <w:tc>
          <w:tcPr>
            <w:tcW w:w="851" w:type="dxa"/>
            <w:tcBorders>
              <w:top w:val="single" w:sz="4" w:space="0" w:color="auto"/>
              <w:bottom w:val="nil"/>
            </w:tcBorders>
            <w:vAlign w:val="bottom"/>
          </w:tcPr>
          <w:p w14:paraId="2A26B955" w14:textId="77777777" w:rsidR="00ED0032" w:rsidRPr="00064D76" w:rsidRDefault="00ED0032">
            <w:r w:rsidRPr="00064D76">
              <w:t>Hedging reserv</w:t>
            </w:r>
            <w:r>
              <w:t>e</w:t>
            </w:r>
          </w:p>
        </w:tc>
        <w:tc>
          <w:tcPr>
            <w:tcW w:w="851" w:type="dxa"/>
            <w:tcBorders>
              <w:top w:val="single" w:sz="4" w:space="0" w:color="auto"/>
              <w:bottom w:val="nil"/>
            </w:tcBorders>
            <w:vAlign w:val="bottom"/>
          </w:tcPr>
          <w:p w14:paraId="2AA0A97A" w14:textId="77777777" w:rsidR="00ED0032" w:rsidRPr="00064D76" w:rsidRDefault="00ED0032">
            <w:r w:rsidRPr="00064D76">
              <w:t>Translation reserve</w:t>
            </w:r>
          </w:p>
        </w:tc>
        <w:tc>
          <w:tcPr>
            <w:tcW w:w="990" w:type="dxa"/>
            <w:tcBorders>
              <w:top w:val="single" w:sz="4" w:space="0" w:color="auto"/>
              <w:bottom w:val="nil"/>
            </w:tcBorders>
            <w:vAlign w:val="bottom"/>
          </w:tcPr>
          <w:p w14:paraId="74344458" w14:textId="77777777" w:rsidR="009B551A" w:rsidRDefault="009B551A" w:rsidP="009B551A">
            <w:r w:rsidRPr="00064D76">
              <w:t>Retained earnings</w:t>
            </w:r>
            <w:r>
              <w:t>/</w:t>
            </w:r>
          </w:p>
          <w:p w14:paraId="70927E9D" w14:textId="5DA8104C" w:rsidR="00ED0032" w:rsidRPr="00064D76" w:rsidRDefault="009B551A">
            <w:r>
              <w:t>(Accumulated losses)</w:t>
            </w:r>
          </w:p>
        </w:tc>
        <w:tc>
          <w:tcPr>
            <w:tcW w:w="992" w:type="dxa"/>
            <w:tcBorders>
              <w:top w:val="single" w:sz="4" w:space="0" w:color="auto"/>
              <w:bottom w:val="nil"/>
            </w:tcBorders>
            <w:vAlign w:val="bottom"/>
          </w:tcPr>
          <w:p w14:paraId="3F10504F" w14:textId="77777777" w:rsidR="00ED0032" w:rsidRPr="00064D76" w:rsidRDefault="00ED0032">
            <w:r w:rsidRPr="00064D76">
              <w:t>Shareholders’</w:t>
            </w:r>
            <w:r>
              <w:t xml:space="preserve"> </w:t>
            </w:r>
            <w:r w:rsidRPr="00064D76">
              <w:t xml:space="preserve">equity </w:t>
            </w:r>
          </w:p>
        </w:tc>
        <w:tc>
          <w:tcPr>
            <w:tcW w:w="850" w:type="dxa"/>
            <w:tcBorders>
              <w:bottom w:val="nil"/>
            </w:tcBorders>
            <w:vAlign w:val="bottom"/>
          </w:tcPr>
          <w:p w14:paraId="6FE5C987" w14:textId="77777777" w:rsidR="00ED0032" w:rsidRPr="00064D76" w:rsidRDefault="00ED0032">
            <w:r w:rsidRPr="00064D76">
              <w:t>Non</w:t>
            </w:r>
            <w:r>
              <w:t>-</w:t>
            </w:r>
            <w:r w:rsidRPr="00064D76">
              <w:t xml:space="preserve">controlling interests </w:t>
            </w:r>
          </w:p>
        </w:tc>
        <w:tc>
          <w:tcPr>
            <w:tcW w:w="710" w:type="dxa"/>
            <w:tcBorders>
              <w:bottom w:val="nil"/>
            </w:tcBorders>
            <w:vAlign w:val="bottom"/>
          </w:tcPr>
          <w:p w14:paraId="5D713049" w14:textId="77777777" w:rsidR="00ED0032" w:rsidRPr="00064D76" w:rsidRDefault="00ED0032">
            <w:r w:rsidRPr="00064D76">
              <w:t>Total</w:t>
            </w:r>
          </w:p>
        </w:tc>
      </w:tr>
      <w:tr w:rsidR="00ED0032" w:rsidRPr="00064D76" w14:paraId="2999DB26" w14:textId="77777777" w:rsidTr="00B931EC">
        <w:tc>
          <w:tcPr>
            <w:tcW w:w="1985" w:type="dxa"/>
            <w:tcBorders>
              <w:top w:val="nil"/>
              <w:bottom w:val="single" w:sz="4" w:space="0" w:color="000000"/>
            </w:tcBorders>
          </w:tcPr>
          <w:p w14:paraId="399F265F" w14:textId="77777777" w:rsidR="00ED0032" w:rsidRPr="00064D76" w:rsidRDefault="00ED0032"/>
        </w:tc>
        <w:tc>
          <w:tcPr>
            <w:tcW w:w="851" w:type="dxa"/>
            <w:tcBorders>
              <w:top w:val="nil"/>
              <w:bottom w:val="single" w:sz="4" w:space="0" w:color="000000"/>
            </w:tcBorders>
            <w:vAlign w:val="bottom"/>
          </w:tcPr>
          <w:p w14:paraId="298FCD6D" w14:textId="77777777" w:rsidR="00ED0032" w:rsidRPr="00064D76" w:rsidRDefault="00ED0032">
            <w:r>
              <w:t>£000</w:t>
            </w:r>
          </w:p>
        </w:tc>
        <w:tc>
          <w:tcPr>
            <w:tcW w:w="851" w:type="dxa"/>
            <w:tcBorders>
              <w:top w:val="nil"/>
              <w:bottom w:val="single" w:sz="4" w:space="0" w:color="000000"/>
            </w:tcBorders>
            <w:vAlign w:val="bottom"/>
          </w:tcPr>
          <w:p w14:paraId="0CC889F2" w14:textId="77777777" w:rsidR="00ED0032" w:rsidRPr="00064D76" w:rsidRDefault="00ED0032">
            <w:r>
              <w:t>£000</w:t>
            </w:r>
          </w:p>
        </w:tc>
        <w:tc>
          <w:tcPr>
            <w:tcW w:w="851" w:type="dxa"/>
            <w:tcBorders>
              <w:top w:val="nil"/>
              <w:bottom w:val="single" w:sz="4" w:space="0" w:color="000000"/>
            </w:tcBorders>
            <w:vAlign w:val="bottom"/>
          </w:tcPr>
          <w:p w14:paraId="0460B700" w14:textId="77777777" w:rsidR="00ED0032" w:rsidRPr="00064D76" w:rsidRDefault="00ED0032">
            <w:r>
              <w:t>£000</w:t>
            </w:r>
          </w:p>
        </w:tc>
        <w:tc>
          <w:tcPr>
            <w:tcW w:w="851" w:type="dxa"/>
            <w:tcBorders>
              <w:top w:val="nil"/>
              <w:bottom w:val="single" w:sz="4" w:space="0" w:color="000000"/>
            </w:tcBorders>
            <w:vAlign w:val="bottom"/>
          </w:tcPr>
          <w:p w14:paraId="0D592351" w14:textId="77777777" w:rsidR="00ED0032" w:rsidRPr="00064D76" w:rsidRDefault="00ED0032">
            <w:r>
              <w:t>£000</w:t>
            </w:r>
          </w:p>
        </w:tc>
        <w:tc>
          <w:tcPr>
            <w:tcW w:w="851" w:type="dxa"/>
            <w:tcBorders>
              <w:top w:val="nil"/>
              <w:bottom w:val="single" w:sz="4" w:space="0" w:color="000000"/>
            </w:tcBorders>
            <w:vAlign w:val="bottom"/>
          </w:tcPr>
          <w:p w14:paraId="2FAC8343" w14:textId="77777777" w:rsidR="00ED0032" w:rsidRPr="00064D76" w:rsidRDefault="00ED0032">
            <w:r>
              <w:t>£000</w:t>
            </w:r>
          </w:p>
        </w:tc>
        <w:tc>
          <w:tcPr>
            <w:tcW w:w="990" w:type="dxa"/>
            <w:tcBorders>
              <w:top w:val="nil"/>
              <w:bottom w:val="single" w:sz="4" w:space="0" w:color="000000"/>
            </w:tcBorders>
            <w:vAlign w:val="bottom"/>
          </w:tcPr>
          <w:p w14:paraId="08347AF5" w14:textId="77777777" w:rsidR="00ED0032" w:rsidRPr="00064D76" w:rsidRDefault="00ED0032">
            <w:r>
              <w:t>£000</w:t>
            </w:r>
          </w:p>
        </w:tc>
        <w:tc>
          <w:tcPr>
            <w:tcW w:w="992" w:type="dxa"/>
            <w:tcBorders>
              <w:top w:val="nil"/>
              <w:bottom w:val="single" w:sz="4" w:space="0" w:color="000000"/>
            </w:tcBorders>
            <w:vAlign w:val="bottom"/>
          </w:tcPr>
          <w:p w14:paraId="605DC5C5" w14:textId="77777777" w:rsidR="00ED0032" w:rsidRPr="00064D76" w:rsidRDefault="00ED0032">
            <w:r>
              <w:t>£000</w:t>
            </w:r>
          </w:p>
        </w:tc>
        <w:tc>
          <w:tcPr>
            <w:tcW w:w="850" w:type="dxa"/>
            <w:tcBorders>
              <w:top w:val="nil"/>
              <w:bottom w:val="single" w:sz="4" w:space="0" w:color="000000"/>
            </w:tcBorders>
            <w:vAlign w:val="bottom"/>
          </w:tcPr>
          <w:p w14:paraId="0878FC53" w14:textId="77777777" w:rsidR="00ED0032" w:rsidRPr="00064D76" w:rsidRDefault="00ED0032">
            <w:r>
              <w:t>£000</w:t>
            </w:r>
          </w:p>
        </w:tc>
        <w:tc>
          <w:tcPr>
            <w:tcW w:w="710" w:type="dxa"/>
            <w:tcBorders>
              <w:top w:val="nil"/>
              <w:bottom w:val="single" w:sz="4" w:space="0" w:color="000000"/>
            </w:tcBorders>
            <w:vAlign w:val="bottom"/>
          </w:tcPr>
          <w:p w14:paraId="2474A2E4" w14:textId="77777777" w:rsidR="00ED0032" w:rsidRPr="00064D76" w:rsidRDefault="00ED0032">
            <w:r>
              <w:t>£000</w:t>
            </w:r>
          </w:p>
        </w:tc>
      </w:tr>
      <w:tr w:rsidR="00ED0032" w:rsidRPr="00064D76" w14:paraId="00F29824" w14:textId="77777777" w:rsidTr="00B931EC">
        <w:tc>
          <w:tcPr>
            <w:tcW w:w="1985" w:type="dxa"/>
            <w:tcBorders>
              <w:top w:val="single" w:sz="4" w:space="0" w:color="000000"/>
              <w:bottom w:val="single" w:sz="4" w:space="0" w:color="000000"/>
            </w:tcBorders>
          </w:tcPr>
          <w:p w14:paraId="0E78FDE0" w14:textId="13862AD3" w:rsidR="00ED0032" w:rsidRPr="009C7E23" w:rsidRDefault="00ED0032">
            <w:pPr>
              <w:jc w:val="left"/>
            </w:pPr>
            <w:r w:rsidRPr="009C7E23">
              <w:t>At 1 April 2024</w:t>
            </w:r>
          </w:p>
        </w:tc>
        <w:tc>
          <w:tcPr>
            <w:tcW w:w="851" w:type="dxa"/>
            <w:tcBorders>
              <w:top w:val="single" w:sz="4" w:space="0" w:color="000000"/>
              <w:bottom w:val="single" w:sz="4" w:space="0" w:color="000000"/>
            </w:tcBorders>
          </w:tcPr>
          <w:p w14:paraId="52B02F46" w14:textId="77777777" w:rsidR="00ED0032" w:rsidRPr="00064D76" w:rsidRDefault="00ED0032">
            <w:r>
              <w:t>4,914</w:t>
            </w:r>
          </w:p>
        </w:tc>
        <w:tc>
          <w:tcPr>
            <w:tcW w:w="851" w:type="dxa"/>
            <w:tcBorders>
              <w:top w:val="single" w:sz="4" w:space="0" w:color="000000"/>
              <w:bottom w:val="single" w:sz="4" w:space="0" w:color="000000"/>
            </w:tcBorders>
          </w:tcPr>
          <w:p w14:paraId="4C127369" w14:textId="77777777" w:rsidR="00ED0032" w:rsidRPr="00064D76" w:rsidRDefault="00ED0032">
            <w:r>
              <w:t>173,723</w:t>
            </w:r>
          </w:p>
        </w:tc>
        <w:tc>
          <w:tcPr>
            <w:tcW w:w="851" w:type="dxa"/>
            <w:tcBorders>
              <w:top w:val="single" w:sz="4" w:space="0" w:color="000000"/>
              <w:bottom w:val="single" w:sz="4" w:space="0" w:color="000000"/>
            </w:tcBorders>
          </w:tcPr>
          <w:p w14:paraId="7AE25AF5" w14:textId="77777777" w:rsidR="00ED0032" w:rsidRPr="00064D76" w:rsidRDefault="00ED0032">
            <w:r>
              <w:t>32,399</w:t>
            </w:r>
          </w:p>
        </w:tc>
        <w:tc>
          <w:tcPr>
            <w:tcW w:w="851" w:type="dxa"/>
            <w:tcBorders>
              <w:top w:val="single" w:sz="4" w:space="0" w:color="000000"/>
              <w:bottom w:val="single" w:sz="4" w:space="0" w:color="000000"/>
            </w:tcBorders>
          </w:tcPr>
          <w:p w14:paraId="58C864B6" w14:textId="77777777" w:rsidR="00ED0032" w:rsidRPr="00064D76" w:rsidRDefault="00ED0032">
            <w:r>
              <w:t>35</w:t>
            </w:r>
          </w:p>
        </w:tc>
        <w:tc>
          <w:tcPr>
            <w:tcW w:w="851" w:type="dxa"/>
            <w:tcBorders>
              <w:top w:val="single" w:sz="4" w:space="0" w:color="000000"/>
              <w:bottom w:val="single" w:sz="4" w:space="0" w:color="000000"/>
            </w:tcBorders>
          </w:tcPr>
          <w:p w14:paraId="1ACC6FC3" w14:textId="77777777" w:rsidR="00ED0032" w:rsidRPr="00064D76" w:rsidRDefault="00ED0032">
            <w:r>
              <w:t>3,054</w:t>
            </w:r>
          </w:p>
        </w:tc>
        <w:tc>
          <w:tcPr>
            <w:tcW w:w="990" w:type="dxa"/>
            <w:tcBorders>
              <w:top w:val="single" w:sz="4" w:space="0" w:color="000000"/>
              <w:bottom w:val="single" w:sz="4" w:space="0" w:color="000000"/>
            </w:tcBorders>
          </w:tcPr>
          <w:p w14:paraId="2FE856EB" w14:textId="77777777" w:rsidR="00ED0032" w:rsidRPr="00064D76" w:rsidRDefault="00ED0032">
            <w:r>
              <w:t>72,466</w:t>
            </w:r>
          </w:p>
        </w:tc>
        <w:tc>
          <w:tcPr>
            <w:tcW w:w="992" w:type="dxa"/>
            <w:tcBorders>
              <w:top w:val="single" w:sz="4" w:space="0" w:color="000000"/>
              <w:bottom w:val="single" w:sz="4" w:space="0" w:color="000000"/>
            </w:tcBorders>
          </w:tcPr>
          <w:p w14:paraId="7F5B4F5B" w14:textId="77777777" w:rsidR="00ED0032" w:rsidRPr="00CF4AE4" w:rsidRDefault="00ED0032">
            <w:r w:rsidRPr="00CF4AE4">
              <w:t>286,591</w:t>
            </w:r>
          </w:p>
        </w:tc>
        <w:tc>
          <w:tcPr>
            <w:tcW w:w="850" w:type="dxa"/>
            <w:tcBorders>
              <w:top w:val="single" w:sz="4" w:space="0" w:color="000000"/>
              <w:bottom w:val="single" w:sz="4" w:space="0" w:color="000000"/>
            </w:tcBorders>
          </w:tcPr>
          <w:p w14:paraId="6D005C07" w14:textId="77777777" w:rsidR="00ED0032" w:rsidRPr="00064D76" w:rsidRDefault="00ED0032">
            <w:r>
              <w:t>6,236</w:t>
            </w:r>
          </w:p>
        </w:tc>
        <w:tc>
          <w:tcPr>
            <w:tcW w:w="710" w:type="dxa"/>
            <w:tcBorders>
              <w:top w:val="single" w:sz="4" w:space="0" w:color="000000"/>
              <w:bottom w:val="single" w:sz="4" w:space="0" w:color="000000"/>
            </w:tcBorders>
          </w:tcPr>
          <w:p w14:paraId="41D7700E" w14:textId="77777777" w:rsidR="00ED0032" w:rsidRPr="00064D76" w:rsidRDefault="00ED0032">
            <w:r>
              <w:t>292,827</w:t>
            </w:r>
          </w:p>
        </w:tc>
      </w:tr>
      <w:tr w:rsidR="00ED0032" w:rsidRPr="00064D76" w14:paraId="2B060BE4" w14:textId="77777777" w:rsidTr="00B931EC">
        <w:tc>
          <w:tcPr>
            <w:tcW w:w="1985" w:type="dxa"/>
            <w:tcBorders>
              <w:top w:val="single" w:sz="4" w:space="0" w:color="000000"/>
            </w:tcBorders>
          </w:tcPr>
          <w:p w14:paraId="75C34264" w14:textId="77777777" w:rsidR="00ED0032" w:rsidRPr="009C7E23" w:rsidRDefault="00ED0032">
            <w:pPr>
              <w:jc w:val="left"/>
            </w:pPr>
            <w:r w:rsidRPr="009C7E23">
              <w:t>(Loss)/profit for the year</w:t>
            </w:r>
          </w:p>
        </w:tc>
        <w:tc>
          <w:tcPr>
            <w:tcW w:w="851" w:type="dxa"/>
            <w:tcBorders>
              <w:top w:val="single" w:sz="4" w:space="0" w:color="000000"/>
            </w:tcBorders>
          </w:tcPr>
          <w:p w14:paraId="5ED6E1B3" w14:textId="77777777" w:rsidR="00ED0032" w:rsidRPr="00DD777C" w:rsidRDefault="00ED0032">
            <w:r>
              <w:t>-</w:t>
            </w:r>
          </w:p>
        </w:tc>
        <w:tc>
          <w:tcPr>
            <w:tcW w:w="851" w:type="dxa"/>
            <w:tcBorders>
              <w:top w:val="single" w:sz="4" w:space="0" w:color="000000"/>
            </w:tcBorders>
          </w:tcPr>
          <w:p w14:paraId="749D80A4" w14:textId="77777777" w:rsidR="00ED0032" w:rsidRPr="00DD777C" w:rsidRDefault="00ED0032">
            <w:r>
              <w:t>-</w:t>
            </w:r>
          </w:p>
        </w:tc>
        <w:tc>
          <w:tcPr>
            <w:tcW w:w="851" w:type="dxa"/>
            <w:tcBorders>
              <w:top w:val="single" w:sz="4" w:space="0" w:color="000000"/>
            </w:tcBorders>
          </w:tcPr>
          <w:p w14:paraId="595D1401" w14:textId="77777777" w:rsidR="00ED0032" w:rsidRPr="00DD777C" w:rsidRDefault="00ED0032">
            <w:r>
              <w:t>-</w:t>
            </w:r>
          </w:p>
        </w:tc>
        <w:tc>
          <w:tcPr>
            <w:tcW w:w="851" w:type="dxa"/>
            <w:tcBorders>
              <w:top w:val="single" w:sz="4" w:space="0" w:color="000000"/>
            </w:tcBorders>
            <w:vAlign w:val="center"/>
          </w:tcPr>
          <w:p w14:paraId="62D55117" w14:textId="77777777" w:rsidR="00ED0032" w:rsidRPr="00DD777C" w:rsidRDefault="00ED0032"/>
        </w:tc>
        <w:tc>
          <w:tcPr>
            <w:tcW w:w="851" w:type="dxa"/>
            <w:tcBorders>
              <w:top w:val="single" w:sz="4" w:space="0" w:color="000000"/>
            </w:tcBorders>
            <w:vAlign w:val="center"/>
          </w:tcPr>
          <w:p w14:paraId="2C94BA52" w14:textId="77777777" w:rsidR="00ED0032" w:rsidRPr="00DD777C" w:rsidRDefault="00ED0032"/>
        </w:tc>
        <w:tc>
          <w:tcPr>
            <w:tcW w:w="990" w:type="dxa"/>
            <w:tcBorders>
              <w:top w:val="single" w:sz="4" w:space="0" w:color="000000"/>
            </w:tcBorders>
            <w:vAlign w:val="center"/>
          </w:tcPr>
          <w:p w14:paraId="60BCA2E5" w14:textId="77777777" w:rsidR="00ED0032" w:rsidRPr="00DD777C" w:rsidRDefault="00ED0032">
            <w:r>
              <w:rPr>
                <w:rFonts w:cs="Arial"/>
                <w:color w:val="000000"/>
                <w:szCs w:val="16"/>
              </w:rPr>
              <w:t>(78,450)</w:t>
            </w:r>
          </w:p>
        </w:tc>
        <w:tc>
          <w:tcPr>
            <w:tcW w:w="992" w:type="dxa"/>
            <w:tcBorders>
              <w:top w:val="single" w:sz="4" w:space="0" w:color="000000"/>
            </w:tcBorders>
            <w:vAlign w:val="center"/>
          </w:tcPr>
          <w:p w14:paraId="3FC2137E" w14:textId="77777777" w:rsidR="00ED0032" w:rsidRPr="00CF4AE4" w:rsidRDefault="00ED0032">
            <w:r w:rsidRPr="00CF4AE4">
              <w:rPr>
                <w:rFonts w:cs="Arial"/>
                <w:szCs w:val="16"/>
              </w:rPr>
              <w:t>(78,450)</w:t>
            </w:r>
          </w:p>
        </w:tc>
        <w:tc>
          <w:tcPr>
            <w:tcW w:w="850" w:type="dxa"/>
            <w:tcBorders>
              <w:top w:val="single" w:sz="4" w:space="0" w:color="000000"/>
            </w:tcBorders>
            <w:vAlign w:val="center"/>
          </w:tcPr>
          <w:p w14:paraId="13729C9F" w14:textId="77777777" w:rsidR="00ED0032" w:rsidRPr="00DD777C" w:rsidRDefault="00ED0032">
            <w:r>
              <w:rPr>
                <w:rFonts w:cs="Arial"/>
                <w:color w:val="000000"/>
                <w:szCs w:val="16"/>
              </w:rPr>
              <w:t xml:space="preserve">298 </w:t>
            </w:r>
          </w:p>
        </w:tc>
        <w:tc>
          <w:tcPr>
            <w:tcW w:w="710" w:type="dxa"/>
            <w:tcBorders>
              <w:top w:val="single" w:sz="4" w:space="0" w:color="000000"/>
            </w:tcBorders>
            <w:vAlign w:val="center"/>
          </w:tcPr>
          <w:p w14:paraId="2EEF3D0E" w14:textId="77777777" w:rsidR="00ED0032" w:rsidRPr="00DD777C" w:rsidRDefault="00ED0032">
            <w:r>
              <w:rPr>
                <w:rFonts w:cs="Arial"/>
                <w:color w:val="000000"/>
                <w:szCs w:val="16"/>
              </w:rPr>
              <w:t>(78,152)</w:t>
            </w:r>
          </w:p>
        </w:tc>
      </w:tr>
      <w:tr w:rsidR="00ED0032" w:rsidRPr="00064D76" w14:paraId="6F899399" w14:textId="77777777" w:rsidTr="00B931EC">
        <w:tc>
          <w:tcPr>
            <w:tcW w:w="1985" w:type="dxa"/>
            <w:tcBorders>
              <w:bottom w:val="single" w:sz="4" w:space="0" w:color="000000"/>
            </w:tcBorders>
          </w:tcPr>
          <w:p w14:paraId="22030073" w14:textId="77777777" w:rsidR="00ED0032" w:rsidRPr="009C7E23" w:rsidRDefault="00ED0032">
            <w:pPr>
              <w:jc w:val="left"/>
            </w:pPr>
            <w:r w:rsidRPr="009C7E23">
              <w:t>Other comprehensive expense</w:t>
            </w:r>
          </w:p>
        </w:tc>
        <w:tc>
          <w:tcPr>
            <w:tcW w:w="851" w:type="dxa"/>
            <w:tcBorders>
              <w:bottom w:val="single" w:sz="4" w:space="0" w:color="000000"/>
            </w:tcBorders>
            <w:vAlign w:val="bottom"/>
          </w:tcPr>
          <w:p w14:paraId="6834EE5A" w14:textId="77777777" w:rsidR="00ED0032" w:rsidRPr="00DD777C" w:rsidRDefault="00ED0032">
            <w:r>
              <w:t>-</w:t>
            </w:r>
          </w:p>
        </w:tc>
        <w:tc>
          <w:tcPr>
            <w:tcW w:w="851" w:type="dxa"/>
            <w:tcBorders>
              <w:bottom w:val="single" w:sz="4" w:space="0" w:color="000000"/>
            </w:tcBorders>
            <w:vAlign w:val="bottom"/>
          </w:tcPr>
          <w:p w14:paraId="51A8E3D6" w14:textId="77777777" w:rsidR="00ED0032" w:rsidRPr="00DD777C" w:rsidRDefault="00ED0032">
            <w:r>
              <w:t>-</w:t>
            </w:r>
          </w:p>
        </w:tc>
        <w:tc>
          <w:tcPr>
            <w:tcW w:w="851" w:type="dxa"/>
            <w:tcBorders>
              <w:bottom w:val="single" w:sz="4" w:space="0" w:color="000000"/>
            </w:tcBorders>
            <w:vAlign w:val="bottom"/>
          </w:tcPr>
          <w:p w14:paraId="57396D38" w14:textId="77777777" w:rsidR="00ED0032" w:rsidRPr="00DD777C" w:rsidRDefault="00ED0032">
            <w:r>
              <w:t>-</w:t>
            </w:r>
          </w:p>
        </w:tc>
        <w:tc>
          <w:tcPr>
            <w:tcW w:w="851" w:type="dxa"/>
            <w:tcBorders>
              <w:bottom w:val="single" w:sz="4" w:space="0" w:color="000000"/>
            </w:tcBorders>
            <w:vAlign w:val="center"/>
          </w:tcPr>
          <w:p w14:paraId="511FED70" w14:textId="77777777" w:rsidR="00ED0032" w:rsidRPr="00DD777C" w:rsidRDefault="00ED0032">
            <w:r>
              <w:rPr>
                <w:rFonts w:cs="Arial"/>
                <w:color w:val="000000"/>
                <w:szCs w:val="16"/>
              </w:rPr>
              <w:t>(447)</w:t>
            </w:r>
          </w:p>
        </w:tc>
        <w:tc>
          <w:tcPr>
            <w:tcW w:w="851" w:type="dxa"/>
            <w:tcBorders>
              <w:bottom w:val="single" w:sz="4" w:space="0" w:color="000000"/>
            </w:tcBorders>
            <w:vAlign w:val="center"/>
          </w:tcPr>
          <w:p w14:paraId="50E4B156" w14:textId="77777777" w:rsidR="00ED0032" w:rsidRPr="00DD777C" w:rsidRDefault="00ED0032">
            <w:r>
              <w:rPr>
                <w:rFonts w:cs="Arial"/>
                <w:color w:val="000000"/>
                <w:szCs w:val="16"/>
              </w:rPr>
              <w:t>(5,142)</w:t>
            </w:r>
          </w:p>
        </w:tc>
        <w:tc>
          <w:tcPr>
            <w:tcW w:w="990" w:type="dxa"/>
            <w:tcBorders>
              <w:bottom w:val="single" w:sz="4" w:space="0" w:color="000000"/>
            </w:tcBorders>
            <w:vAlign w:val="center"/>
          </w:tcPr>
          <w:p w14:paraId="70740D4D" w14:textId="77777777" w:rsidR="00ED0032" w:rsidRPr="00DD777C" w:rsidRDefault="00ED0032">
            <w:r>
              <w:rPr>
                <w:rFonts w:cs="Arial"/>
                <w:color w:val="000000"/>
                <w:szCs w:val="16"/>
              </w:rPr>
              <w:t>(31)</w:t>
            </w:r>
          </w:p>
        </w:tc>
        <w:tc>
          <w:tcPr>
            <w:tcW w:w="992" w:type="dxa"/>
            <w:tcBorders>
              <w:bottom w:val="single" w:sz="4" w:space="0" w:color="000000"/>
            </w:tcBorders>
            <w:vAlign w:val="center"/>
          </w:tcPr>
          <w:p w14:paraId="2F2F33BE" w14:textId="77777777" w:rsidR="00ED0032" w:rsidRPr="00CF4AE4" w:rsidRDefault="00ED0032">
            <w:r w:rsidRPr="00CF4AE4">
              <w:rPr>
                <w:rFonts w:cs="Arial"/>
                <w:szCs w:val="16"/>
              </w:rPr>
              <w:t>(5,620)</w:t>
            </w:r>
          </w:p>
        </w:tc>
        <w:tc>
          <w:tcPr>
            <w:tcW w:w="850" w:type="dxa"/>
            <w:tcBorders>
              <w:bottom w:val="single" w:sz="4" w:space="0" w:color="000000"/>
            </w:tcBorders>
            <w:vAlign w:val="center"/>
          </w:tcPr>
          <w:p w14:paraId="40E0C1BC" w14:textId="77777777" w:rsidR="00ED0032" w:rsidRPr="00DD777C" w:rsidRDefault="00ED0032">
            <w:r>
              <w:rPr>
                <w:rFonts w:cs="Arial"/>
                <w:color w:val="000000"/>
                <w:szCs w:val="16"/>
              </w:rPr>
              <w:t>(384)</w:t>
            </w:r>
          </w:p>
        </w:tc>
        <w:tc>
          <w:tcPr>
            <w:tcW w:w="710" w:type="dxa"/>
            <w:tcBorders>
              <w:bottom w:val="single" w:sz="4" w:space="0" w:color="000000"/>
            </w:tcBorders>
            <w:vAlign w:val="center"/>
          </w:tcPr>
          <w:p w14:paraId="09752E9B" w14:textId="77777777" w:rsidR="00ED0032" w:rsidRPr="00DD777C" w:rsidRDefault="00ED0032">
            <w:r>
              <w:rPr>
                <w:rFonts w:cs="Arial"/>
                <w:color w:val="000000"/>
                <w:szCs w:val="16"/>
              </w:rPr>
              <w:t>(6,004)</w:t>
            </w:r>
          </w:p>
        </w:tc>
      </w:tr>
      <w:tr w:rsidR="00ED0032" w:rsidRPr="00064D76" w14:paraId="2672AE31" w14:textId="77777777" w:rsidTr="00B931EC">
        <w:tc>
          <w:tcPr>
            <w:tcW w:w="1985" w:type="dxa"/>
            <w:tcBorders>
              <w:bottom w:val="single" w:sz="4" w:space="0" w:color="000000"/>
            </w:tcBorders>
          </w:tcPr>
          <w:p w14:paraId="0BF043A1" w14:textId="09DDADF8" w:rsidR="00ED0032" w:rsidRPr="009C7E23" w:rsidRDefault="00ED0032">
            <w:pPr>
              <w:jc w:val="left"/>
              <w:rPr>
                <w:b/>
                <w:bCs/>
              </w:rPr>
            </w:pPr>
            <w:r w:rsidRPr="009C7E23">
              <w:rPr>
                <w:b/>
                <w:bCs/>
              </w:rPr>
              <w:t>Total comprehensive expense for the year</w:t>
            </w:r>
          </w:p>
        </w:tc>
        <w:tc>
          <w:tcPr>
            <w:tcW w:w="851" w:type="dxa"/>
            <w:tcBorders>
              <w:bottom w:val="single" w:sz="4" w:space="0" w:color="000000"/>
            </w:tcBorders>
            <w:vAlign w:val="bottom"/>
          </w:tcPr>
          <w:p w14:paraId="1B5F3276" w14:textId="77777777" w:rsidR="00ED0032" w:rsidRPr="007D500F" w:rsidRDefault="00ED0032">
            <w:pPr>
              <w:rPr>
                <w:rFonts w:cs="Arial"/>
                <w:b/>
                <w:bCs/>
                <w:color w:val="000000"/>
                <w:szCs w:val="16"/>
              </w:rPr>
            </w:pPr>
            <w:r w:rsidRPr="007D500F">
              <w:rPr>
                <w:rFonts w:cs="Arial"/>
                <w:b/>
                <w:bCs/>
                <w:color w:val="000000"/>
                <w:szCs w:val="16"/>
              </w:rPr>
              <w:t>-</w:t>
            </w:r>
          </w:p>
        </w:tc>
        <w:tc>
          <w:tcPr>
            <w:tcW w:w="851" w:type="dxa"/>
            <w:tcBorders>
              <w:bottom w:val="single" w:sz="4" w:space="0" w:color="000000"/>
            </w:tcBorders>
            <w:vAlign w:val="bottom"/>
          </w:tcPr>
          <w:p w14:paraId="2E1F8A79" w14:textId="77777777" w:rsidR="00ED0032" w:rsidRPr="00DD777C" w:rsidRDefault="00ED0032">
            <w:r>
              <w:t>-</w:t>
            </w:r>
          </w:p>
        </w:tc>
        <w:tc>
          <w:tcPr>
            <w:tcW w:w="851" w:type="dxa"/>
            <w:tcBorders>
              <w:bottom w:val="single" w:sz="4" w:space="0" w:color="000000"/>
            </w:tcBorders>
            <w:vAlign w:val="bottom"/>
          </w:tcPr>
          <w:p w14:paraId="0B1000E1" w14:textId="77777777" w:rsidR="00ED0032" w:rsidRPr="00DD777C" w:rsidRDefault="00ED0032">
            <w:r>
              <w:t>-</w:t>
            </w:r>
          </w:p>
        </w:tc>
        <w:tc>
          <w:tcPr>
            <w:tcW w:w="851" w:type="dxa"/>
            <w:tcBorders>
              <w:bottom w:val="single" w:sz="4" w:space="0" w:color="000000"/>
            </w:tcBorders>
            <w:vAlign w:val="center"/>
          </w:tcPr>
          <w:p w14:paraId="7FFE5EB3" w14:textId="77777777" w:rsidR="00ED0032" w:rsidRPr="00DD777C" w:rsidRDefault="00ED0032">
            <w:r>
              <w:rPr>
                <w:rFonts w:cs="Arial"/>
                <w:b/>
                <w:bCs/>
                <w:color w:val="000000"/>
                <w:szCs w:val="16"/>
              </w:rPr>
              <w:t>(447)</w:t>
            </w:r>
          </w:p>
        </w:tc>
        <w:tc>
          <w:tcPr>
            <w:tcW w:w="851" w:type="dxa"/>
            <w:tcBorders>
              <w:bottom w:val="single" w:sz="4" w:space="0" w:color="000000"/>
            </w:tcBorders>
            <w:vAlign w:val="center"/>
          </w:tcPr>
          <w:p w14:paraId="5C83E440" w14:textId="77777777" w:rsidR="00ED0032" w:rsidRPr="00DD777C" w:rsidRDefault="00ED0032">
            <w:r>
              <w:rPr>
                <w:rFonts w:cs="Arial"/>
                <w:b/>
                <w:bCs/>
                <w:color w:val="000000"/>
                <w:szCs w:val="16"/>
              </w:rPr>
              <w:t>(5,142)</w:t>
            </w:r>
          </w:p>
        </w:tc>
        <w:tc>
          <w:tcPr>
            <w:tcW w:w="990" w:type="dxa"/>
            <w:tcBorders>
              <w:bottom w:val="single" w:sz="4" w:space="0" w:color="000000"/>
            </w:tcBorders>
            <w:vAlign w:val="center"/>
          </w:tcPr>
          <w:p w14:paraId="4AD84264" w14:textId="77777777" w:rsidR="00ED0032" w:rsidRPr="00DD777C" w:rsidRDefault="00ED0032">
            <w:r>
              <w:rPr>
                <w:rFonts w:cs="Arial"/>
                <w:b/>
                <w:bCs/>
                <w:color w:val="000000"/>
                <w:szCs w:val="16"/>
              </w:rPr>
              <w:t>(78,481)</w:t>
            </w:r>
          </w:p>
        </w:tc>
        <w:tc>
          <w:tcPr>
            <w:tcW w:w="992" w:type="dxa"/>
            <w:tcBorders>
              <w:bottom w:val="single" w:sz="4" w:space="0" w:color="000000"/>
            </w:tcBorders>
            <w:vAlign w:val="center"/>
          </w:tcPr>
          <w:p w14:paraId="6577D9AE" w14:textId="77777777" w:rsidR="00ED0032" w:rsidRPr="00CF4AE4" w:rsidRDefault="00ED0032">
            <w:r w:rsidRPr="00CF4AE4">
              <w:rPr>
                <w:rFonts w:cs="Arial"/>
                <w:b/>
                <w:bCs/>
                <w:szCs w:val="16"/>
              </w:rPr>
              <w:t>(84,070)</w:t>
            </w:r>
          </w:p>
        </w:tc>
        <w:tc>
          <w:tcPr>
            <w:tcW w:w="850" w:type="dxa"/>
            <w:tcBorders>
              <w:bottom w:val="single" w:sz="4" w:space="0" w:color="000000"/>
            </w:tcBorders>
            <w:vAlign w:val="center"/>
          </w:tcPr>
          <w:p w14:paraId="41E6E2DE" w14:textId="77777777" w:rsidR="00ED0032" w:rsidRPr="00DD777C" w:rsidRDefault="00ED0032">
            <w:r>
              <w:rPr>
                <w:rFonts w:cs="Arial"/>
                <w:b/>
                <w:bCs/>
                <w:color w:val="000000"/>
                <w:szCs w:val="16"/>
              </w:rPr>
              <w:t>(86)</w:t>
            </w:r>
          </w:p>
        </w:tc>
        <w:tc>
          <w:tcPr>
            <w:tcW w:w="710" w:type="dxa"/>
            <w:tcBorders>
              <w:bottom w:val="single" w:sz="4" w:space="0" w:color="000000"/>
            </w:tcBorders>
            <w:vAlign w:val="center"/>
          </w:tcPr>
          <w:p w14:paraId="519A45C0" w14:textId="77777777" w:rsidR="00ED0032" w:rsidRPr="00DD777C" w:rsidRDefault="00ED0032">
            <w:r>
              <w:rPr>
                <w:rFonts w:cs="Arial"/>
                <w:b/>
                <w:bCs/>
                <w:color w:val="000000"/>
                <w:szCs w:val="16"/>
              </w:rPr>
              <w:t>(84,156)</w:t>
            </w:r>
          </w:p>
        </w:tc>
      </w:tr>
      <w:tr w:rsidR="00ED0032" w:rsidRPr="00064D76" w14:paraId="7E61A540" w14:textId="77777777" w:rsidTr="00B931EC">
        <w:tc>
          <w:tcPr>
            <w:tcW w:w="5389" w:type="dxa"/>
            <w:gridSpan w:val="5"/>
            <w:tcBorders>
              <w:top w:val="single" w:sz="4" w:space="0" w:color="000000"/>
            </w:tcBorders>
          </w:tcPr>
          <w:p w14:paraId="189166AB" w14:textId="77777777" w:rsidR="00ED0032" w:rsidRPr="009C7E23" w:rsidRDefault="00ED0032">
            <w:pPr>
              <w:jc w:val="left"/>
            </w:pPr>
            <w:r w:rsidRPr="009C7E23">
              <w:rPr>
                <w:b/>
                <w:bCs/>
              </w:rPr>
              <w:t>Transactions with owners in their capacity as owners</w:t>
            </w:r>
          </w:p>
        </w:tc>
        <w:tc>
          <w:tcPr>
            <w:tcW w:w="851" w:type="dxa"/>
            <w:tcBorders>
              <w:top w:val="single" w:sz="4" w:space="0" w:color="000000"/>
            </w:tcBorders>
          </w:tcPr>
          <w:p w14:paraId="1D1C71EF" w14:textId="77777777" w:rsidR="00ED0032" w:rsidRPr="00DD777C" w:rsidRDefault="00ED0032"/>
        </w:tc>
        <w:tc>
          <w:tcPr>
            <w:tcW w:w="990" w:type="dxa"/>
            <w:tcBorders>
              <w:top w:val="single" w:sz="4" w:space="0" w:color="000000"/>
            </w:tcBorders>
          </w:tcPr>
          <w:p w14:paraId="674BA00F" w14:textId="77777777" w:rsidR="00ED0032" w:rsidRPr="00DD777C" w:rsidRDefault="00ED0032"/>
        </w:tc>
        <w:tc>
          <w:tcPr>
            <w:tcW w:w="992" w:type="dxa"/>
            <w:tcBorders>
              <w:top w:val="single" w:sz="4" w:space="0" w:color="000000"/>
            </w:tcBorders>
          </w:tcPr>
          <w:p w14:paraId="5B484F2A" w14:textId="77777777" w:rsidR="00ED0032" w:rsidRPr="00CF4AE4" w:rsidRDefault="00ED0032"/>
        </w:tc>
        <w:tc>
          <w:tcPr>
            <w:tcW w:w="850" w:type="dxa"/>
            <w:tcBorders>
              <w:top w:val="single" w:sz="4" w:space="0" w:color="000000"/>
            </w:tcBorders>
          </w:tcPr>
          <w:p w14:paraId="0011F7CC" w14:textId="77777777" w:rsidR="00ED0032" w:rsidRPr="00DD777C" w:rsidRDefault="00ED0032"/>
        </w:tc>
        <w:tc>
          <w:tcPr>
            <w:tcW w:w="710" w:type="dxa"/>
            <w:tcBorders>
              <w:top w:val="single" w:sz="4" w:space="0" w:color="000000"/>
            </w:tcBorders>
          </w:tcPr>
          <w:p w14:paraId="4C5BF20C" w14:textId="77777777" w:rsidR="00ED0032" w:rsidRPr="00DD777C" w:rsidRDefault="00ED0032"/>
        </w:tc>
      </w:tr>
      <w:tr w:rsidR="00ED0032" w:rsidRPr="00064D76" w14:paraId="731938DB" w14:textId="77777777" w:rsidTr="00B931EC">
        <w:tc>
          <w:tcPr>
            <w:tcW w:w="1985" w:type="dxa"/>
          </w:tcPr>
          <w:p w14:paraId="030D8F80" w14:textId="77777777" w:rsidR="00ED0032" w:rsidRPr="009C7E23" w:rsidRDefault="00ED0032">
            <w:pPr>
              <w:jc w:val="left"/>
            </w:pPr>
            <w:r w:rsidRPr="009C7E23">
              <w:t xml:space="preserve">Equity-settled share-based payments (note 23) </w:t>
            </w:r>
          </w:p>
        </w:tc>
        <w:tc>
          <w:tcPr>
            <w:tcW w:w="851" w:type="dxa"/>
            <w:vAlign w:val="center"/>
          </w:tcPr>
          <w:p w14:paraId="3A46CFBB" w14:textId="77777777" w:rsidR="00ED0032" w:rsidRPr="00DD777C" w:rsidRDefault="00ED0032">
            <w:r>
              <w:t>-</w:t>
            </w:r>
          </w:p>
        </w:tc>
        <w:tc>
          <w:tcPr>
            <w:tcW w:w="851" w:type="dxa"/>
            <w:vAlign w:val="center"/>
          </w:tcPr>
          <w:p w14:paraId="499C158C" w14:textId="77777777" w:rsidR="00ED0032" w:rsidRPr="00DD777C" w:rsidRDefault="00ED0032">
            <w:r>
              <w:t>-</w:t>
            </w:r>
          </w:p>
        </w:tc>
        <w:tc>
          <w:tcPr>
            <w:tcW w:w="851" w:type="dxa"/>
            <w:vAlign w:val="center"/>
          </w:tcPr>
          <w:p w14:paraId="03F379D3" w14:textId="77777777" w:rsidR="00ED0032" w:rsidRPr="00DD777C" w:rsidRDefault="00ED0032">
            <w:r>
              <w:t>-</w:t>
            </w:r>
          </w:p>
        </w:tc>
        <w:tc>
          <w:tcPr>
            <w:tcW w:w="851" w:type="dxa"/>
            <w:vAlign w:val="center"/>
          </w:tcPr>
          <w:p w14:paraId="2E953E96" w14:textId="77777777" w:rsidR="00ED0032" w:rsidRPr="00DD777C" w:rsidRDefault="00ED0032">
            <w:r>
              <w:t>-</w:t>
            </w:r>
          </w:p>
        </w:tc>
        <w:tc>
          <w:tcPr>
            <w:tcW w:w="851" w:type="dxa"/>
            <w:vAlign w:val="center"/>
          </w:tcPr>
          <w:p w14:paraId="2E8EDD68" w14:textId="77777777" w:rsidR="00ED0032" w:rsidRPr="00DD777C" w:rsidRDefault="00ED0032">
            <w:r>
              <w:t>-</w:t>
            </w:r>
          </w:p>
        </w:tc>
        <w:tc>
          <w:tcPr>
            <w:tcW w:w="990" w:type="dxa"/>
            <w:vAlign w:val="center"/>
          </w:tcPr>
          <w:p w14:paraId="39D09B40" w14:textId="77777777" w:rsidR="00ED0032" w:rsidRPr="00DD777C" w:rsidRDefault="00ED0032">
            <w:r w:rsidRPr="000E463A">
              <w:rPr>
                <w:rFonts w:cs="Arial"/>
                <w:szCs w:val="16"/>
              </w:rPr>
              <w:t>723</w:t>
            </w:r>
            <w:r>
              <w:rPr>
                <w:rFonts w:cs="Arial"/>
                <w:color w:val="4D93D9"/>
                <w:szCs w:val="16"/>
              </w:rPr>
              <w:t xml:space="preserve"> </w:t>
            </w:r>
          </w:p>
        </w:tc>
        <w:tc>
          <w:tcPr>
            <w:tcW w:w="992" w:type="dxa"/>
            <w:vAlign w:val="center"/>
          </w:tcPr>
          <w:p w14:paraId="12E0B022" w14:textId="77777777" w:rsidR="00ED0032" w:rsidRPr="00CF4AE4" w:rsidRDefault="00ED0032">
            <w:r w:rsidRPr="00CF4AE4">
              <w:rPr>
                <w:rFonts w:cs="Arial"/>
                <w:szCs w:val="16"/>
              </w:rPr>
              <w:t xml:space="preserve">723 </w:t>
            </w:r>
          </w:p>
        </w:tc>
        <w:tc>
          <w:tcPr>
            <w:tcW w:w="850" w:type="dxa"/>
            <w:vAlign w:val="center"/>
          </w:tcPr>
          <w:p w14:paraId="50D1BF93" w14:textId="77777777" w:rsidR="00ED0032" w:rsidRPr="00DD777C" w:rsidRDefault="00ED0032">
            <w:r>
              <w:t>-</w:t>
            </w:r>
          </w:p>
        </w:tc>
        <w:tc>
          <w:tcPr>
            <w:tcW w:w="710" w:type="dxa"/>
            <w:vAlign w:val="center"/>
          </w:tcPr>
          <w:p w14:paraId="19AF3F39" w14:textId="77777777" w:rsidR="00ED0032" w:rsidRPr="00DD777C" w:rsidRDefault="00ED0032">
            <w:r>
              <w:rPr>
                <w:rFonts w:cs="Arial"/>
                <w:color w:val="000000"/>
                <w:szCs w:val="16"/>
              </w:rPr>
              <w:t xml:space="preserve">723 </w:t>
            </w:r>
          </w:p>
        </w:tc>
      </w:tr>
      <w:tr w:rsidR="00ED0032" w:rsidRPr="00064D76" w14:paraId="0B7A6EA0" w14:textId="77777777" w:rsidTr="00B931EC">
        <w:tc>
          <w:tcPr>
            <w:tcW w:w="1985" w:type="dxa"/>
          </w:tcPr>
          <w:p w14:paraId="29A730E1" w14:textId="5DDC7052" w:rsidR="00ED0032" w:rsidRPr="009C7E23" w:rsidRDefault="00ED0032">
            <w:pPr>
              <w:jc w:val="left"/>
            </w:pPr>
            <w:r w:rsidRPr="009C7E23">
              <w:t>Options exercised (note 20)</w:t>
            </w:r>
          </w:p>
        </w:tc>
        <w:tc>
          <w:tcPr>
            <w:tcW w:w="851" w:type="dxa"/>
            <w:vAlign w:val="center"/>
          </w:tcPr>
          <w:p w14:paraId="0E0B0361" w14:textId="77777777" w:rsidR="00ED0032" w:rsidRPr="00DD777C" w:rsidRDefault="00ED0032">
            <w:r>
              <w:rPr>
                <w:rFonts w:cs="Arial"/>
                <w:color w:val="000000"/>
                <w:szCs w:val="16"/>
              </w:rPr>
              <w:t xml:space="preserve">1 </w:t>
            </w:r>
          </w:p>
        </w:tc>
        <w:tc>
          <w:tcPr>
            <w:tcW w:w="851" w:type="dxa"/>
            <w:vAlign w:val="center"/>
          </w:tcPr>
          <w:p w14:paraId="578D5955" w14:textId="77777777" w:rsidR="00ED0032" w:rsidRPr="00DD777C" w:rsidRDefault="00ED0032">
            <w:r>
              <w:t>-</w:t>
            </w:r>
          </w:p>
        </w:tc>
        <w:tc>
          <w:tcPr>
            <w:tcW w:w="851" w:type="dxa"/>
            <w:vAlign w:val="center"/>
          </w:tcPr>
          <w:p w14:paraId="64A8FB73" w14:textId="77777777" w:rsidR="00ED0032" w:rsidRPr="00DD777C" w:rsidRDefault="00ED0032">
            <w:r>
              <w:t>-</w:t>
            </w:r>
          </w:p>
        </w:tc>
        <w:tc>
          <w:tcPr>
            <w:tcW w:w="851" w:type="dxa"/>
            <w:vAlign w:val="center"/>
          </w:tcPr>
          <w:p w14:paraId="41C3685B" w14:textId="77777777" w:rsidR="00ED0032" w:rsidRPr="00DD777C" w:rsidRDefault="00ED0032">
            <w:r>
              <w:t>-</w:t>
            </w:r>
          </w:p>
        </w:tc>
        <w:tc>
          <w:tcPr>
            <w:tcW w:w="851" w:type="dxa"/>
            <w:vAlign w:val="center"/>
          </w:tcPr>
          <w:p w14:paraId="00875563" w14:textId="77777777" w:rsidR="00ED0032" w:rsidRPr="00DD777C" w:rsidRDefault="00ED0032">
            <w:r>
              <w:t>-</w:t>
            </w:r>
          </w:p>
        </w:tc>
        <w:tc>
          <w:tcPr>
            <w:tcW w:w="990" w:type="dxa"/>
            <w:vAlign w:val="center"/>
          </w:tcPr>
          <w:p w14:paraId="62E360C6" w14:textId="77777777" w:rsidR="00ED0032" w:rsidRPr="00DD777C" w:rsidRDefault="00ED0032">
            <w:r>
              <w:rPr>
                <w:rFonts w:cs="Arial"/>
                <w:color w:val="000000"/>
                <w:szCs w:val="16"/>
              </w:rPr>
              <w:t>(1)</w:t>
            </w:r>
          </w:p>
        </w:tc>
        <w:tc>
          <w:tcPr>
            <w:tcW w:w="992" w:type="dxa"/>
            <w:vAlign w:val="center"/>
          </w:tcPr>
          <w:p w14:paraId="48047368" w14:textId="77777777" w:rsidR="00ED0032" w:rsidRPr="00CF4AE4" w:rsidRDefault="00ED0032">
            <w:r w:rsidRPr="00CF4AE4">
              <w:rPr>
                <w:rFonts w:cs="Arial"/>
                <w:szCs w:val="16"/>
              </w:rPr>
              <w:t xml:space="preserve"> - </w:t>
            </w:r>
          </w:p>
        </w:tc>
        <w:tc>
          <w:tcPr>
            <w:tcW w:w="850" w:type="dxa"/>
            <w:vAlign w:val="center"/>
          </w:tcPr>
          <w:p w14:paraId="6DCC3C2A" w14:textId="77777777" w:rsidR="00ED0032" w:rsidRPr="00DD777C" w:rsidRDefault="00ED0032">
            <w:r>
              <w:t>-</w:t>
            </w:r>
          </w:p>
        </w:tc>
        <w:tc>
          <w:tcPr>
            <w:tcW w:w="710" w:type="dxa"/>
            <w:vAlign w:val="center"/>
          </w:tcPr>
          <w:p w14:paraId="4F2CF9DD" w14:textId="77777777" w:rsidR="00ED0032" w:rsidRPr="00DD777C" w:rsidRDefault="00ED0032">
            <w:r>
              <w:rPr>
                <w:rFonts w:cs="Arial"/>
                <w:color w:val="000000"/>
                <w:szCs w:val="16"/>
              </w:rPr>
              <w:t xml:space="preserve"> - </w:t>
            </w:r>
          </w:p>
        </w:tc>
      </w:tr>
      <w:tr w:rsidR="00ED0032" w:rsidRPr="00064D76" w14:paraId="59C67C19" w14:textId="77777777" w:rsidTr="00B931EC">
        <w:tc>
          <w:tcPr>
            <w:tcW w:w="1985" w:type="dxa"/>
          </w:tcPr>
          <w:p w14:paraId="72F2B3B5" w14:textId="77777777" w:rsidR="00ED0032" w:rsidRPr="009C7E23" w:rsidRDefault="00ED0032">
            <w:pPr>
              <w:jc w:val="left"/>
            </w:pPr>
            <w:r w:rsidRPr="009C7E23">
              <w:t>Equity dividends paid</w:t>
            </w:r>
          </w:p>
        </w:tc>
        <w:tc>
          <w:tcPr>
            <w:tcW w:w="851" w:type="dxa"/>
            <w:vAlign w:val="center"/>
          </w:tcPr>
          <w:p w14:paraId="63E520CF" w14:textId="77777777" w:rsidR="00ED0032" w:rsidRPr="00DD777C" w:rsidRDefault="00ED0032">
            <w:r>
              <w:rPr>
                <w:rFonts w:cs="Arial"/>
                <w:color w:val="000000"/>
                <w:szCs w:val="16"/>
              </w:rPr>
              <w:t>- </w:t>
            </w:r>
          </w:p>
        </w:tc>
        <w:tc>
          <w:tcPr>
            <w:tcW w:w="851" w:type="dxa"/>
            <w:vAlign w:val="center"/>
          </w:tcPr>
          <w:p w14:paraId="6828A15A" w14:textId="77777777" w:rsidR="00ED0032" w:rsidRPr="00DD777C" w:rsidRDefault="00ED0032">
            <w:r>
              <w:rPr>
                <w:rFonts w:cs="Arial"/>
                <w:color w:val="000000"/>
                <w:szCs w:val="16"/>
              </w:rPr>
              <w:t>- </w:t>
            </w:r>
          </w:p>
        </w:tc>
        <w:tc>
          <w:tcPr>
            <w:tcW w:w="851" w:type="dxa"/>
            <w:vAlign w:val="center"/>
          </w:tcPr>
          <w:p w14:paraId="79C2F912" w14:textId="77777777" w:rsidR="00ED0032" w:rsidRPr="00DD777C" w:rsidRDefault="00ED0032">
            <w:r>
              <w:rPr>
                <w:rFonts w:cs="Arial"/>
                <w:color w:val="000000"/>
                <w:szCs w:val="16"/>
              </w:rPr>
              <w:t>- </w:t>
            </w:r>
          </w:p>
        </w:tc>
        <w:tc>
          <w:tcPr>
            <w:tcW w:w="851" w:type="dxa"/>
            <w:vAlign w:val="center"/>
          </w:tcPr>
          <w:p w14:paraId="47DA1FA6" w14:textId="77777777" w:rsidR="00ED0032" w:rsidRPr="00DD777C" w:rsidRDefault="00ED0032">
            <w:r>
              <w:rPr>
                <w:rFonts w:cs="Arial"/>
                <w:color w:val="000000"/>
                <w:szCs w:val="16"/>
              </w:rPr>
              <w:t>- </w:t>
            </w:r>
          </w:p>
        </w:tc>
        <w:tc>
          <w:tcPr>
            <w:tcW w:w="851" w:type="dxa"/>
            <w:vAlign w:val="center"/>
          </w:tcPr>
          <w:p w14:paraId="15FD03BE" w14:textId="77777777" w:rsidR="00ED0032" w:rsidRPr="00DD777C" w:rsidRDefault="00ED0032">
            <w:r>
              <w:rPr>
                <w:rFonts w:cs="Arial"/>
                <w:color w:val="000000"/>
                <w:szCs w:val="16"/>
              </w:rPr>
              <w:t>- </w:t>
            </w:r>
          </w:p>
        </w:tc>
        <w:tc>
          <w:tcPr>
            <w:tcW w:w="990" w:type="dxa"/>
            <w:vAlign w:val="center"/>
          </w:tcPr>
          <w:p w14:paraId="26853ABC" w14:textId="77777777" w:rsidR="00ED0032" w:rsidRPr="00DD777C" w:rsidRDefault="00ED0032">
            <w:r>
              <w:rPr>
                <w:rFonts w:cs="Arial"/>
                <w:color w:val="000000"/>
                <w:szCs w:val="16"/>
              </w:rPr>
              <w:t>- </w:t>
            </w:r>
          </w:p>
        </w:tc>
        <w:tc>
          <w:tcPr>
            <w:tcW w:w="992" w:type="dxa"/>
            <w:vAlign w:val="center"/>
          </w:tcPr>
          <w:p w14:paraId="602B064D" w14:textId="77777777" w:rsidR="00ED0032" w:rsidRPr="00CF4AE4" w:rsidRDefault="00ED0032">
            <w:r w:rsidRPr="00CF4AE4">
              <w:rPr>
                <w:rFonts w:cs="Arial"/>
                <w:szCs w:val="16"/>
              </w:rPr>
              <w:t xml:space="preserve"> - </w:t>
            </w:r>
          </w:p>
        </w:tc>
        <w:tc>
          <w:tcPr>
            <w:tcW w:w="850" w:type="dxa"/>
            <w:vAlign w:val="center"/>
          </w:tcPr>
          <w:p w14:paraId="6D9DA72A" w14:textId="77777777" w:rsidR="00ED0032" w:rsidRPr="00DD777C" w:rsidRDefault="00ED0032">
            <w:r>
              <w:rPr>
                <w:rFonts w:cs="Arial"/>
                <w:color w:val="000000"/>
                <w:szCs w:val="16"/>
              </w:rPr>
              <w:t>(519)</w:t>
            </w:r>
          </w:p>
        </w:tc>
        <w:tc>
          <w:tcPr>
            <w:tcW w:w="710" w:type="dxa"/>
            <w:vAlign w:val="center"/>
          </w:tcPr>
          <w:p w14:paraId="5422E560" w14:textId="77777777" w:rsidR="00ED0032" w:rsidRPr="00DD777C" w:rsidRDefault="00ED0032">
            <w:r>
              <w:rPr>
                <w:rFonts w:cs="Arial"/>
                <w:color w:val="000000"/>
                <w:szCs w:val="16"/>
              </w:rPr>
              <w:t>(519)</w:t>
            </w:r>
          </w:p>
        </w:tc>
      </w:tr>
      <w:tr w:rsidR="00ED0032" w:rsidRPr="00064D76" w14:paraId="36A9569B" w14:textId="77777777" w:rsidTr="00B931EC">
        <w:tc>
          <w:tcPr>
            <w:tcW w:w="1985" w:type="dxa"/>
            <w:tcBorders>
              <w:top w:val="single" w:sz="4" w:space="0" w:color="000000"/>
            </w:tcBorders>
          </w:tcPr>
          <w:p w14:paraId="2E93BE53" w14:textId="1D2593C2" w:rsidR="00ED0032" w:rsidRPr="009C7E23" w:rsidRDefault="00ED0032">
            <w:pPr>
              <w:jc w:val="left"/>
              <w:rPr>
                <w:b/>
                <w:bCs/>
              </w:rPr>
            </w:pPr>
            <w:r w:rsidRPr="009C7E23">
              <w:rPr>
                <w:b/>
                <w:bCs/>
              </w:rPr>
              <w:t>At 31 March 2025</w:t>
            </w:r>
          </w:p>
        </w:tc>
        <w:tc>
          <w:tcPr>
            <w:tcW w:w="851" w:type="dxa"/>
            <w:tcBorders>
              <w:top w:val="single" w:sz="4" w:space="0" w:color="000000"/>
            </w:tcBorders>
            <w:vAlign w:val="center"/>
          </w:tcPr>
          <w:p w14:paraId="74F93790" w14:textId="77777777" w:rsidR="00ED0032" w:rsidRPr="00B076F2" w:rsidRDefault="00ED0032">
            <w:pPr>
              <w:rPr>
                <w:b/>
                <w:bCs/>
              </w:rPr>
            </w:pPr>
            <w:r>
              <w:rPr>
                <w:rFonts w:cs="Arial"/>
                <w:color w:val="000000"/>
                <w:szCs w:val="16"/>
              </w:rPr>
              <w:t xml:space="preserve">4,915 </w:t>
            </w:r>
          </w:p>
        </w:tc>
        <w:tc>
          <w:tcPr>
            <w:tcW w:w="851" w:type="dxa"/>
            <w:tcBorders>
              <w:top w:val="single" w:sz="4" w:space="0" w:color="000000"/>
            </w:tcBorders>
            <w:vAlign w:val="center"/>
          </w:tcPr>
          <w:p w14:paraId="17D57F1C" w14:textId="77777777" w:rsidR="00ED0032" w:rsidRPr="00B076F2" w:rsidRDefault="00ED0032">
            <w:pPr>
              <w:rPr>
                <w:b/>
                <w:bCs/>
              </w:rPr>
            </w:pPr>
            <w:r>
              <w:rPr>
                <w:rFonts w:cs="Arial"/>
                <w:color w:val="000000"/>
                <w:szCs w:val="16"/>
              </w:rPr>
              <w:t xml:space="preserve">173,723 </w:t>
            </w:r>
          </w:p>
        </w:tc>
        <w:tc>
          <w:tcPr>
            <w:tcW w:w="851" w:type="dxa"/>
            <w:tcBorders>
              <w:top w:val="single" w:sz="4" w:space="0" w:color="000000"/>
            </w:tcBorders>
            <w:vAlign w:val="center"/>
          </w:tcPr>
          <w:p w14:paraId="747A08F2" w14:textId="77777777" w:rsidR="00ED0032" w:rsidRPr="00B076F2" w:rsidRDefault="00ED0032">
            <w:pPr>
              <w:rPr>
                <w:b/>
                <w:bCs/>
              </w:rPr>
            </w:pPr>
            <w:r>
              <w:rPr>
                <w:rFonts w:cs="Arial"/>
                <w:color w:val="000000"/>
                <w:szCs w:val="16"/>
              </w:rPr>
              <w:t xml:space="preserve">32,399 </w:t>
            </w:r>
          </w:p>
        </w:tc>
        <w:tc>
          <w:tcPr>
            <w:tcW w:w="851" w:type="dxa"/>
            <w:tcBorders>
              <w:top w:val="single" w:sz="4" w:space="0" w:color="000000"/>
            </w:tcBorders>
            <w:vAlign w:val="center"/>
          </w:tcPr>
          <w:p w14:paraId="08B61977" w14:textId="77777777" w:rsidR="00ED0032" w:rsidRPr="00B076F2" w:rsidRDefault="00ED0032">
            <w:pPr>
              <w:rPr>
                <w:b/>
                <w:bCs/>
              </w:rPr>
            </w:pPr>
            <w:r>
              <w:rPr>
                <w:rFonts w:cs="Arial"/>
                <w:color w:val="000000"/>
                <w:szCs w:val="16"/>
              </w:rPr>
              <w:t>(412)</w:t>
            </w:r>
          </w:p>
        </w:tc>
        <w:tc>
          <w:tcPr>
            <w:tcW w:w="851" w:type="dxa"/>
            <w:tcBorders>
              <w:top w:val="single" w:sz="4" w:space="0" w:color="000000"/>
            </w:tcBorders>
            <w:vAlign w:val="center"/>
          </w:tcPr>
          <w:p w14:paraId="4CFB8CEC" w14:textId="77777777" w:rsidR="00ED0032" w:rsidRPr="00B076F2" w:rsidRDefault="00ED0032">
            <w:pPr>
              <w:rPr>
                <w:b/>
                <w:bCs/>
              </w:rPr>
            </w:pPr>
            <w:r>
              <w:rPr>
                <w:rFonts w:cs="Arial"/>
                <w:color w:val="000000"/>
                <w:szCs w:val="16"/>
              </w:rPr>
              <w:t>(2,088)</w:t>
            </w:r>
          </w:p>
        </w:tc>
        <w:tc>
          <w:tcPr>
            <w:tcW w:w="990" w:type="dxa"/>
            <w:tcBorders>
              <w:top w:val="single" w:sz="4" w:space="0" w:color="000000"/>
            </w:tcBorders>
            <w:vAlign w:val="center"/>
          </w:tcPr>
          <w:p w14:paraId="695A1764" w14:textId="77777777" w:rsidR="00ED0032" w:rsidRPr="00B076F2" w:rsidRDefault="00ED0032">
            <w:pPr>
              <w:rPr>
                <w:b/>
                <w:bCs/>
              </w:rPr>
            </w:pPr>
            <w:r>
              <w:rPr>
                <w:rFonts w:cs="Arial"/>
                <w:color w:val="000000"/>
                <w:szCs w:val="16"/>
              </w:rPr>
              <w:t>(5,293)</w:t>
            </w:r>
          </w:p>
        </w:tc>
        <w:tc>
          <w:tcPr>
            <w:tcW w:w="992" w:type="dxa"/>
            <w:tcBorders>
              <w:top w:val="single" w:sz="4" w:space="0" w:color="000000"/>
            </w:tcBorders>
            <w:vAlign w:val="center"/>
          </w:tcPr>
          <w:p w14:paraId="4040597B" w14:textId="77777777" w:rsidR="00ED0032" w:rsidRPr="00CF4AE4" w:rsidRDefault="00ED0032">
            <w:pPr>
              <w:rPr>
                <w:b/>
                <w:bCs/>
              </w:rPr>
            </w:pPr>
            <w:r w:rsidRPr="00CF4AE4">
              <w:rPr>
                <w:rFonts w:cs="Arial"/>
                <w:szCs w:val="16"/>
              </w:rPr>
              <w:t xml:space="preserve">203,244 </w:t>
            </w:r>
          </w:p>
        </w:tc>
        <w:tc>
          <w:tcPr>
            <w:tcW w:w="850" w:type="dxa"/>
            <w:tcBorders>
              <w:top w:val="single" w:sz="4" w:space="0" w:color="000000"/>
            </w:tcBorders>
            <w:vAlign w:val="center"/>
          </w:tcPr>
          <w:p w14:paraId="7FB58AB6" w14:textId="77777777" w:rsidR="00ED0032" w:rsidRPr="00B076F2" w:rsidRDefault="00ED0032">
            <w:pPr>
              <w:rPr>
                <w:b/>
                <w:bCs/>
              </w:rPr>
            </w:pPr>
            <w:r>
              <w:rPr>
                <w:rFonts w:cs="Arial"/>
                <w:color w:val="000000"/>
                <w:szCs w:val="16"/>
              </w:rPr>
              <w:t xml:space="preserve">5,631 </w:t>
            </w:r>
          </w:p>
        </w:tc>
        <w:tc>
          <w:tcPr>
            <w:tcW w:w="710" w:type="dxa"/>
            <w:tcBorders>
              <w:top w:val="single" w:sz="4" w:space="0" w:color="000000"/>
            </w:tcBorders>
            <w:vAlign w:val="center"/>
          </w:tcPr>
          <w:p w14:paraId="72976FCF" w14:textId="77777777" w:rsidR="00ED0032" w:rsidRPr="00B076F2" w:rsidRDefault="00ED0032">
            <w:pPr>
              <w:rPr>
                <w:b/>
                <w:bCs/>
              </w:rPr>
            </w:pPr>
            <w:r>
              <w:rPr>
                <w:rFonts w:cs="Arial"/>
                <w:color w:val="000000"/>
                <w:szCs w:val="16"/>
              </w:rPr>
              <w:t xml:space="preserve">208,875 </w:t>
            </w:r>
          </w:p>
        </w:tc>
      </w:tr>
      <w:bookmarkEnd w:id="27"/>
    </w:tbl>
    <w:p w14:paraId="196C3C45" w14:textId="77777777" w:rsidR="00ED0032" w:rsidRDefault="00ED0032"/>
    <w:p w14:paraId="372651D8" w14:textId="77777777" w:rsidR="00271E37" w:rsidRDefault="00271E37">
      <w:r>
        <w:br w:type="page"/>
      </w:r>
    </w:p>
    <w:p w14:paraId="541EA528" w14:textId="77777777" w:rsidR="00271E37" w:rsidRDefault="00271E37">
      <w:pPr>
        <w:pStyle w:val="Heading1"/>
      </w:pPr>
      <w:r>
        <w:lastRenderedPageBreak/>
        <w:t xml:space="preserve">Consolidated balance sheet </w:t>
      </w:r>
    </w:p>
    <w:p w14:paraId="36B2D9A1" w14:textId="21BC5ED0" w:rsidR="00271E37" w:rsidRPr="008B255C" w:rsidRDefault="00271E37" w:rsidP="008B255C">
      <w:pPr>
        <w:rPr>
          <w:b/>
          <w:bCs/>
        </w:rPr>
      </w:pPr>
      <w:r w:rsidRPr="008B255C">
        <w:rPr>
          <w:b/>
          <w:bCs/>
        </w:rPr>
        <w:t xml:space="preserve">As </w:t>
      </w:r>
      <w:r w:rsidRPr="009C7E23">
        <w:rPr>
          <w:b/>
          <w:bCs/>
        </w:rPr>
        <w:t>at 31 March</w:t>
      </w:r>
      <w:r w:rsidR="00793496" w:rsidRPr="009C7E23">
        <w:rPr>
          <w:b/>
          <w:bCs/>
        </w:rPr>
        <w:t xml:space="preserve"> 2026</w:t>
      </w:r>
    </w:p>
    <w:p w14:paraId="0653D720" w14:textId="77777777" w:rsidR="00271E37" w:rsidRDefault="00271E37" w:rsidP="008B255C"/>
    <w:tbl>
      <w:tblPr>
        <w:tblStyle w:val="tableDUL"/>
        <w:tblW w:w="9639" w:type="dxa"/>
        <w:tblLayout w:type="fixed"/>
        <w:tblLook w:val="04A0" w:firstRow="1" w:lastRow="0" w:firstColumn="1" w:lastColumn="0" w:noHBand="0" w:noVBand="1"/>
      </w:tblPr>
      <w:tblGrid>
        <w:gridCol w:w="5103"/>
        <w:gridCol w:w="567"/>
        <w:gridCol w:w="567"/>
        <w:gridCol w:w="1134"/>
        <w:gridCol w:w="1134"/>
        <w:gridCol w:w="1134"/>
      </w:tblGrid>
      <w:tr w:rsidR="00271E37" w:rsidRPr="008B255C" w14:paraId="18D88922" w14:textId="77777777" w:rsidTr="00F026F9">
        <w:tc>
          <w:tcPr>
            <w:tcW w:w="5103" w:type="dxa"/>
            <w:tcBorders>
              <w:top w:val="single" w:sz="4" w:space="0" w:color="auto"/>
            </w:tcBorders>
          </w:tcPr>
          <w:p w14:paraId="59708DBD" w14:textId="77777777" w:rsidR="00271E37" w:rsidRPr="008B255C" w:rsidRDefault="00271E37" w:rsidP="008B255C">
            <w:pPr>
              <w:jc w:val="left"/>
            </w:pPr>
          </w:p>
        </w:tc>
        <w:tc>
          <w:tcPr>
            <w:tcW w:w="567" w:type="dxa"/>
            <w:tcBorders>
              <w:top w:val="single" w:sz="4" w:space="0" w:color="auto"/>
            </w:tcBorders>
          </w:tcPr>
          <w:p w14:paraId="4DFA5E75" w14:textId="77777777" w:rsidR="00271E37" w:rsidRPr="008B255C" w:rsidRDefault="00271E37" w:rsidP="000923EA"/>
        </w:tc>
        <w:tc>
          <w:tcPr>
            <w:tcW w:w="567" w:type="dxa"/>
            <w:tcBorders>
              <w:top w:val="single" w:sz="4" w:space="0" w:color="auto"/>
            </w:tcBorders>
          </w:tcPr>
          <w:p w14:paraId="19067D55" w14:textId="77777777" w:rsidR="00271E37" w:rsidRPr="008B255C" w:rsidRDefault="00271E37" w:rsidP="000923EA">
            <w:pPr>
              <w:rPr>
                <w:b/>
                <w:bCs/>
              </w:rPr>
            </w:pPr>
          </w:p>
        </w:tc>
        <w:tc>
          <w:tcPr>
            <w:tcW w:w="1134" w:type="dxa"/>
            <w:tcBorders>
              <w:top w:val="single" w:sz="4" w:space="0" w:color="auto"/>
            </w:tcBorders>
          </w:tcPr>
          <w:p w14:paraId="2902DCA7" w14:textId="77777777" w:rsidR="00271E37" w:rsidRDefault="00271E37">
            <w:pPr>
              <w:rPr>
                <w:b/>
                <w:bCs/>
              </w:rPr>
            </w:pPr>
          </w:p>
          <w:p w14:paraId="37EEF608" w14:textId="77777777" w:rsidR="00914418" w:rsidRDefault="00914418" w:rsidP="000923EA">
            <w:pPr>
              <w:rPr>
                <w:b/>
                <w:bCs/>
              </w:rPr>
            </w:pPr>
          </w:p>
          <w:p w14:paraId="6DD7C40A" w14:textId="4B19CD8A" w:rsidR="00271E37" w:rsidRPr="008B255C" w:rsidRDefault="00271E37" w:rsidP="000923EA">
            <w:r w:rsidRPr="008B255C">
              <w:rPr>
                <w:b/>
                <w:bCs/>
              </w:rPr>
              <w:t>202</w:t>
            </w:r>
            <w:r>
              <w:rPr>
                <w:b/>
                <w:bCs/>
              </w:rPr>
              <w:t>6</w:t>
            </w:r>
          </w:p>
        </w:tc>
        <w:tc>
          <w:tcPr>
            <w:tcW w:w="1134" w:type="dxa"/>
            <w:tcBorders>
              <w:top w:val="single" w:sz="4" w:space="0" w:color="auto"/>
            </w:tcBorders>
            <w:vAlign w:val="bottom"/>
          </w:tcPr>
          <w:p w14:paraId="58B4D6C5" w14:textId="77777777" w:rsidR="004011AB" w:rsidRPr="00914418" w:rsidRDefault="004011AB" w:rsidP="000923EA"/>
          <w:p w14:paraId="58295B5F" w14:textId="2C2BFF50" w:rsidR="00271E37" w:rsidRPr="00914418" w:rsidRDefault="00271E37" w:rsidP="000923EA">
            <w:r w:rsidRPr="00914418">
              <w:t>2025</w:t>
            </w:r>
          </w:p>
        </w:tc>
        <w:tc>
          <w:tcPr>
            <w:tcW w:w="1134" w:type="dxa"/>
            <w:tcBorders>
              <w:top w:val="single" w:sz="4" w:space="0" w:color="auto"/>
              <w:bottom w:val="nil"/>
            </w:tcBorders>
            <w:vAlign w:val="bottom"/>
          </w:tcPr>
          <w:p w14:paraId="150962CC" w14:textId="77777777" w:rsidR="004011AB" w:rsidRPr="00914418" w:rsidRDefault="004011AB"/>
          <w:p w14:paraId="2351EC07" w14:textId="77777777" w:rsidR="00271E37" w:rsidRPr="00914418" w:rsidRDefault="00271E37">
            <w:r w:rsidRPr="00914418">
              <w:t>2024</w:t>
            </w:r>
          </w:p>
        </w:tc>
      </w:tr>
      <w:tr w:rsidR="00271E37" w:rsidRPr="008B255C" w14:paraId="512F1A5C" w14:textId="77777777">
        <w:tc>
          <w:tcPr>
            <w:tcW w:w="5103" w:type="dxa"/>
            <w:tcBorders>
              <w:bottom w:val="single" w:sz="4" w:space="0" w:color="000000" w:themeColor="text1"/>
            </w:tcBorders>
          </w:tcPr>
          <w:p w14:paraId="4611A6DB" w14:textId="77777777" w:rsidR="00271E37" w:rsidRPr="008B255C" w:rsidRDefault="00271E37" w:rsidP="008B255C">
            <w:pPr>
              <w:jc w:val="left"/>
            </w:pPr>
          </w:p>
        </w:tc>
        <w:tc>
          <w:tcPr>
            <w:tcW w:w="567" w:type="dxa"/>
            <w:tcBorders>
              <w:bottom w:val="single" w:sz="4" w:space="0" w:color="000000" w:themeColor="text1"/>
            </w:tcBorders>
          </w:tcPr>
          <w:p w14:paraId="2E3B00AB" w14:textId="77777777" w:rsidR="00271E37" w:rsidRPr="008B255C" w:rsidRDefault="00271E37" w:rsidP="000923EA"/>
        </w:tc>
        <w:tc>
          <w:tcPr>
            <w:tcW w:w="567" w:type="dxa"/>
            <w:tcBorders>
              <w:bottom w:val="single" w:sz="4" w:space="0" w:color="000000" w:themeColor="text1"/>
            </w:tcBorders>
          </w:tcPr>
          <w:p w14:paraId="2895632F" w14:textId="77777777" w:rsidR="00271E37" w:rsidRPr="008B255C" w:rsidRDefault="00271E37" w:rsidP="000923EA">
            <w:pPr>
              <w:rPr>
                <w:b/>
                <w:bCs/>
              </w:rPr>
            </w:pPr>
            <w:r w:rsidRPr="008B255C">
              <w:t>Note</w:t>
            </w:r>
          </w:p>
        </w:tc>
        <w:tc>
          <w:tcPr>
            <w:tcW w:w="1134" w:type="dxa"/>
            <w:tcBorders>
              <w:bottom w:val="single" w:sz="4" w:space="0" w:color="000000" w:themeColor="text1"/>
            </w:tcBorders>
          </w:tcPr>
          <w:p w14:paraId="060ACB5C" w14:textId="77777777" w:rsidR="00271E37" w:rsidRPr="008B255C" w:rsidRDefault="00271E37" w:rsidP="000923EA">
            <w:r>
              <w:rPr>
                <w:b/>
                <w:bCs/>
              </w:rPr>
              <w:t>£</w:t>
            </w:r>
            <w:r w:rsidRPr="008B255C">
              <w:rPr>
                <w:b/>
                <w:bCs/>
              </w:rPr>
              <w:t>000</w:t>
            </w:r>
          </w:p>
        </w:tc>
        <w:tc>
          <w:tcPr>
            <w:tcW w:w="1134" w:type="dxa"/>
            <w:tcBorders>
              <w:bottom w:val="single" w:sz="4" w:space="0" w:color="000000" w:themeColor="text1"/>
            </w:tcBorders>
          </w:tcPr>
          <w:p w14:paraId="67282E42" w14:textId="77777777" w:rsidR="00271E37" w:rsidRPr="008B255C" w:rsidRDefault="00271E37" w:rsidP="000923EA">
            <w:r>
              <w:t>£</w:t>
            </w:r>
            <w:r w:rsidRPr="008B255C">
              <w:t>000</w:t>
            </w:r>
          </w:p>
        </w:tc>
        <w:tc>
          <w:tcPr>
            <w:tcW w:w="1134" w:type="dxa"/>
            <w:tcBorders>
              <w:bottom w:val="single" w:sz="4" w:space="0" w:color="auto"/>
            </w:tcBorders>
          </w:tcPr>
          <w:p w14:paraId="0B838FC4" w14:textId="77777777" w:rsidR="00271E37" w:rsidRDefault="00271E37">
            <w:r>
              <w:t>£</w:t>
            </w:r>
            <w:r w:rsidRPr="008B255C">
              <w:t>000</w:t>
            </w:r>
          </w:p>
        </w:tc>
      </w:tr>
      <w:tr w:rsidR="00271E37" w:rsidRPr="008B255C" w14:paraId="2772C575" w14:textId="77777777">
        <w:tc>
          <w:tcPr>
            <w:tcW w:w="5103" w:type="dxa"/>
            <w:tcBorders>
              <w:top w:val="single" w:sz="4" w:space="0" w:color="000000" w:themeColor="text1"/>
            </w:tcBorders>
          </w:tcPr>
          <w:p w14:paraId="17131231" w14:textId="77777777" w:rsidR="00271E37" w:rsidRPr="00022AA5" w:rsidRDefault="00271E37" w:rsidP="008B255C">
            <w:pPr>
              <w:jc w:val="left"/>
              <w:rPr>
                <w:b/>
                <w:bCs/>
              </w:rPr>
            </w:pPr>
            <w:r w:rsidRPr="00022AA5">
              <w:rPr>
                <w:b/>
                <w:bCs/>
              </w:rPr>
              <w:t>Non-current assets</w:t>
            </w:r>
          </w:p>
        </w:tc>
        <w:tc>
          <w:tcPr>
            <w:tcW w:w="567" w:type="dxa"/>
            <w:tcBorders>
              <w:top w:val="single" w:sz="4" w:space="0" w:color="000000" w:themeColor="text1"/>
            </w:tcBorders>
          </w:tcPr>
          <w:p w14:paraId="51ADA250" w14:textId="77777777" w:rsidR="00271E37" w:rsidRPr="008B255C" w:rsidRDefault="00271E37" w:rsidP="000923EA"/>
        </w:tc>
        <w:tc>
          <w:tcPr>
            <w:tcW w:w="567" w:type="dxa"/>
            <w:tcBorders>
              <w:top w:val="single" w:sz="4" w:space="0" w:color="000000" w:themeColor="text1"/>
            </w:tcBorders>
          </w:tcPr>
          <w:p w14:paraId="0D38BFF7" w14:textId="77777777" w:rsidR="00271E37" w:rsidRPr="008B255C" w:rsidRDefault="00271E37" w:rsidP="000923EA">
            <w:pPr>
              <w:rPr>
                <w:b/>
                <w:bCs/>
              </w:rPr>
            </w:pPr>
          </w:p>
        </w:tc>
        <w:tc>
          <w:tcPr>
            <w:tcW w:w="1134" w:type="dxa"/>
            <w:tcBorders>
              <w:top w:val="single" w:sz="4" w:space="0" w:color="000000" w:themeColor="text1"/>
            </w:tcBorders>
          </w:tcPr>
          <w:p w14:paraId="55292598" w14:textId="77777777" w:rsidR="00271E37" w:rsidRPr="008B255C" w:rsidRDefault="00271E37" w:rsidP="000923EA"/>
        </w:tc>
        <w:tc>
          <w:tcPr>
            <w:tcW w:w="1134" w:type="dxa"/>
            <w:tcBorders>
              <w:top w:val="single" w:sz="4" w:space="0" w:color="000000" w:themeColor="text1"/>
            </w:tcBorders>
          </w:tcPr>
          <w:p w14:paraId="26942145" w14:textId="77777777" w:rsidR="00271E37" w:rsidRPr="008B255C" w:rsidRDefault="00271E37" w:rsidP="000923EA"/>
        </w:tc>
        <w:tc>
          <w:tcPr>
            <w:tcW w:w="1134" w:type="dxa"/>
            <w:tcBorders>
              <w:top w:val="single" w:sz="4" w:space="0" w:color="auto"/>
            </w:tcBorders>
          </w:tcPr>
          <w:p w14:paraId="1BCD20DF" w14:textId="77777777" w:rsidR="00271E37" w:rsidRPr="008B255C" w:rsidRDefault="00271E37"/>
        </w:tc>
      </w:tr>
      <w:tr w:rsidR="00271E37" w:rsidRPr="008B255C" w14:paraId="1495E140" w14:textId="77777777">
        <w:tc>
          <w:tcPr>
            <w:tcW w:w="5103" w:type="dxa"/>
          </w:tcPr>
          <w:p w14:paraId="790DE70D" w14:textId="77777777" w:rsidR="00271E37" w:rsidRPr="008B255C" w:rsidRDefault="00271E37">
            <w:pPr>
              <w:jc w:val="left"/>
            </w:pPr>
            <w:r w:rsidRPr="008B255C">
              <w:t>Property, plant and equipment</w:t>
            </w:r>
          </w:p>
        </w:tc>
        <w:tc>
          <w:tcPr>
            <w:tcW w:w="567" w:type="dxa"/>
          </w:tcPr>
          <w:p w14:paraId="2565DDDA" w14:textId="77777777" w:rsidR="00271E37" w:rsidRPr="008B255C" w:rsidRDefault="00271E37"/>
        </w:tc>
        <w:tc>
          <w:tcPr>
            <w:tcW w:w="567" w:type="dxa"/>
          </w:tcPr>
          <w:p w14:paraId="4FFCBF0C" w14:textId="77777777" w:rsidR="00271E37" w:rsidRPr="008424B2" w:rsidRDefault="00271E37">
            <w:pPr>
              <w:rPr>
                <w:b/>
                <w:bCs/>
              </w:rPr>
            </w:pPr>
            <w:r w:rsidRPr="008B255C">
              <w:t>8</w:t>
            </w:r>
          </w:p>
        </w:tc>
        <w:tc>
          <w:tcPr>
            <w:tcW w:w="1134" w:type="dxa"/>
            <w:vAlign w:val="center"/>
          </w:tcPr>
          <w:p w14:paraId="2E3A1ACF" w14:textId="77777777" w:rsidR="00271E37" w:rsidRPr="00F61E57" w:rsidRDefault="00271E37">
            <w:pPr>
              <w:rPr>
                <w:b/>
                <w:bCs/>
              </w:rPr>
            </w:pPr>
            <w:r>
              <w:rPr>
                <w:rFonts w:cs="Arial"/>
                <w:b/>
                <w:bCs/>
                <w:color w:val="000000"/>
                <w:szCs w:val="16"/>
              </w:rPr>
              <w:t xml:space="preserve">17,579 </w:t>
            </w:r>
          </w:p>
        </w:tc>
        <w:tc>
          <w:tcPr>
            <w:tcW w:w="1134" w:type="dxa"/>
            <w:vAlign w:val="center"/>
          </w:tcPr>
          <w:p w14:paraId="06233CD0" w14:textId="77777777" w:rsidR="00271E37" w:rsidRPr="008B255C" w:rsidRDefault="00271E37">
            <w:r>
              <w:rPr>
                <w:rFonts w:cs="Arial"/>
                <w:color w:val="000000"/>
                <w:szCs w:val="16"/>
              </w:rPr>
              <w:t xml:space="preserve">41,407 </w:t>
            </w:r>
          </w:p>
        </w:tc>
        <w:tc>
          <w:tcPr>
            <w:tcW w:w="1134" w:type="dxa"/>
            <w:vAlign w:val="center"/>
          </w:tcPr>
          <w:p w14:paraId="10E0A13A" w14:textId="77777777" w:rsidR="00271E37" w:rsidRPr="008B255C" w:rsidRDefault="00271E37">
            <w:r>
              <w:rPr>
                <w:rFonts w:cs="Arial"/>
                <w:color w:val="000000"/>
                <w:szCs w:val="16"/>
              </w:rPr>
              <w:t xml:space="preserve">53,147 </w:t>
            </w:r>
          </w:p>
        </w:tc>
      </w:tr>
      <w:tr w:rsidR="00271E37" w:rsidRPr="008B255C" w14:paraId="50972E32" w14:textId="77777777">
        <w:tc>
          <w:tcPr>
            <w:tcW w:w="5103" w:type="dxa"/>
          </w:tcPr>
          <w:p w14:paraId="54EF0A0C" w14:textId="77777777" w:rsidR="00271E37" w:rsidRPr="008B255C" w:rsidRDefault="00271E37">
            <w:pPr>
              <w:jc w:val="left"/>
            </w:pPr>
            <w:r w:rsidRPr="008B255C">
              <w:t>Intangible assets</w:t>
            </w:r>
          </w:p>
        </w:tc>
        <w:tc>
          <w:tcPr>
            <w:tcW w:w="567" w:type="dxa"/>
          </w:tcPr>
          <w:p w14:paraId="7161583B" w14:textId="77777777" w:rsidR="00271E37" w:rsidRPr="008B255C" w:rsidRDefault="00271E37"/>
        </w:tc>
        <w:tc>
          <w:tcPr>
            <w:tcW w:w="567" w:type="dxa"/>
          </w:tcPr>
          <w:p w14:paraId="3E82C286" w14:textId="77777777" w:rsidR="00271E37" w:rsidRPr="008424B2" w:rsidRDefault="00271E37">
            <w:pPr>
              <w:rPr>
                <w:b/>
                <w:bCs/>
              </w:rPr>
            </w:pPr>
            <w:r w:rsidRPr="008B255C">
              <w:t>9</w:t>
            </w:r>
          </w:p>
        </w:tc>
        <w:tc>
          <w:tcPr>
            <w:tcW w:w="1134" w:type="dxa"/>
            <w:vAlign w:val="center"/>
          </w:tcPr>
          <w:p w14:paraId="396D6885" w14:textId="77777777" w:rsidR="00271E37" w:rsidRPr="00F61E57" w:rsidRDefault="00271E37">
            <w:pPr>
              <w:rPr>
                <w:b/>
                <w:bCs/>
              </w:rPr>
            </w:pPr>
            <w:r>
              <w:rPr>
                <w:rFonts w:cs="Arial"/>
                <w:b/>
                <w:bCs/>
                <w:color w:val="000000"/>
                <w:szCs w:val="16"/>
              </w:rPr>
              <w:t xml:space="preserve">11,047 </w:t>
            </w:r>
          </w:p>
        </w:tc>
        <w:tc>
          <w:tcPr>
            <w:tcW w:w="1134" w:type="dxa"/>
            <w:vAlign w:val="center"/>
          </w:tcPr>
          <w:p w14:paraId="354F87FD" w14:textId="77777777" w:rsidR="00271E37" w:rsidRPr="008B255C" w:rsidRDefault="00271E37">
            <w:r>
              <w:rPr>
                <w:rFonts w:cs="Arial"/>
                <w:color w:val="000000"/>
                <w:szCs w:val="16"/>
              </w:rPr>
              <w:t xml:space="preserve">17,698 </w:t>
            </w:r>
          </w:p>
        </w:tc>
        <w:tc>
          <w:tcPr>
            <w:tcW w:w="1134" w:type="dxa"/>
            <w:vAlign w:val="center"/>
          </w:tcPr>
          <w:p w14:paraId="4720CE4D" w14:textId="77777777" w:rsidR="00271E37" w:rsidRPr="008B255C" w:rsidRDefault="00271E37">
            <w:r>
              <w:rPr>
                <w:rFonts w:cs="Arial"/>
                <w:color w:val="000000"/>
                <w:szCs w:val="16"/>
              </w:rPr>
              <w:t xml:space="preserve">59,243 </w:t>
            </w:r>
          </w:p>
        </w:tc>
      </w:tr>
      <w:tr w:rsidR="00271E37" w:rsidRPr="008B255C" w14:paraId="66B16863" w14:textId="77777777">
        <w:tc>
          <w:tcPr>
            <w:tcW w:w="5103" w:type="dxa"/>
          </w:tcPr>
          <w:p w14:paraId="52D42647" w14:textId="77777777" w:rsidR="00271E37" w:rsidRPr="008B255C" w:rsidRDefault="00271E37">
            <w:pPr>
              <w:jc w:val="left"/>
            </w:pPr>
            <w:r w:rsidRPr="008B255C">
              <w:t>Right-of-use assets</w:t>
            </w:r>
          </w:p>
        </w:tc>
        <w:tc>
          <w:tcPr>
            <w:tcW w:w="567" w:type="dxa"/>
          </w:tcPr>
          <w:p w14:paraId="2FCD6423" w14:textId="77777777" w:rsidR="00271E37" w:rsidRPr="008B255C" w:rsidRDefault="00271E37"/>
        </w:tc>
        <w:tc>
          <w:tcPr>
            <w:tcW w:w="567" w:type="dxa"/>
          </w:tcPr>
          <w:p w14:paraId="75874D3B" w14:textId="77777777" w:rsidR="00271E37" w:rsidRPr="008424B2" w:rsidRDefault="00271E37">
            <w:pPr>
              <w:rPr>
                <w:b/>
                <w:bCs/>
              </w:rPr>
            </w:pPr>
            <w:r w:rsidRPr="008B255C">
              <w:t>10</w:t>
            </w:r>
          </w:p>
        </w:tc>
        <w:tc>
          <w:tcPr>
            <w:tcW w:w="1134" w:type="dxa"/>
            <w:vAlign w:val="center"/>
          </w:tcPr>
          <w:p w14:paraId="62AACB50" w14:textId="77777777" w:rsidR="00271E37" w:rsidRPr="00F61E57" w:rsidRDefault="00271E37">
            <w:pPr>
              <w:rPr>
                <w:b/>
                <w:bCs/>
              </w:rPr>
            </w:pPr>
            <w:r>
              <w:rPr>
                <w:rFonts w:cs="Arial"/>
                <w:b/>
                <w:bCs/>
                <w:color w:val="000000"/>
                <w:szCs w:val="16"/>
              </w:rPr>
              <w:t xml:space="preserve">30,027 </w:t>
            </w:r>
          </w:p>
        </w:tc>
        <w:tc>
          <w:tcPr>
            <w:tcW w:w="1134" w:type="dxa"/>
            <w:vAlign w:val="center"/>
          </w:tcPr>
          <w:p w14:paraId="4D46B811" w14:textId="77777777" w:rsidR="00271E37" w:rsidRPr="008B255C" w:rsidRDefault="00271E37">
            <w:r>
              <w:rPr>
                <w:rFonts w:cs="Arial"/>
                <w:color w:val="000000"/>
                <w:szCs w:val="16"/>
              </w:rPr>
              <w:t xml:space="preserve">50,229 </w:t>
            </w:r>
          </w:p>
        </w:tc>
        <w:tc>
          <w:tcPr>
            <w:tcW w:w="1134" w:type="dxa"/>
            <w:vAlign w:val="center"/>
          </w:tcPr>
          <w:p w14:paraId="2D10559E" w14:textId="77777777" w:rsidR="00271E37" w:rsidRPr="008B255C" w:rsidRDefault="00271E37">
            <w:r>
              <w:rPr>
                <w:rFonts w:cs="Arial"/>
                <w:color w:val="000000"/>
                <w:szCs w:val="16"/>
              </w:rPr>
              <w:t xml:space="preserve">46,849 </w:t>
            </w:r>
          </w:p>
        </w:tc>
      </w:tr>
      <w:tr w:rsidR="00271E37" w:rsidRPr="008B255C" w14:paraId="7F47E741" w14:textId="77777777">
        <w:tc>
          <w:tcPr>
            <w:tcW w:w="5103" w:type="dxa"/>
          </w:tcPr>
          <w:p w14:paraId="3EFE7D93" w14:textId="77777777" w:rsidR="00271E37" w:rsidRPr="008B255C" w:rsidRDefault="00271E37">
            <w:pPr>
              <w:jc w:val="left"/>
            </w:pPr>
            <w:r w:rsidRPr="008B255C">
              <w:t>Long-term assets</w:t>
            </w:r>
          </w:p>
        </w:tc>
        <w:tc>
          <w:tcPr>
            <w:tcW w:w="567" w:type="dxa"/>
          </w:tcPr>
          <w:p w14:paraId="4424418D" w14:textId="77777777" w:rsidR="00271E37" w:rsidRPr="008B255C" w:rsidRDefault="00271E37"/>
        </w:tc>
        <w:tc>
          <w:tcPr>
            <w:tcW w:w="567" w:type="dxa"/>
          </w:tcPr>
          <w:p w14:paraId="3DF38D33" w14:textId="77777777" w:rsidR="00271E37" w:rsidRPr="008424B2" w:rsidRDefault="00271E37">
            <w:pPr>
              <w:rPr>
                <w:b/>
                <w:bCs/>
              </w:rPr>
            </w:pPr>
            <w:r w:rsidRPr="008B255C">
              <w:t>13</w:t>
            </w:r>
          </w:p>
        </w:tc>
        <w:tc>
          <w:tcPr>
            <w:tcW w:w="1134" w:type="dxa"/>
            <w:vAlign w:val="center"/>
          </w:tcPr>
          <w:p w14:paraId="437CA23D" w14:textId="77777777" w:rsidR="00271E37" w:rsidRPr="00F61E57" w:rsidRDefault="00271E37">
            <w:pPr>
              <w:rPr>
                <w:b/>
                <w:bCs/>
              </w:rPr>
            </w:pPr>
            <w:r>
              <w:rPr>
                <w:rFonts w:cs="Arial"/>
                <w:b/>
                <w:bCs/>
                <w:color w:val="000000"/>
                <w:szCs w:val="16"/>
              </w:rPr>
              <w:t xml:space="preserve"> - </w:t>
            </w:r>
          </w:p>
        </w:tc>
        <w:tc>
          <w:tcPr>
            <w:tcW w:w="1134" w:type="dxa"/>
            <w:vAlign w:val="center"/>
          </w:tcPr>
          <w:p w14:paraId="1F68C74B" w14:textId="77777777" w:rsidR="00271E37" w:rsidRPr="008B255C" w:rsidRDefault="00271E37">
            <w:r>
              <w:rPr>
                <w:rFonts w:cs="Arial"/>
                <w:color w:val="000000"/>
                <w:szCs w:val="16"/>
              </w:rPr>
              <w:t xml:space="preserve">2,241 </w:t>
            </w:r>
          </w:p>
        </w:tc>
        <w:tc>
          <w:tcPr>
            <w:tcW w:w="1134" w:type="dxa"/>
            <w:vAlign w:val="center"/>
          </w:tcPr>
          <w:p w14:paraId="11B24684" w14:textId="77777777" w:rsidR="00271E37" w:rsidRPr="008B255C" w:rsidRDefault="00271E37">
            <w:r>
              <w:rPr>
                <w:rFonts w:cs="Arial"/>
                <w:color w:val="000000"/>
                <w:szCs w:val="16"/>
              </w:rPr>
              <w:t xml:space="preserve">3,684 </w:t>
            </w:r>
          </w:p>
        </w:tc>
      </w:tr>
      <w:tr w:rsidR="00271E37" w:rsidRPr="008B255C" w14:paraId="187EF192" w14:textId="77777777">
        <w:tc>
          <w:tcPr>
            <w:tcW w:w="5103" w:type="dxa"/>
            <w:tcBorders>
              <w:bottom w:val="single" w:sz="4" w:space="0" w:color="000000" w:themeColor="text1"/>
            </w:tcBorders>
          </w:tcPr>
          <w:p w14:paraId="047F9663" w14:textId="77777777" w:rsidR="00271E37" w:rsidRPr="008B255C" w:rsidRDefault="00271E37">
            <w:pPr>
              <w:jc w:val="left"/>
            </w:pPr>
            <w:r w:rsidRPr="008B255C">
              <w:t xml:space="preserve">Deferred tax assets </w:t>
            </w:r>
          </w:p>
        </w:tc>
        <w:tc>
          <w:tcPr>
            <w:tcW w:w="567" w:type="dxa"/>
            <w:tcBorders>
              <w:bottom w:val="single" w:sz="4" w:space="0" w:color="000000" w:themeColor="text1"/>
            </w:tcBorders>
          </w:tcPr>
          <w:p w14:paraId="2DB90B7D" w14:textId="77777777" w:rsidR="00271E37" w:rsidRPr="008B255C" w:rsidRDefault="00271E37"/>
        </w:tc>
        <w:tc>
          <w:tcPr>
            <w:tcW w:w="567" w:type="dxa"/>
            <w:tcBorders>
              <w:bottom w:val="single" w:sz="4" w:space="0" w:color="000000" w:themeColor="text1"/>
            </w:tcBorders>
          </w:tcPr>
          <w:p w14:paraId="2EFA84BE" w14:textId="77777777" w:rsidR="00271E37" w:rsidRPr="008424B2" w:rsidRDefault="00271E37">
            <w:pPr>
              <w:rPr>
                <w:b/>
                <w:bCs/>
              </w:rPr>
            </w:pPr>
            <w:r w:rsidRPr="008B255C">
              <w:t>11</w:t>
            </w:r>
          </w:p>
        </w:tc>
        <w:tc>
          <w:tcPr>
            <w:tcW w:w="1134" w:type="dxa"/>
            <w:tcBorders>
              <w:bottom w:val="single" w:sz="4" w:space="0" w:color="000000" w:themeColor="text1"/>
            </w:tcBorders>
            <w:vAlign w:val="center"/>
          </w:tcPr>
          <w:p w14:paraId="5BC327B1" w14:textId="77777777" w:rsidR="00271E37" w:rsidRPr="00F61E57" w:rsidRDefault="00271E37">
            <w:pPr>
              <w:rPr>
                <w:b/>
                <w:bCs/>
              </w:rPr>
            </w:pPr>
            <w:r>
              <w:rPr>
                <w:rFonts w:cs="Arial"/>
                <w:b/>
                <w:bCs/>
                <w:color w:val="000000"/>
                <w:szCs w:val="16"/>
              </w:rPr>
              <w:t xml:space="preserve">1,322 </w:t>
            </w:r>
          </w:p>
        </w:tc>
        <w:tc>
          <w:tcPr>
            <w:tcW w:w="1134" w:type="dxa"/>
            <w:tcBorders>
              <w:bottom w:val="single" w:sz="4" w:space="0" w:color="auto"/>
            </w:tcBorders>
            <w:vAlign w:val="center"/>
          </w:tcPr>
          <w:p w14:paraId="68D693C1" w14:textId="77777777" w:rsidR="00271E37" w:rsidRPr="008B255C" w:rsidRDefault="00271E37">
            <w:r>
              <w:rPr>
                <w:rFonts w:cs="Arial"/>
                <w:color w:val="000000"/>
                <w:szCs w:val="16"/>
              </w:rPr>
              <w:t xml:space="preserve">1,009 </w:t>
            </w:r>
          </w:p>
        </w:tc>
        <w:tc>
          <w:tcPr>
            <w:tcW w:w="1134" w:type="dxa"/>
            <w:tcBorders>
              <w:bottom w:val="single" w:sz="4" w:space="0" w:color="auto"/>
            </w:tcBorders>
            <w:vAlign w:val="center"/>
          </w:tcPr>
          <w:p w14:paraId="0AEF46E2" w14:textId="77777777" w:rsidR="00271E37" w:rsidRPr="008B255C" w:rsidRDefault="00271E37">
            <w:r>
              <w:rPr>
                <w:rFonts w:cs="Arial"/>
                <w:color w:val="000000"/>
                <w:szCs w:val="16"/>
              </w:rPr>
              <w:t xml:space="preserve">30,986 </w:t>
            </w:r>
          </w:p>
        </w:tc>
      </w:tr>
      <w:tr w:rsidR="00271E37" w:rsidRPr="008B255C" w14:paraId="36C95FCC" w14:textId="77777777">
        <w:tc>
          <w:tcPr>
            <w:tcW w:w="5103" w:type="dxa"/>
            <w:tcBorders>
              <w:top w:val="single" w:sz="4" w:space="0" w:color="000000" w:themeColor="text1"/>
              <w:bottom w:val="single" w:sz="4" w:space="0" w:color="000000" w:themeColor="text1"/>
            </w:tcBorders>
          </w:tcPr>
          <w:p w14:paraId="59061A9F" w14:textId="77777777" w:rsidR="00271E37" w:rsidRPr="00022AA5" w:rsidRDefault="00271E37">
            <w:pPr>
              <w:jc w:val="left"/>
              <w:rPr>
                <w:b/>
                <w:bCs/>
              </w:rPr>
            </w:pPr>
            <w:r w:rsidRPr="00022AA5">
              <w:rPr>
                <w:b/>
                <w:bCs/>
              </w:rPr>
              <w:t>Total non-current assets</w:t>
            </w:r>
          </w:p>
        </w:tc>
        <w:tc>
          <w:tcPr>
            <w:tcW w:w="567" w:type="dxa"/>
            <w:tcBorders>
              <w:top w:val="single" w:sz="4" w:space="0" w:color="000000" w:themeColor="text1"/>
              <w:bottom w:val="single" w:sz="4" w:space="0" w:color="000000" w:themeColor="text1"/>
            </w:tcBorders>
          </w:tcPr>
          <w:p w14:paraId="5A382286" w14:textId="77777777" w:rsidR="00271E37" w:rsidRPr="008B255C" w:rsidRDefault="00271E37"/>
        </w:tc>
        <w:tc>
          <w:tcPr>
            <w:tcW w:w="567" w:type="dxa"/>
            <w:tcBorders>
              <w:top w:val="single" w:sz="4" w:space="0" w:color="000000" w:themeColor="text1"/>
              <w:bottom w:val="single" w:sz="4" w:space="0" w:color="000000" w:themeColor="text1"/>
            </w:tcBorders>
          </w:tcPr>
          <w:p w14:paraId="36914393" w14:textId="77777777" w:rsidR="00271E37" w:rsidRPr="008424B2" w:rsidRDefault="00271E37">
            <w:pPr>
              <w:rPr>
                <w:b/>
                <w:bCs/>
              </w:rPr>
            </w:pPr>
          </w:p>
        </w:tc>
        <w:tc>
          <w:tcPr>
            <w:tcW w:w="1134" w:type="dxa"/>
            <w:tcBorders>
              <w:top w:val="single" w:sz="4" w:space="0" w:color="000000" w:themeColor="text1"/>
              <w:bottom w:val="single" w:sz="4" w:space="0" w:color="000000" w:themeColor="text1"/>
            </w:tcBorders>
            <w:vAlign w:val="center"/>
          </w:tcPr>
          <w:p w14:paraId="7DDA3085" w14:textId="77777777" w:rsidR="00271E37" w:rsidRPr="00F61E57" w:rsidRDefault="00271E37">
            <w:pPr>
              <w:rPr>
                <w:b/>
                <w:bCs/>
              </w:rPr>
            </w:pPr>
            <w:r>
              <w:rPr>
                <w:rFonts w:cs="Arial"/>
                <w:b/>
                <w:bCs/>
                <w:color w:val="000000"/>
                <w:szCs w:val="16"/>
              </w:rPr>
              <w:t xml:space="preserve">59,975 </w:t>
            </w:r>
          </w:p>
        </w:tc>
        <w:tc>
          <w:tcPr>
            <w:tcW w:w="1134" w:type="dxa"/>
            <w:tcBorders>
              <w:top w:val="single" w:sz="4" w:space="0" w:color="auto"/>
              <w:bottom w:val="single" w:sz="4" w:space="0" w:color="auto"/>
            </w:tcBorders>
            <w:vAlign w:val="center"/>
          </w:tcPr>
          <w:p w14:paraId="36846184" w14:textId="77777777" w:rsidR="00271E37" w:rsidRPr="008B255C" w:rsidRDefault="00271E37">
            <w:r>
              <w:rPr>
                <w:rFonts w:cs="Arial"/>
                <w:b/>
                <w:bCs/>
                <w:color w:val="000000"/>
                <w:szCs w:val="16"/>
              </w:rPr>
              <w:t xml:space="preserve">112,584 </w:t>
            </w:r>
          </w:p>
        </w:tc>
        <w:tc>
          <w:tcPr>
            <w:tcW w:w="1134" w:type="dxa"/>
            <w:tcBorders>
              <w:top w:val="single" w:sz="4" w:space="0" w:color="auto"/>
              <w:bottom w:val="single" w:sz="4" w:space="0" w:color="auto"/>
            </w:tcBorders>
            <w:vAlign w:val="center"/>
          </w:tcPr>
          <w:p w14:paraId="0F9DE0E5" w14:textId="77777777" w:rsidR="00271E37" w:rsidRPr="008B255C" w:rsidRDefault="00271E37">
            <w:r>
              <w:rPr>
                <w:rFonts w:cs="Arial"/>
                <w:b/>
                <w:bCs/>
                <w:color w:val="000000"/>
                <w:szCs w:val="16"/>
              </w:rPr>
              <w:t xml:space="preserve">193,909 </w:t>
            </w:r>
          </w:p>
        </w:tc>
      </w:tr>
      <w:tr w:rsidR="00271E37" w:rsidRPr="008B255C" w14:paraId="2B579CB6" w14:textId="77777777">
        <w:tc>
          <w:tcPr>
            <w:tcW w:w="5103" w:type="dxa"/>
            <w:tcBorders>
              <w:top w:val="single" w:sz="4" w:space="0" w:color="000000" w:themeColor="text1"/>
            </w:tcBorders>
          </w:tcPr>
          <w:p w14:paraId="666CEE32" w14:textId="77777777" w:rsidR="00271E37" w:rsidRPr="00DD777C" w:rsidRDefault="00271E37" w:rsidP="008424B2">
            <w:pPr>
              <w:jc w:val="left"/>
              <w:rPr>
                <w:b/>
                <w:bCs/>
              </w:rPr>
            </w:pPr>
            <w:r w:rsidRPr="00DD777C">
              <w:rPr>
                <w:b/>
                <w:bCs/>
              </w:rPr>
              <w:t>Current assets</w:t>
            </w:r>
          </w:p>
        </w:tc>
        <w:tc>
          <w:tcPr>
            <w:tcW w:w="567" w:type="dxa"/>
            <w:tcBorders>
              <w:top w:val="single" w:sz="4" w:space="0" w:color="000000" w:themeColor="text1"/>
            </w:tcBorders>
          </w:tcPr>
          <w:p w14:paraId="7BFAF33D" w14:textId="77777777" w:rsidR="00271E37" w:rsidRPr="008B255C" w:rsidRDefault="00271E37" w:rsidP="008424B2"/>
        </w:tc>
        <w:tc>
          <w:tcPr>
            <w:tcW w:w="567" w:type="dxa"/>
            <w:tcBorders>
              <w:top w:val="single" w:sz="4" w:space="0" w:color="000000" w:themeColor="text1"/>
            </w:tcBorders>
          </w:tcPr>
          <w:p w14:paraId="65526DC2" w14:textId="77777777" w:rsidR="00271E37" w:rsidRPr="008B255C" w:rsidRDefault="00271E37" w:rsidP="008424B2">
            <w:pPr>
              <w:rPr>
                <w:b/>
                <w:bCs/>
              </w:rPr>
            </w:pPr>
          </w:p>
        </w:tc>
        <w:tc>
          <w:tcPr>
            <w:tcW w:w="1134" w:type="dxa"/>
            <w:tcBorders>
              <w:top w:val="single" w:sz="4" w:space="0" w:color="000000" w:themeColor="text1"/>
            </w:tcBorders>
          </w:tcPr>
          <w:p w14:paraId="26499C65" w14:textId="77777777" w:rsidR="00271E37" w:rsidRPr="00F61E57" w:rsidRDefault="00271E37" w:rsidP="008424B2">
            <w:pPr>
              <w:rPr>
                <w:b/>
                <w:bCs/>
              </w:rPr>
            </w:pPr>
          </w:p>
        </w:tc>
        <w:tc>
          <w:tcPr>
            <w:tcW w:w="1134" w:type="dxa"/>
            <w:tcBorders>
              <w:top w:val="single" w:sz="4" w:space="0" w:color="auto"/>
            </w:tcBorders>
          </w:tcPr>
          <w:p w14:paraId="71019E43" w14:textId="77777777" w:rsidR="00271E37" w:rsidRPr="008B255C" w:rsidRDefault="00271E37" w:rsidP="008424B2"/>
        </w:tc>
        <w:tc>
          <w:tcPr>
            <w:tcW w:w="1134" w:type="dxa"/>
            <w:tcBorders>
              <w:top w:val="single" w:sz="4" w:space="0" w:color="auto"/>
            </w:tcBorders>
          </w:tcPr>
          <w:p w14:paraId="66216CCB" w14:textId="77777777" w:rsidR="00271E37" w:rsidRPr="008B255C" w:rsidRDefault="00271E37"/>
        </w:tc>
      </w:tr>
      <w:tr w:rsidR="00271E37" w:rsidRPr="008B255C" w14:paraId="5E459EDF" w14:textId="77777777">
        <w:tc>
          <w:tcPr>
            <w:tcW w:w="5103" w:type="dxa"/>
          </w:tcPr>
          <w:p w14:paraId="5B23BA59" w14:textId="77777777" w:rsidR="00271E37" w:rsidRPr="008B255C" w:rsidRDefault="00271E37">
            <w:pPr>
              <w:jc w:val="left"/>
            </w:pPr>
            <w:r w:rsidRPr="008B255C">
              <w:t>Asset</w:t>
            </w:r>
            <w:r>
              <w:t>s</w:t>
            </w:r>
            <w:r w:rsidRPr="008B255C">
              <w:t xml:space="preserve"> held for sale</w:t>
            </w:r>
          </w:p>
        </w:tc>
        <w:tc>
          <w:tcPr>
            <w:tcW w:w="567" w:type="dxa"/>
          </w:tcPr>
          <w:p w14:paraId="04B0C612" w14:textId="77777777" w:rsidR="00271E37" w:rsidRPr="008B255C" w:rsidRDefault="00271E37"/>
        </w:tc>
        <w:tc>
          <w:tcPr>
            <w:tcW w:w="567" w:type="dxa"/>
          </w:tcPr>
          <w:p w14:paraId="0CAB5CEF" w14:textId="77777777" w:rsidR="00271E37" w:rsidRPr="008424B2" w:rsidRDefault="00271E37">
            <w:pPr>
              <w:rPr>
                <w:b/>
                <w:bCs/>
              </w:rPr>
            </w:pPr>
            <w:r w:rsidRPr="008B255C">
              <w:t>8</w:t>
            </w:r>
          </w:p>
        </w:tc>
        <w:tc>
          <w:tcPr>
            <w:tcW w:w="1134" w:type="dxa"/>
            <w:vAlign w:val="center"/>
          </w:tcPr>
          <w:p w14:paraId="2518FFBD" w14:textId="77777777" w:rsidR="00271E37" w:rsidRPr="00F61E57" w:rsidRDefault="00271E37">
            <w:pPr>
              <w:rPr>
                <w:b/>
                <w:bCs/>
              </w:rPr>
            </w:pPr>
            <w:r>
              <w:rPr>
                <w:rFonts w:cs="Arial"/>
                <w:b/>
                <w:bCs/>
                <w:color w:val="000000"/>
                <w:szCs w:val="16"/>
              </w:rPr>
              <w:t xml:space="preserve"> - </w:t>
            </w:r>
          </w:p>
        </w:tc>
        <w:tc>
          <w:tcPr>
            <w:tcW w:w="1134" w:type="dxa"/>
            <w:vAlign w:val="center"/>
          </w:tcPr>
          <w:p w14:paraId="4B17B101" w14:textId="77777777" w:rsidR="00271E37" w:rsidRPr="008B255C" w:rsidRDefault="00271E37">
            <w:r>
              <w:rPr>
                <w:rFonts w:cs="Arial"/>
                <w:color w:val="000000"/>
                <w:szCs w:val="16"/>
              </w:rPr>
              <w:t xml:space="preserve">1,394 </w:t>
            </w:r>
          </w:p>
        </w:tc>
        <w:tc>
          <w:tcPr>
            <w:tcW w:w="1134" w:type="dxa"/>
            <w:vAlign w:val="center"/>
          </w:tcPr>
          <w:p w14:paraId="66EE47CE" w14:textId="77777777" w:rsidR="00271E37" w:rsidRPr="008B255C" w:rsidRDefault="00271E37">
            <w:r>
              <w:rPr>
                <w:rFonts w:cs="Arial"/>
                <w:color w:val="000000"/>
                <w:szCs w:val="16"/>
              </w:rPr>
              <w:t xml:space="preserve">1,415 </w:t>
            </w:r>
          </w:p>
        </w:tc>
      </w:tr>
      <w:tr w:rsidR="00271E37" w:rsidRPr="008B255C" w14:paraId="0403708F" w14:textId="77777777">
        <w:tc>
          <w:tcPr>
            <w:tcW w:w="5103" w:type="dxa"/>
          </w:tcPr>
          <w:p w14:paraId="2FECC693" w14:textId="77777777" w:rsidR="00271E37" w:rsidRPr="008B255C" w:rsidRDefault="00271E37">
            <w:pPr>
              <w:jc w:val="left"/>
            </w:pPr>
            <w:r w:rsidRPr="008B255C">
              <w:t>Inventory</w:t>
            </w:r>
          </w:p>
        </w:tc>
        <w:tc>
          <w:tcPr>
            <w:tcW w:w="567" w:type="dxa"/>
          </w:tcPr>
          <w:p w14:paraId="298ACF05" w14:textId="77777777" w:rsidR="00271E37" w:rsidRPr="008B255C" w:rsidRDefault="00271E37"/>
        </w:tc>
        <w:tc>
          <w:tcPr>
            <w:tcW w:w="567" w:type="dxa"/>
          </w:tcPr>
          <w:p w14:paraId="4D34AF95" w14:textId="77777777" w:rsidR="00271E37" w:rsidRPr="008424B2" w:rsidRDefault="00271E37">
            <w:pPr>
              <w:rPr>
                <w:b/>
                <w:bCs/>
              </w:rPr>
            </w:pPr>
            <w:r w:rsidRPr="008B255C">
              <w:t>12</w:t>
            </w:r>
          </w:p>
        </w:tc>
        <w:tc>
          <w:tcPr>
            <w:tcW w:w="1134" w:type="dxa"/>
            <w:vAlign w:val="center"/>
          </w:tcPr>
          <w:p w14:paraId="7940CCE1" w14:textId="77777777" w:rsidR="00271E37" w:rsidRPr="00F61E57" w:rsidRDefault="00271E37">
            <w:pPr>
              <w:rPr>
                <w:b/>
                <w:bCs/>
              </w:rPr>
            </w:pPr>
            <w:r>
              <w:rPr>
                <w:rFonts w:cs="Arial"/>
                <w:b/>
                <w:bCs/>
                <w:color w:val="000000"/>
                <w:szCs w:val="16"/>
              </w:rPr>
              <w:t xml:space="preserve">44,081 </w:t>
            </w:r>
          </w:p>
        </w:tc>
        <w:tc>
          <w:tcPr>
            <w:tcW w:w="1134" w:type="dxa"/>
            <w:vAlign w:val="center"/>
          </w:tcPr>
          <w:p w14:paraId="4600C734" w14:textId="77777777" w:rsidR="00271E37" w:rsidRPr="008B255C" w:rsidRDefault="00271E37">
            <w:r>
              <w:rPr>
                <w:rFonts w:cs="Arial"/>
                <w:color w:val="000000"/>
                <w:szCs w:val="16"/>
              </w:rPr>
              <w:t xml:space="preserve">133,480 </w:t>
            </w:r>
          </w:p>
        </w:tc>
        <w:tc>
          <w:tcPr>
            <w:tcW w:w="1134" w:type="dxa"/>
            <w:vAlign w:val="center"/>
          </w:tcPr>
          <w:p w14:paraId="26E6EC49" w14:textId="77777777" w:rsidR="00271E37" w:rsidRPr="008B255C" w:rsidRDefault="00271E37">
            <w:r>
              <w:rPr>
                <w:rFonts w:cs="Arial"/>
                <w:color w:val="000000"/>
                <w:szCs w:val="16"/>
              </w:rPr>
              <w:t xml:space="preserve">131,080 </w:t>
            </w:r>
          </w:p>
        </w:tc>
      </w:tr>
      <w:tr w:rsidR="00271E37" w:rsidRPr="008B255C" w14:paraId="5BDF0654" w14:textId="77777777">
        <w:tc>
          <w:tcPr>
            <w:tcW w:w="5103" w:type="dxa"/>
          </w:tcPr>
          <w:p w14:paraId="1301CEBB" w14:textId="77777777" w:rsidR="00271E37" w:rsidRPr="008B255C" w:rsidRDefault="00271E37">
            <w:pPr>
              <w:jc w:val="left"/>
            </w:pPr>
            <w:r w:rsidRPr="008B255C">
              <w:t>Trade and other receivables</w:t>
            </w:r>
          </w:p>
        </w:tc>
        <w:tc>
          <w:tcPr>
            <w:tcW w:w="567" w:type="dxa"/>
          </w:tcPr>
          <w:p w14:paraId="476498ED" w14:textId="77777777" w:rsidR="00271E37" w:rsidRPr="008B255C" w:rsidRDefault="00271E37"/>
        </w:tc>
        <w:tc>
          <w:tcPr>
            <w:tcW w:w="567" w:type="dxa"/>
          </w:tcPr>
          <w:p w14:paraId="794B9064" w14:textId="77777777" w:rsidR="00271E37" w:rsidRPr="008424B2" w:rsidRDefault="00271E37">
            <w:pPr>
              <w:rPr>
                <w:b/>
                <w:bCs/>
              </w:rPr>
            </w:pPr>
            <w:r w:rsidRPr="008B255C">
              <w:t>13</w:t>
            </w:r>
          </w:p>
        </w:tc>
        <w:tc>
          <w:tcPr>
            <w:tcW w:w="1134" w:type="dxa"/>
            <w:vAlign w:val="center"/>
          </w:tcPr>
          <w:p w14:paraId="62EF336D" w14:textId="77777777" w:rsidR="00271E37" w:rsidRPr="00F61E57" w:rsidRDefault="00271E37">
            <w:pPr>
              <w:rPr>
                <w:b/>
                <w:bCs/>
              </w:rPr>
            </w:pPr>
            <w:r>
              <w:rPr>
                <w:rFonts w:cs="Arial"/>
                <w:b/>
                <w:bCs/>
                <w:color w:val="000000"/>
                <w:szCs w:val="16"/>
              </w:rPr>
              <w:t xml:space="preserve">23,031 </w:t>
            </w:r>
          </w:p>
        </w:tc>
        <w:tc>
          <w:tcPr>
            <w:tcW w:w="1134" w:type="dxa"/>
            <w:vAlign w:val="center"/>
          </w:tcPr>
          <w:p w14:paraId="0D94DA68" w14:textId="77777777" w:rsidR="00271E37" w:rsidRPr="008B255C" w:rsidRDefault="00271E37">
            <w:r>
              <w:rPr>
                <w:rFonts w:cs="Arial"/>
                <w:color w:val="000000"/>
                <w:szCs w:val="16"/>
              </w:rPr>
              <w:t xml:space="preserve">65,582 </w:t>
            </w:r>
          </w:p>
        </w:tc>
        <w:tc>
          <w:tcPr>
            <w:tcW w:w="1134" w:type="dxa"/>
            <w:vAlign w:val="center"/>
          </w:tcPr>
          <w:p w14:paraId="228B7A49" w14:textId="77777777" w:rsidR="00271E37" w:rsidRPr="008B255C" w:rsidRDefault="00271E37">
            <w:r>
              <w:rPr>
                <w:rFonts w:cs="Arial"/>
                <w:color w:val="000000"/>
                <w:szCs w:val="16"/>
              </w:rPr>
              <w:t xml:space="preserve">70,947 </w:t>
            </w:r>
          </w:p>
        </w:tc>
      </w:tr>
      <w:tr w:rsidR="00271E37" w:rsidRPr="008B255C" w14:paraId="7995EDF6" w14:textId="77777777">
        <w:tc>
          <w:tcPr>
            <w:tcW w:w="5103" w:type="dxa"/>
          </w:tcPr>
          <w:p w14:paraId="1602AD1E" w14:textId="77777777" w:rsidR="00271E37" w:rsidRPr="008B255C" w:rsidRDefault="00271E37">
            <w:pPr>
              <w:jc w:val="left"/>
            </w:pPr>
            <w:r w:rsidRPr="008B255C">
              <w:t>Income tax receivable</w:t>
            </w:r>
          </w:p>
        </w:tc>
        <w:tc>
          <w:tcPr>
            <w:tcW w:w="567" w:type="dxa"/>
          </w:tcPr>
          <w:p w14:paraId="7FB82140" w14:textId="77777777" w:rsidR="00271E37" w:rsidRPr="008B255C" w:rsidRDefault="00271E37"/>
        </w:tc>
        <w:tc>
          <w:tcPr>
            <w:tcW w:w="567" w:type="dxa"/>
          </w:tcPr>
          <w:p w14:paraId="55E08DC8" w14:textId="77777777" w:rsidR="00271E37" w:rsidRPr="008424B2" w:rsidRDefault="00271E37">
            <w:pPr>
              <w:rPr>
                <w:b/>
                <w:bCs/>
              </w:rPr>
            </w:pPr>
          </w:p>
        </w:tc>
        <w:tc>
          <w:tcPr>
            <w:tcW w:w="1134" w:type="dxa"/>
            <w:vAlign w:val="center"/>
          </w:tcPr>
          <w:p w14:paraId="22AC2379" w14:textId="77777777" w:rsidR="00271E37" w:rsidRPr="00F61E57" w:rsidRDefault="00271E37">
            <w:pPr>
              <w:rPr>
                <w:b/>
                <w:bCs/>
              </w:rPr>
            </w:pPr>
            <w:r>
              <w:rPr>
                <w:rFonts w:cs="Arial"/>
                <w:b/>
                <w:bCs/>
                <w:color w:val="000000"/>
                <w:szCs w:val="16"/>
              </w:rPr>
              <w:t xml:space="preserve">1,055 </w:t>
            </w:r>
          </w:p>
        </w:tc>
        <w:tc>
          <w:tcPr>
            <w:tcW w:w="1134" w:type="dxa"/>
            <w:vAlign w:val="center"/>
          </w:tcPr>
          <w:p w14:paraId="40D9AF6D" w14:textId="77777777" w:rsidR="00271E37" w:rsidRPr="00813AAE" w:rsidRDefault="00271E37">
            <w:r w:rsidRPr="00813AAE">
              <w:rPr>
                <w:rFonts w:cs="Arial"/>
                <w:szCs w:val="16"/>
              </w:rPr>
              <w:t xml:space="preserve">1,710 </w:t>
            </w:r>
          </w:p>
        </w:tc>
        <w:tc>
          <w:tcPr>
            <w:tcW w:w="1134" w:type="dxa"/>
            <w:vAlign w:val="center"/>
          </w:tcPr>
          <w:p w14:paraId="7A2BB399" w14:textId="77777777" w:rsidR="00271E37" w:rsidRPr="00813AAE" w:rsidRDefault="00271E37">
            <w:r w:rsidRPr="00813AAE">
              <w:rPr>
                <w:rFonts w:cs="Arial"/>
                <w:szCs w:val="16"/>
              </w:rPr>
              <w:t xml:space="preserve">1,998 </w:t>
            </w:r>
          </w:p>
        </w:tc>
      </w:tr>
      <w:tr w:rsidR="00271E37" w:rsidRPr="008B255C" w14:paraId="491B13CC" w14:textId="77777777">
        <w:tc>
          <w:tcPr>
            <w:tcW w:w="5103" w:type="dxa"/>
          </w:tcPr>
          <w:p w14:paraId="07D70077" w14:textId="77777777" w:rsidR="00271E37" w:rsidRPr="008B255C" w:rsidRDefault="00271E37">
            <w:pPr>
              <w:jc w:val="left"/>
            </w:pPr>
            <w:r w:rsidRPr="008B255C">
              <w:t>Derivative financial assets</w:t>
            </w:r>
          </w:p>
        </w:tc>
        <w:tc>
          <w:tcPr>
            <w:tcW w:w="567" w:type="dxa"/>
          </w:tcPr>
          <w:p w14:paraId="5E397FB7" w14:textId="77777777" w:rsidR="00271E37" w:rsidRPr="008B255C" w:rsidRDefault="00271E37"/>
        </w:tc>
        <w:tc>
          <w:tcPr>
            <w:tcW w:w="567" w:type="dxa"/>
          </w:tcPr>
          <w:p w14:paraId="5EE568F1" w14:textId="77777777" w:rsidR="00271E37" w:rsidRPr="008424B2" w:rsidRDefault="00271E37">
            <w:pPr>
              <w:rPr>
                <w:b/>
                <w:bCs/>
              </w:rPr>
            </w:pPr>
            <w:r w:rsidRPr="008B255C">
              <w:t>24</w:t>
            </w:r>
          </w:p>
        </w:tc>
        <w:tc>
          <w:tcPr>
            <w:tcW w:w="1134" w:type="dxa"/>
            <w:vAlign w:val="center"/>
          </w:tcPr>
          <w:p w14:paraId="21F7E11C" w14:textId="77777777" w:rsidR="00271E37" w:rsidRPr="00F61E57" w:rsidRDefault="00271E37">
            <w:pPr>
              <w:rPr>
                <w:b/>
                <w:bCs/>
              </w:rPr>
            </w:pPr>
            <w:r>
              <w:rPr>
                <w:rFonts w:cs="Arial"/>
                <w:b/>
                <w:bCs/>
                <w:color w:val="000000"/>
                <w:szCs w:val="16"/>
              </w:rPr>
              <w:t xml:space="preserve">243 </w:t>
            </w:r>
          </w:p>
        </w:tc>
        <w:tc>
          <w:tcPr>
            <w:tcW w:w="1134" w:type="dxa"/>
            <w:vAlign w:val="center"/>
          </w:tcPr>
          <w:p w14:paraId="3D83B6CE" w14:textId="77777777" w:rsidR="00271E37" w:rsidRPr="008B255C" w:rsidRDefault="00271E37">
            <w:r>
              <w:rPr>
                <w:rFonts w:cs="Arial"/>
                <w:color w:val="000000"/>
                <w:szCs w:val="16"/>
              </w:rPr>
              <w:t xml:space="preserve">1 </w:t>
            </w:r>
          </w:p>
        </w:tc>
        <w:tc>
          <w:tcPr>
            <w:tcW w:w="1134" w:type="dxa"/>
            <w:vAlign w:val="center"/>
          </w:tcPr>
          <w:p w14:paraId="0108C931" w14:textId="77777777" w:rsidR="00271E37" w:rsidRPr="008B255C" w:rsidRDefault="00271E37">
            <w:r>
              <w:rPr>
                <w:rFonts w:cs="Arial"/>
                <w:color w:val="000000"/>
                <w:szCs w:val="16"/>
              </w:rPr>
              <w:t xml:space="preserve">54 </w:t>
            </w:r>
          </w:p>
        </w:tc>
      </w:tr>
      <w:tr w:rsidR="00271E37" w:rsidRPr="008B255C" w14:paraId="42AD284D" w14:textId="77777777">
        <w:tc>
          <w:tcPr>
            <w:tcW w:w="5103" w:type="dxa"/>
            <w:tcBorders>
              <w:bottom w:val="single" w:sz="4" w:space="0" w:color="000000" w:themeColor="text1"/>
            </w:tcBorders>
          </w:tcPr>
          <w:p w14:paraId="2ED35F64" w14:textId="77777777" w:rsidR="00271E37" w:rsidRPr="008B255C" w:rsidRDefault="00271E37">
            <w:pPr>
              <w:jc w:val="left"/>
            </w:pPr>
            <w:r w:rsidRPr="008B255C">
              <w:t>Cash and cash equivalents</w:t>
            </w:r>
          </w:p>
        </w:tc>
        <w:tc>
          <w:tcPr>
            <w:tcW w:w="567" w:type="dxa"/>
            <w:tcBorders>
              <w:bottom w:val="single" w:sz="4" w:space="0" w:color="000000" w:themeColor="text1"/>
            </w:tcBorders>
          </w:tcPr>
          <w:p w14:paraId="7DFF3BF1" w14:textId="77777777" w:rsidR="00271E37" w:rsidRPr="008B255C" w:rsidRDefault="00271E37"/>
        </w:tc>
        <w:tc>
          <w:tcPr>
            <w:tcW w:w="567" w:type="dxa"/>
            <w:tcBorders>
              <w:bottom w:val="single" w:sz="4" w:space="0" w:color="000000" w:themeColor="text1"/>
            </w:tcBorders>
          </w:tcPr>
          <w:p w14:paraId="43AB8ABB" w14:textId="77777777" w:rsidR="00271E37" w:rsidRPr="008424B2" w:rsidRDefault="00271E37">
            <w:pPr>
              <w:rPr>
                <w:b/>
                <w:bCs/>
              </w:rPr>
            </w:pPr>
            <w:r w:rsidRPr="008B255C">
              <w:t>14</w:t>
            </w:r>
          </w:p>
        </w:tc>
        <w:tc>
          <w:tcPr>
            <w:tcW w:w="1134" w:type="dxa"/>
            <w:tcBorders>
              <w:bottom w:val="single" w:sz="4" w:space="0" w:color="000000" w:themeColor="text1"/>
            </w:tcBorders>
            <w:vAlign w:val="center"/>
          </w:tcPr>
          <w:p w14:paraId="26F5FD47" w14:textId="77777777" w:rsidR="00271E37" w:rsidRPr="00F61E57" w:rsidRDefault="00271E37">
            <w:pPr>
              <w:rPr>
                <w:b/>
                <w:bCs/>
              </w:rPr>
            </w:pPr>
            <w:r>
              <w:rPr>
                <w:rFonts w:cs="Arial"/>
                <w:b/>
                <w:bCs/>
                <w:color w:val="000000"/>
                <w:szCs w:val="16"/>
              </w:rPr>
              <w:t xml:space="preserve">54,678 </w:t>
            </w:r>
          </w:p>
        </w:tc>
        <w:tc>
          <w:tcPr>
            <w:tcW w:w="1134" w:type="dxa"/>
            <w:tcBorders>
              <w:bottom w:val="single" w:sz="4" w:space="0" w:color="auto"/>
            </w:tcBorders>
            <w:vAlign w:val="center"/>
          </w:tcPr>
          <w:p w14:paraId="4602625C" w14:textId="77777777" w:rsidR="00271E37" w:rsidRPr="008B255C" w:rsidRDefault="00271E37">
            <w:r>
              <w:rPr>
                <w:rFonts w:cs="Arial"/>
                <w:color w:val="000000"/>
                <w:szCs w:val="16"/>
              </w:rPr>
              <w:t xml:space="preserve">105,526 </w:t>
            </w:r>
          </w:p>
        </w:tc>
        <w:tc>
          <w:tcPr>
            <w:tcW w:w="1134" w:type="dxa"/>
            <w:tcBorders>
              <w:bottom w:val="single" w:sz="4" w:space="0" w:color="auto"/>
            </w:tcBorders>
            <w:vAlign w:val="center"/>
          </w:tcPr>
          <w:p w14:paraId="64844DE5" w14:textId="77777777" w:rsidR="00271E37" w:rsidRPr="008B255C" w:rsidRDefault="00271E37">
            <w:r>
              <w:rPr>
                <w:rFonts w:cs="Arial"/>
                <w:color w:val="000000"/>
                <w:szCs w:val="16"/>
              </w:rPr>
              <w:t xml:space="preserve">124,712 </w:t>
            </w:r>
          </w:p>
        </w:tc>
      </w:tr>
      <w:tr w:rsidR="00271E37" w:rsidRPr="008B255C" w14:paraId="42C2FA8D" w14:textId="77777777">
        <w:tc>
          <w:tcPr>
            <w:tcW w:w="5103" w:type="dxa"/>
            <w:tcBorders>
              <w:top w:val="single" w:sz="4" w:space="0" w:color="000000" w:themeColor="text1"/>
              <w:bottom w:val="single" w:sz="4" w:space="0" w:color="000000" w:themeColor="text1"/>
            </w:tcBorders>
          </w:tcPr>
          <w:p w14:paraId="07EFF136" w14:textId="77777777" w:rsidR="00271E37" w:rsidRPr="00022AA5" w:rsidRDefault="00271E37">
            <w:pPr>
              <w:jc w:val="left"/>
              <w:rPr>
                <w:b/>
                <w:bCs/>
              </w:rPr>
            </w:pPr>
            <w:r w:rsidRPr="00022AA5">
              <w:rPr>
                <w:b/>
                <w:bCs/>
              </w:rPr>
              <w:t>Total current assets</w:t>
            </w:r>
          </w:p>
        </w:tc>
        <w:tc>
          <w:tcPr>
            <w:tcW w:w="567" w:type="dxa"/>
            <w:tcBorders>
              <w:top w:val="single" w:sz="4" w:space="0" w:color="000000" w:themeColor="text1"/>
              <w:bottom w:val="single" w:sz="4" w:space="0" w:color="000000" w:themeColor="text1"/>
            </w:tcBorders>
          </w:tcPr>
          <w:p w14:paraId="1B0552ED" w14:textId="77777777" w:rsidR="00271E37" w:rsidRPr="008B255C" w:rsidRDefault="00271E37"/>
        </w:tc>
        <w:tc>
          <w:tcPr>
            <w:tcW w:w="567" w:type="dxa"/>
            <w:tcBorders>
              <w:top w:val="single" w:sz="4" w:space="0" w:color="000000" w:themeColor="text1"/>
              <w:bottom w:val="single" w:sz="4" w:space="0" w:color="000000" w:themeColor="text1"/>
            </w:tcBorders>
          </w:tcPr>
          <w:p w14:paraId="364B0B51" w14:textId="77777777" w:rsidR="00271E37" w:rsidRPr="008424B2" w:rsidRDefault="00271E37">
            <w:pPr>
              <w:rPr>
                <w:b/>
                <w:bCs/>
              </w:rPr>
            </w:pPr>
          </w:p>
        </w:tc>
        <w:tc>
          <w:tcPr>
            <w:tcW w:w="1134" w:type="dxa"/>
            <w:tcBorders>
              <w:top w:val="single" w:sz="4" w:space="0" w:color="000000" w:themeColor="text1"/>
              <w:bottom w:val="single" w:sz="4" w:space="0" w:color="000000" w:themeColor="text1"/>
            </w:tcBorders>
            <w:vAlign w:val="center"/>
          </w:tcPr>
          <w:p w14:paraId="77FDE542" w14:textId="77777777" w:rsidR="00271E37" w:rsidRPr="00F61E57" w:rsidRDefault="00271E37">
            <w:pPr>
              <w:rPr>
                <w:b/>
                <w:bCs/>
              </w:rPr>
            </w:pPr>
            <w:r>
              <w:rPr>
                <w:rFonts w:cs="Arial"/>
                <w:b/>
                <w:bCs/>
                <w:color w:val="000000"/>
                <w:szCs w:val="16"/>
              </w:rPr>
              <w:t xml:space="preserve">123,088 </w:t>
            </w:r>
          </w:p>
        </w:tc>
        <w:tc>
          <w:tcPr>
            <w:tcW w:w="1134" w:type="dxa"/>
            <w:tcBorders>
              <w:top w:val="single" w:sz="4" w:space="0" w:color="auto"/>
              <w:bottom w:val="single" w:sz="4" w:space="0" w:color="auto"/>
            </w:tcBorders>
            <w:vAlign w:val="center"/>
          </w:tcPr>
          <w:p w14:paraId="62511614" w14:textId="77777777" w:rsidR="00271E37" w:rsidRPr="008B255C" w:rsidRDefault="00271E37">
            <w:r>
              <w:rPr>
                <w:rFonts w:cs="Arial"/>
                <w:b/>
                <w:bCs/>
                <w:color w:val="000000"/>
                <w:szCs w:val="16"/>
              </w:rPr>
              <w:t xml:space="preserve">307,693 </w:t>
            </w:r>
          </w:p>
        </w:tc>
        <w:tc>
          <w:tcPr>
            <w:tcW w:w="1134" w:type="dxa"/>
            <w:tcBorders>
              <w:top w:val="single" w:sz="4" w:space="0" w:color="auto"/>
              <w:bottom w:val="single" w:sz="4" w:space="0" w:color="auto"/>
            </w:tcBorders>
            <w:vAlign w:val="center"/>
          </w:tcPr>
          <w:p w14:paraId="5BC8D5E8" w14:textId="77777777" w:rsidR="00271E37" w:rsidRPr="008B255C" w:rsidRDefault="00271E37">
            <w:r>
              <w:rPr>
                <w:rFonts w:cs="Arial"/>
                <w:b/>
                <w:bCs/>
                <w:color w:val="000000"/>
                <w:szCs w:val="16"/>
              </w:rPr>
              <w:t xml:space="preserve">330,206 </w:t>
            </w:r>
          </w:p>
        </w:tc>
      </w:tr>
      <w:tr w:rsidR="00271E37" w:rsidRPr="008B255C" w14:paraId="00FA4B6D" w14:textId="77777777">
        <w:tc>
          <w:tcPr>
            <w:tcW w:w="5103" w:type="dxa"/>
            <w:tcBorders>
              <w:top w:val="single" w:sz="4" w:space="0" w:color="000000" w:themeColor="text1"/>
              <w:bottom w:val="single" w:sz="12" w:space="0" w:color="auto"/>
            </w:tcBorders>
          </w:tcPr>
          <w:p w14:paraId="4D12C1D2" w14:textId="77777777" w:rsidR="00271E37" w:rsidRPr="00022AA5" w:rsidRDefault="00271E37">
            <w:pPr>
              <w:jc w:val="left"/>
              <w:rPr>
                <w:b/>
                <w:bCs/>
              </w:rPr>
            </w:pPr>
            <w:r w:rsidRPr="00022AA5">
              <w:rPr>
                <w:b/>
                <w:bCs/>
              </w:rPr>
              <w:t>Total assets</w:t>
            </w:r>
          </w:p>
        </w:tc>
        <w:tc>
          <w:tcPr>
            <w:tcW w:w="567" w:type="dxa"/>
            <w:tcBorders>
              <w:top w:val="single" w:sz="4" w:space="0" w:color="000000" w:themeColor="text1"/>
              <w:bottom w:val="single" w:sz="12" w:space="0" w:color="auto"/>
            </w:tcBorders>
          </w:tcPr>
          <w:p w14:paraId="63A283E2" w14:textId="77777777" w:rsidR="00271E37" w:rsidRPr="008B255C" w:rsidRDefault="00271E37"/>
        </w:tc>
        <w:tc>
          <w:tcPr>
            <w:tcW w:w="567" w:type="dxa"/>
            <w:tcBorders>
              <w:top w:val="single" w:sz="4" w:space="0" w:color="000000" w:themeColor="text1"/>
              <w:bottom w:val="single" w:sz="12" w:space="0" w:color="auto"/>
            </w:tcBorders>
          </w:tcPr>
          <w:p w14:paraId="6CAA52D6" w14:textId="77777777" w:rsidR="00271E37" w:rsidRPr="008424B2" w:rsidRDefault="00271E37">
            <w:pPr>
              <w:rPr>
                <w:b/>
                <w:bCs/>
              </w:rPr>
            </w:pPr>
            <w:r w:rsidRPr="008B255C">
              <w:t>2</w:t>
            </w:r>
          </w:p>
        </w:tc>
        <w:tc>
          <w:tcPr>
            <w:tcW w:w="1134" w:type="dxa"/>
            <w:tcBorders>
              <w:top w:val="single" w:sz="4" w:space="0" w:color="000000" w:themeColor="text1"/>
              <w:bottom w:val="single" w:sz="12" w:space="0" w:color="auto"/>
            </w:tcBorders>
            <w:vAlign w:val="center"/>
          </w:tcPr>
          <w:p w14:paraId="5D38BE7F" w14:textId="77777777" w:rsidR="00271E37" w:rsidRPr="00F61E57" w:rsidRDefault="00271E37">
            <w:pPr>
              <w:rPr>
                <w:b/>
                <w:bCs/>
              </w:rPr>
            </w:pPr>
            <w:r>
              <w:rPr>
                <w:rFonts w:cs="Arial"/>
                <w:b/>
                <w:bCs/>
                <w:color w:val="000000"/>
                <w:szCs w:val="16"/>
              </w:rPr>
              <w:t xml:space="preserve">183,063 </w:t>
            </w:r>
          </w:p>
        </w:tc>
        <w:tc>
          <w:tcPr>
            <w:tcW w:w="1134" w:type="dxa"/>
            <w:tcBorders>
              <w:top w:val="single" w:sz="4" w:space="0" w:color="auto"/>
              <w:bottom w:val="single" w:sz="12" w:space="0" w:color="auto"/>
            </w:tcBorders>
            <w:vAlign w:val="center"/>
          </w:tcPr>
          <w:p w14:paraId="64F0F78F" w14:textId="77777777" w:rsidR="00271E37" w:rsidRPr="008B255C" w:rsidRDefault="00271E37">
            <w:r>
              <w:rPr>
                <w:rFonts w:cs="Arial"/>
                <w:b/>
                <w:bCs/>
                <w:color w:val="000000"/>
                <w:szCs w:val="16"/>
              </w:rPr>
              <w:t xml:space="preserve">420,277 </w:t>
            </w:r>
          </w:p>
        </w:tc>
        <w:tc>
          <w:tcPr>
            <w:tcW w:w="1134" w:type="dxa"/>
            <w:tcBorders>
              <w:top w:val="single" w:sz="4" w:space="0" w:color="auto"/>
              <w:bottom w:val="single" w:sz="12" w:space="0" w:color="auto"/>
            </w:tcBorders>
            <w:vAlign w:val="center"/>
          </w:tcPr>
          <w:p w14:paraId="0B561899" w14:textId="77777777" w:rsidR="00271E37" w:rsidRPr="008B255C" w:rsidRDefault="00271E37">
            <w:r>
              <w:rPr>
                <w:rFonts w:cs="Arial"/>
                <w:b/>
                <w:bCs/>
                <w:color w:val="000000"/>
                <w:szCs w:val="16"/>
              </w:rPr>
              <w:t xml:space="preserve">524,115 </w:t>
            </w:r>
          </w:p>
        </w:tc>
      </w:tr>
      <w:tr w:rsidR="00271E37" w:rsidRPr="008B255C" w14:paraId="791B3EAC" w14:textId="77777777">
        <w:tc>
          <w:tcPr>
            <w:tcW w:w="5103" w:type="dxa"/>
            <w:tcBorders>
              <w:top w:val="single" w:sz="12" w:space="0" w:color="auto"/>
            </w:tcBorders>
          </w:tcPr>
          <w:p w14:paraId="1D2C3DA9" w14:textId="77777777" w:rsidR="00271E37" w:rsidRPr="00022AA5" w:rsidRDefault="00271E37" w:rsidP="008424B2">
            <w:pPr>
              <w:jc w:val="left"/>
              <w:rPr>
                <w:b/>
                <w:bCs/>
              </w:rPr>
            </w:pPr>
            <w:r w:rsidRPr="00022AA5">
              <w:rPr>
                <w:b/>
                <w:bCs/>
              </w:rPr>
              <w:t>Non-current liabilities</w:t>
            </w:r>
          </w:p>
        </w:tc>
        <w:tc>
          <w:tcPr>
            <w:tcW w:w="567" w:type="dxa"/>
            <w:tcBorders>
              <w:top w:val="single" w:sz="12" w:space="0" w:color="auto"/>
            </w:tcBorders>
          </w:tcPr>
          <w:p w14:paraId="4546448D" w14:textId="77777777" w:rsidR="00271E37" w:rsidRPr="008B255C" w:rsidRDefault="00271E37" w:rsidP="008424B2"/>
        </w:tc>
        <w:tc>
          <w:tcPr>
            <w:tcW w:w="567" w:type="dxa"/>
            <w:tcBorders>
              <w:top w:val="single" w:sz="12" w:space="0" w:color="auto"/>
            </w:tcBorders>
          </w:tcPr>
          <w:p w14:paraId="33C0B77E" w14:textId="77777777" w:rsidR="00271E37" w:rsidRPr="008B255C" w:rsidRDefault="00271E37" w:rsidP="008424B2">
            <w:pPr>
              <w:rPr>
                <w:b/>
                <w:bCs/>
              </w:rPr>
            </w:pPr>
          </w:p>
        </w:tc>
        <w:tc>
          <w:tcPr>
            <w:tcW w:w="1134" w:type="dxa"/>
            <w:tcBorders>
              <w:top w:val="single" w:sz="12" w:space="0" w:color="auto"/>
            </w:tcBorders>
          </w:tcPr>
          <w:p w14:paraId="034C2BE7" w14:textId="77777777" w:rsidR="00271E37" w:rsidRPr="00F61E57" w:rsidRDefault="00271E37" w:rsidP="008424B2">
            <w:pPr>
              <w:rPr>
                <w:b/>
                <w:bCs/>
              </w:rPr>
            </w:pPr>
          </w:p>
        </w:tc>
        <w:tc>
          <w:tcPr>
            <w:tcW w:w="1134" w:type="dxa"/>
            <w:tcBorders>
              <w:top w:val="single" w:sz="12" w:space="0" w:color="auto"/>
            </w:tcBorders>
          </w:tcPr>
          <w:p w14:paraId="1C3CE934" w14:textId="77777777" w:rsidR="00271E37" w:rsidRPr="008B255C" w:rsidRDefault="00271E37" w:rsidP="008424B2"/>
        </w:tc>
        <w:tc>
          <w:tcPr>
            <w:tcW w:w="1134" w:type="dxa"/>
            <w:tcBorders>
              <w:top w:val="single" w:sz="12" w:space="0" w:color="auto"/>
            </w:tcBorders>
          </w:tcPr>
          <w:p w14:paraId="67CB30C7" w14:textId="77777777" w:rsidR="00271E37" w:rsidRPr="008B255C" w:rsidRDefault="00271E37"/>
        </w:tc>
      </w:tr>
      <w:tr w:rsidR="00271E37" w:rsidRPr="008B255C" w14:paraId="1D78A2A8" w14:textId="77777777">
        <w:tc>
          <w:tcPr>
            <w:tcW w:w="5103" w:type="dxa"/>
          </w:tcPr>
          <w:p w14:paraId="25403A68" w14:textId="77777777" w:rsidR="00271E37" w:rsidRPr="008B255C" w:rsidRDefault="00271E37">
            <w:pPr>
              <w:jc w:val="left"/>
            </w:pPr>
            <w:r w:rsidRPr="008B255C">
              <w:t>Loans and borrowings</w:t>
            </w:r>
          </w:p>
        </w:tc>
        <w:tc>
          <w:tcPr>
            <w:tcW w:w="567" w:type="dxa"/>
          </w:tcPr>
          <w:p w14:paraId="2C0D6D3E" w14:textId="77777777" w:rsidR="00271E37" w:rsidRPr="008B255C" w:rsidRDefault="00271E37"/>
        </w:tc>
        <w:tc>
          <w:tcPr>
            <w:tcW w:w="567" w:type="dxa"/>
          </w:tcPr>
          <w:p w14:paraId="1A24A59D" w14:textId="77777777" w:rsidR="00271E37" w:rsidRPr="008424B2" w:rsidRDefault="00271E37">
            <w:pPr>
              <w:rPr>
                <w:b/>
                <w:bCs/>
              </w:rPr>
            </w:pPr>
            <w:r w:rsidRPr="008B255C">
              <w:t>15</w:t>
            </w:r>
          </w:p>
        </w:tc>
        <w:tc>
          <w:tcPr>
            <w:tcW w:w="1134" w:type="dxa"/>
            <w:vAlign w:val="center"/>
          </w:tcPr>
          <w:p w14:paraId="0AF23375" w14:textId="77777777" w:rsidR="00271E37" w:rsidRPr="00F61E57" w:rsidRDefault="00271E37">
            <w:pPr>
              <w:rPr>
                <w:b/>
                <w:bCs/>
              </w:rPr>
            </w:pPr>
            <w:r>
              <w:rPr>
                <w:rFonts w:cs="Arial"/>
                <w:b/>
                <w:bCs/>
                <w:color w:val="000000"/>
                <w:szCs w:val="16"/>
              </w:rPr>
              <w:t>(228)</w:t>
            </w:r>
          </w:p>
        </w:tc>
        <w:tc>
          <w:tcPr>
            <w:tcW w:w="1134" w:type="dxa"/>
            <w:vAlign w:val="center"/>
          </w:tcPr>
          <w:p w14:paraId="08ACC48F" w14:textId="77777777" w:rsidR="00271E37" w:rsidRPr="008B255C" w:rsidRDefault="00271E37">
            <w:r>
              <w:rPr>
                <w:rFonts w:cs="Arial"/>
                <w:color w:val="000000"/>
                <w:szCs w:val="16"/>
              </w:rPr>
              <w:t>(92)</w:t>
            </w:r>
          </w:p>
        </w:tc>
        <w:tc>
          <w:tcPr>
            <w:tcW w:w="1134" w:type="dxa"/>
            <w:vAlign w:val="center"/>
          </w:tcPr>
          <w:p w14:paraId="66FD4623" w14:textId="77777777" w:rsidR="00271E37" w:rsidRPr="008B255C" w:rsidRDefault="00271E37">
            <w:r>
              <w:rPr>
                <w:rFonts w:cs="Arial"/>
                <w:color w:val="000000"/>
                <w:szCs w:val="16"/>
              </w:rPr>
              <w:t>(647)</w:t>
            </w:r>
          </w:p>
        </w:tc>
      </w:tr>
      <w:tr w:rsidR="00271E37" w:rsidRPr="008B255C" w14:paraId="4BDC2B00" w14:textId="77777777">
        <w:tc>
          <w:tcPr>
            <w:tcW w:w="5103" w:type="dxa"/>
          </w:tcPr>
          <w:p w14:paraId="3804B6C3" w14:textId="77777777" w:rsidR="00271E37" w:rsidRPr="008B255C" w:rsidRDefault="00271E37">
            <w:pPr>
              <w:jc w:val="left"/>
            </w:pPr>
            <w:r w:rsidRPr="008B255C">
              <w:t>Lease liabilities</w:t>
            </w:r>
          </w:p>
        </w:tc>
        <w:tc>
          <w:tcPr>
            <w:tcW w:w="567" w:type="dxa"/>
          </w:tcPr>
          <w:p w14:paraId="27E4255E" w14:textId="77777777" w:rsidR="00271E37" w:rsidRPr="008B255C" w:rsidRDefault="00271E37"/>
        </w:tc>
        <w:tc>
          <w:tcPr>
            <w:tcW w:w="567" w:type="dxa"/>
          </w:tcPr>
          <w:p w14:paraId="767A4868" w14:textId="77777777" w:rsidR="00271E37" w:rsidRPr="008424B2" w:rsidRDefault="00271E37">
            <w:pPr>
              <w:rPr>
                <w:b/>
                <w:bCs/>
              </w:rPr>
            </w:pPr>
            <w:r w:rsidRPr="008B255C">
              <w:t>10</w:t>
            </w:r>
          </w:p>
        </w:tc>
        <w:tc>
          <w:tcPr>
            <w:tcW w:w="1134" w:type="dxa"/>
            <w:vAlign w:val="center"/>
          </w:tcPr>
          <w:p w14:paraId="4C38C600" w14:textId="77777777" w:rsidR="00271E37" w:rsidRPr="00F61E57" w:rsidRDefault="00271E37">
            <w:pPr>
              <w:rPr>
                <w:b/>
                <w:bCs/>
              </w:rPr>
            </w:pPr>
            <w:r>
              <w:rPr>
                <w:rFonts w:cs="Arial"/>
                <w:b/>
                <w:bCs/>
                <w:color w:val="000000"/>
                <w:szCs w:val="16"/>
              </w:rPr>
              <w:t xml:space="preserve">30,349 </w:t>
            </w:r>
          </w:p>
        </w:tc>
        <w:tc>
          <w:tcPr>
            <w:tcW w:w="1134" w:type="dxa"/>
            <w:vAlign w:val="center"/>
          </w:tcPr>
          <w:p w14:paraId="3910D088" w14:textId="77777777" w:rsidR="00271E37" w:rsidRPr="008B255C" w:rsidRDefault="00271E37">
            <w:r>
              <w:rPr>
                <w:rFonts w:cs="Arial"/>
                <w:color w:val="000000"/>
                <w:szCs w:val="16"/>
              </w:rPr>
              <w:t xml:space="preserve">46,098 </w:t>
            </w:r>
          </w:p>
        </w:tc>
        <w:tc>
          <w:tcPr>
            <w:tcW w:w="1134" w:type="dxa"/>
            <w:vAlign w:val="center"/>
          </w:tcPr>
          <w:p w14:paraId="551CC5C6" w14:textId="77777777" w:rsidR="00271E37" w:rsidRPr="008B255C" w:rsidRDefault="00271E37">
            <w:r>
              <w:rPr>
                <w:rFonts w:cs="Arial"/>
                <w:color w:val="000000"/>
                <w:szCs w:val="16"/>
              </w:rPr>
              <w:t xml:space="preserve">41,011 </w:t>
            </w:r>
          </w:p>
        </w:tc>
      </w:tr>
      <w:tr w:rsidR="00271E37" w:rsidRPr="008B255C" w14:paraId="180D37CF" w14:textId="77777777">
        <w:tc>
          <w:tcPr>
            <w:tcW w:w="5103" w:type="dxa"/>
          </w:tcPr>
          <w:p w14:paraId="586A7252" w14:textId="77777777" w:rsidR="00271E37" w:rsidRPr="008B255C" w:rsidRDefault="00271E37">
            <w:pPr>
              <w:jc w:val="left"/>
            </w:pPr>
            <w:r w:rsidRPr="008B255C">
              <w:t>Deferred income</w:t>
            </w:r>
          </w:p>
        </w:tc>
        <w:tc>
          <w:tcPr>
            <w:tcW w:w="567" w:type="dxa"/>
          </w:tcPr>
          <w:p w14:paraId="06B08D08" w14:textId="77777777" w:rsidR="00271E37" w:rsidRPr="008B255C" w:rsidRDefault="00271E37"/>
        </w:tc>
        <w:tc>
          <w:tcPr>
            <w:tcW w:w="567" w:type="dxa"/>
          </w:tcPr>
          <w:p w14:paraId="3E1F2C32" w14:textId="77777777" w:rsidR="00271E37" w:rsidRPr="008424B2" w:rsidRDefault="00271E37">
            <w:pPr>
              <w:rPr>
                <w:b/>
                <w:bCs/>
              </w:rPr>
            </w:pPr>
            <w:r w:rsidRPr="008B255C">
              <w:t>16</w:t>
            </w:r>
          </w:p>
        </w:tc>
        <w:tc>
          <w:tcPr>
            <w:tcW w:w="1134" w:type="dxa"/>
            <w:vAlign w:val="center"/>
          </w:tcPr>
          <w:p w14:paraId="4CEF4E29" w14:textId="77777777" w:rsidR="00271E37" w:rsidRPr="00F61E57" w:rsidRDefault="00271E37">
            <w:pPr>
              <w:rPr>
                <w:b/>
                <w:bCs/>
              </w:rPr>
            </w:pPr>
            <w:r>
              <w:rPr>
                <w:rFonts w:cs="Arial"/>
                <w:b/>
                <w:bCs/>
                <w:color w:val="000000"/>
                <w:szCs w:val="16"/>
              </w:rPr>
              <w:t xml:space="preserve">133 </w:t>
            </w:r>
          </w:p>
        </w:tc>
        <w:tc>
          <w:tcPr>
            <w:tcW w:w="1134" w:type="dxa"/>
            <w:vAlign w:val="center"/>
          </w:tcPr>
          <w:p w14:paraId="13964620" w14:textId="77777777" w:rsidR="00271E37" w:rsidRPr="008B255C" w:rsidRDefault="00271E37">
            <w:r>
              <w:rPr>
                <w:rFonts w:cs="Arial"/>
                <w:color w:val="000000"/>
                <w:szCs w:val="16"/>
              </w:rPr>
              <w:t xml:space="preserve">1,630 </w:t>
            </w:r>
          </w:p>
        </w:tc>
        <w:tc>
          <w:tcPr>
            <w:tcW w:w="1134" w:type="dxa"/>
            <w:vAlign w:val="center"/>
          </w:tcPr>
          <w:p w14:paraId="070CFB31" w14:textId="77777777" w:rsidR="00271E37" w:rsidRPr="008B255C" w:rsidRDefault="00271E37">
            <w:r>
              <w:rPr>
                <w:rFonts w:cs="Arial"/>
                <w:color w:val="000000"/>
                <w:szCs w:val="16"/>
              </w:rPr>
              <w:t xml:space="preserve">1,455 </w:t>
            </w:r>
          </w:p>
        </w:tc>
      </w:tr>
      <w:tr w:rsidR="00271E37" w:rsidRPr="008B255C" w14:paraId="3D7C93C5" w14:textId="77777777">
        <w:tc>
          <w:tcPr>
            <w:tcW w:w="5103" w:type="dxa"/>
          </w:tcPr>
          <w:p w14:paraId="4E22ABBB" w14:textId="77777777" w:rsidR="00271E37" w:rsidRPr="008B255C" w:rsidRDefault="00271E37">
            <w:pPr>
              <w:jc w:val="left"/>
            </w:pPr>
            <w:r w:rsidRPr="008B255C">
              <w:t>Provisions</w:t>
            </w:r>
          </w:p>
        </w:tc>
        <w:tc>
          <w:tcPr>
            <w:tcW w:w="567" w:type="dxa"/>
          </w:tcPr>
          <w:p w14:paraId="2323133B" w14:textId="77777777" w:rsidR="00271E37" w:rsidRPr="008B255C" w:rsidRDefault="00271E37"/>
        </w:tc>
        <w:tc>
          <w:tcPr>
            <w:tcW w:w="567" w:type="dxa"/>
          </w:tcPr>
          <w:p w14:paraId="13A5804C" w14:textId="77777777" w:rsidR="00271E37" w:rsidRPr="008424B2" w:rsidRDefault="00271E37">
            <w:pPr>
              <w:rPr>
                <w:b/>
                <w:bCs/>
              </w:rPr>
            </w:pPr>
            <w:r w:rsidRPr="008B255C">
              <w:t>17</w:t>
            </w:r>
          </w:p>
        </w:tc>
        <w:tc>
          <w:tcPr>
            <w:tcW w:w="1134" w:type="dxa"/>
            <w:vAlign w:val="center"/>
          </w:tcPr>
          <w:p w14:paraId="4F37B07C" w14:textId="77777777" w:rsidR="00271E37" w:rsidRPr="00F61E57" w:rsidRDefault="00271E37">
            <w:pPr>
              <w:rPr>
                <w:b/>
                <w:bCs/>
              </w:rPr>
            </w:pPr>
            <w:r>
              <w:rPr>
                <w:rFonts w:cs="Arial"/>
                <w:b/>
                <w:bCs/>
                <w:color w:val="000000"/>
                <w:szCs w:val="16"/>
              </w:rPr>
              <w:t xml:space="preserve">5,335 </w:t>
            </w:r>
          </w:p>
        </w:tc>
        <w:tc>
          <w:tcPr>
            <w:tcW w:w="1134" w:type="dxa"/>
            <w:vAlign w:val="center"/>
          </w:tcPr>
          <w:p w14:paraId="267A6CD3" w14:textId="77777777" w:rsidR="00271E37" w:rsidRPr="008B255C" w:rsidRDefault="00271E37">
            <w:r>
              <w:rPr>
                <w:rFonts w:cs="Arial"/>
                <w:color w:val="000000"/>
                <w:szCs w:val="16"/>
              </w:rPr>
              <w:t xml:space="preserve">1,964 </w:t>
            </w:r>
          </w:p>
        </w:tc>
        <w:tc>
          <w:tcPr>
            <w:tcW w:w="1134" w:type="dxa"/>
            <w:vAlign w:val="center"/>
          </w:tcPr>
          <w:p w14:paraId="41ADA415" w14:textId="77777777" w:rsidR="00271E37" w:rsidRPr="008B255C" w:rsidRDefault="00271E37">
            <w:r>
              <w:rPr>
                <w:rFonts w:cs="Arial"/>
                <w:color w:val="000000"/>
                <w:szCs w:val="16"/>
              </w:rPr>
              <w:t xml:space="preserve">2,216 </w:t>
            </w:r>
          </w:p>
        </w:tc>
      </w:tr>
      <w:tr w:rsidR="00271E37" w:rsidRPr="008B255C" w14:paraId="7D8CB92E" w14:textId="77777777">
        <w:tc>
          <w:tcPr>
            <w:tcW w:w="5103" w:type="dxa"/>
          </w:tcPr>
          <w:p w14:paraId="6F3DB3BF" w14:textId="77777777" w:rsidR="00271E37" w:rsidRPr="008B255C" w:rsidRDefault="00271E37">
            <w:pPr>
              <w:jc w:val="left"/>
            </w:pPr>
            <w:r w:rsidRPr="008B255C">
              <w:t>Other financial liabilities</w:t>
            </w:r>
          </w:p>
        </w:tc>
        <w:tc>
          <w:tcPr>
            <w:tcW w:w="567" w:type="dxa"/>
          </w:tcPr>
          <w:p w14:paraId="2D2595A8" w14:textId="77777777" w:rsidR="00271E37" w:rsidRPr="008B255C" w:rsidRDefault="00271E37"/>
        </w:tc>
        <w:tc>
          <w:tcPr>
            <w:tcW w:w="567" w:type="dxa"/>
          </w:tcPr>
          <w:p w14:paraId="15EB1DD5" w14:textId="77777777" w:rsidR="00271E37" w:rsidRPr="008424B2" w:rsidRDefault="00271E37">
            <w:pPr>
              <w:rPr>
                <w:b/>
                <w:bCs/>
              </w:rPr>
            </w:pPr>
            <w:r w:rsidRPr="008B255C">
              <w:t>18</w:t>
            </w:r>
          </w:p>
        </w:tc>
        <w:tc>
          <w:tcPr>
            <w:tcW w:w="1134" w:type="dxa"/>
            <w:vAlign w:val="center"/>
          </w:tcPr>
          <w:p w14:paraId="77E43903" w14:textId="77777777" w:rsidR="00271E37" w:rsidRPr="00F61E57" w:rsidRDefault="00271E37">
            <w:pPr>
              <w:rPr>
                <w:b/>
                <w:bCs/>
              </w:rPr>
            </w:pPr>
            <w:r>
              <w:rPr>
                <w:rFonts w:cs="Arial"/>
                <w:b/>
                <w:bCs/>
                <w:color w:val="000000"/>
                <w:szCs w:val="16"/>
              </w:rPr>
              <w:t xml:space="preserve">229 </w:t>
            </w:r>
          </w:p>
        </w:tc>
        <w:tc>
          <w:tcPr>
            <w:tcW w:w="1134" w:type="dxa"/>
            <w:vAlign w:val="center"/>
          </w:tcPr>
          <w:p w14:paraId="096C109E" w14:textId="77777777" w:rsidR="00271E37" w:rsidRPr="008B255C" w:rsidRDefault="00271E37">
            <w:r>
              <w:rPr>
                <w:rFonts w:cs="Arial"/>
                <w:color w:val="000000"/>
                <w:szCs w:val="16"/>
              </w:rPr>
              <w:t xml:space="preserve">11,869 </w:t>
            </w:r>
          </w:p>
        </w:tc>
        <w:tc>
          <w:tcPr>
            <w:tcW w:w="1134" w:type="dxa"/>
            <w:vAlign w:val="center"/>
          </w:tcPr>
          <w:p w14:paraId="11C63FDD" w14:textId="77777777" w:rsidR="00271E37" w:rsidRPr="008B255C" w:rsidRDefault="00271E37">
            <w:r>
              <w:rPr>
                <w:rFonts w:cs="Arial"/>
                <w:color w:val="000000"/>
                <w:szCs w:val="16"/>
              </w:rPr>
              <w:t xml:space="preserve">11,338 </w:t>
            </w:r>
          </w:p>
        </w:tc>
      </w:tr>
      <w:tr w:rsidR="00271E37" w:rsidRPr="00F456CC" w14:paraId="43CC0B96" w14:textId="77777777">
        <w:tc>
          <w:tcPr>
            <w:tcW w:w="5103" w:type="dxa"/>
            <w:tcBorders>
              <w:bottom w:val="single" w:sz="4" w:space="0" w:color="auto"/>
            </w:tcBorders>
          </w:tcPr>
          <w:p w14:paraId="1AA906E2" w14:textId="77777777" w:rsidR="00271E37" w:rsidRPr="008B255C" w:rsidRDefault="00271E37">
            <w:pPr>
              <w:jc w:val="left"/>
            </w:pPr>
            <w:r w:rsidRPr="008B255C">
              <w:t>Deferred tax liabilities</w:t>
            </w:r>
          </w:p>
        </w:tc>
        <w:tc>
          <w:tcPr>
            <w:tcW w:w="567" w:type="dxa"/>
            <w:tcBorders>
              <w:bottom w:val="single" w:sz="4" w:space="0" w:color="auto"/>
            </w:tcBorders>
          </w:tcPr>
          <w:p w14:paraId="6179D89A" w14:textId="77777777" w:rsidR="00271E37" w:rsidRPr="008B255C" w:rsidRDefault="00271E37"/>
        </w:tc>
        <w:tc>
          <w:tcPr>
            <w:tcW w:w="567" w:type="dxa"/>
            <w:tcBorders>
              <w:bottom w:val="single" w:sz="4" w:space="0" w:color="auto"/>
            </w:tcBorders>
          </w:tcPr>
          <w:p w14:paraId="1A77773F" w14:textId="77777777" w:rsidR="00271E37" w:rsidRPr="008424B2" w:rsidRDefault="00271E37">
            <w:pPr>
              <w:rPr>
                <w:b/>
                <w:bCs/>
              </w:rPr>
            </w:pPr>
            <w:r w:rsidRPr="008B255C">
              <w:t>11</w:t>
            </w:r>
          </w:p>
        </w:tc>
        <w:tc>
          <w:tcPr>
            <w:tcW w:w="1134" w:type="dxa"/>
            <w:tcBorders>
              <w:bottom w:val="single" w:sz="4" w:space="0" w:color="auto"/>
            </w:tcBorders>
            <w:vAlign w:val="center"/>
          </w:tcPr>
          <w:p w14:paraId="7426638E" w14:textId="77777777" w:rsidR="00271E37" w:rsidRPr="00F61E57" w:rsidRDefault="00271E37">
            <w:pPr>
              <w:rPr>
                <w:b/>
                <w:bCs/>
              </w:rPr>
            </w:pPr>
            <w:r>
              <w:rPr>
                <w:rFonts w:cs="Arial"/>
                <w:b/>
                <w:bCs/>
                <w:color w:val="000000"/>
                <w:szCs w:val="16"/>
              </w:rPr>
              <w:t xml:space="preserve">59 </w:t>
            </w:r>
          </w:p>
        </w:tc>
        <w:tc>
          <w:tcPr>
            <w:tcW w:w="1134" w:type="dxa"/>
            <w:tcBorders>
              <w:bottom w:val="single" w:sz="4" w:space="0" w:color="auto"/>
            </w:tcBorders>
            <w:vAlign w:val="center"/>
          </w:tcPr>
          <w:p w14:paraId="7FC63D36" w14:textId="77777777" w:rsidR="00271E37" w:rsidRPr="008B255C" w:rsidRDefault="00271E37">
            <w:r>
              <w:rPr>
                <w:rFonts w:cs="Arial"/>
                <w:color w:val="000000"/>
                <w:szCs w:val="16"/>
              </w:rPr>
              <w:t xml:space="preserve">58 </w:t>
            </w:r>
          </w:p>
        </w:tc>
        <w:tc>
          <w:tcPr>
            <w:tcW w:w="1134" w:type="dxa"/>
            <w:tcBorders>
              <w:bottom w:val="single" w:sz="4" w:space="0" w:color="auto"/>
            </w:tcBorders>
            <w:vAlign w:val="center"/>
          </w:tcPr>
          <w:p w14:paraId="73273FEB" w14:textId="77777777" w:rsidR="00271E37" w:rsidRPr="00CF4AE4" w:rsidRDefault="00271E37">
            <w:pPr>
              <w:rPr>
                <w:rFonts w:cs="Arial"/>
                <w:color w:val="000000"/>
                <w:szCs w:val="16"/>
              </w:rPr>
            </w:pPr>
            <w:r w:rsidRPr="00CF4AE4">
              <w:rPr>
                <w:rFonts w:cs="Arial"/>
                <w:color w:val="000000"/>
                <w:szCs w:val="16"/>
              </w:rPr>
              <w:t xml:space="preserve">121 </w:t>
            </w:r>
          </w:p>
        </w:tc>
      </w:tr>
      <w:tr w:rsidR="00271E37" w:rsidRPr="008B255C" w14:paraId="11376000" w14:textId="77777777">
        <w:tc>
          <w:tcPr>
            <w:tcW w:w="5103" w:type="dxa"/>
            <w:tcBorders>
              <w:top w:val="single" w:sz="4" w:space="0" w:color="auto"/>
              <w:bottom w:val="single" w:sz="12" w:space="0" w:color="auto"/>
            </w:tcBorders>
          </w:tcPr>
          <w:p w14:paraId="05E56505" w14:textId="77777777" w:rsidR="00271E37" w:rsidRPr="00022AA5" w:rsidRDefault="00271E37">
            <w:pPr>
              <w:jc w:val="left"/>
              <w:rPr>
                <w:b/>
                <w:bCs/>
              </w:rPr>
            </w:pPr>
            <w:r w:rsidRPr="00022AA5">
              <w:rPr>
                <w:b/>
                <w:bCs/>
              </w:rPr>
              <w:t>Total non-current liabilities</w:t>
            </w:r>
          </w:p>
        </w:tc>
        <w:tc>
          <w:tcPr>
            <w:tcW w:w="567" w:type="dxa"/>
            <w:tcBorders>
              <w:top w:val="single" w:sz="4" w:space="0" w:color="auto"/>
              <w:bottom w:val="single" w:sz="12" w:space="0" w:color="auto"/>
            </w:tcBorders>
          </w:tcPr>
          <w:p w14:paraId="4C611708" w14:textId="77777777" w:rsidR="00271E37" w:rsidRPr="008B255C" w:rsidRDefault="00271E37"/>
        </w:tc>
        <w:tc>
          <w:tcPr>
            <w:tcW w:w="567" w:type="dxa"/>
            <w:tcBorders>
              <w:top w:val="single" w:sz="4" w:space="0" w:color="auto"/>
              <w:bottom w:val="single" w:sz="12" w:space="0" w:color="auto"/>
            </w:tcBorders>
          </w:tcPr>
          <w:p w14:paraId="43BD59CF" w14:textId="77777777" w:rsidR="00271E37" w:rsidRPr="008424B2" w:rsidRDefault="00271E37">
            <w:pPr>
              <w:rPr>
                <w:b/>
                <w:bCs/>
              </w:rPr>
            </w:pPr>
          </w:p>
        </w:tc>
        <w:tc>
          <w:tcPr>
            <w:tcW w:w="1134" w:type="dxa"/>
            <w:tcBorders>
              <w:top w:val="single" w:sz="4" w:space="0" w:color="auto"/>
              <w:bottom w:val="single" w:sz="12" w:space="0" w:color="auto"/>
            </w:tcBorders>
            <w:vAlign w:val="center"/>
          </w:tcPr>
          <w:p w14:paraId="522B341D" w14:textId="77777777" w:rsidR="00271E37" w:rsidRPr="00F61E57" w:rsidRDefault="00271E37">
            <w:pPr>
              <w:rPr>
                <w:b/>
                <w:bCs/>
              </w:rPr>
            </w:pPr>
            <w:r>
              <w:rPr>
                <w:rFonts w:cs="Arial"/>
                <w:b/>
                <w:bCs/>
                <w:color w:val="000000"/>
                <w:szCs w:val="16"/>
              </w:rPr>
              <w:t xml:space="preserve">35,877 </w:t>
            </w:r>
          </w:p>
        </w:tc>
        <w:tc>
          <w:tcPr>
            <w:tcW w:w="1134" w:type="dxa"/>
            <w:tcBorders>
              <w:top w:val="single" w:sz="4" w:space="0" w:color="auto"/>
              <w:bottom w:val="single" w:sz="12" w:space="0" w:color="auto"/>
            </w:tcBorders>
            <w:vAlign w:val="center"/>
          </w:tcPr>
          <w:p w14:paraId="5E7B152C" w14:textId="77777777" w:rsidR="00271E37" w:rsidRPr="008B255C" w:rsidRDefault="00271E37">
            <w:r>
              <w:rPr>
                <w:rFonts w:cs="Arial"/>
                <w:b/>
                <w:bCs/>
                <w:color w:val="000000"/>
                <w:szCs w:val="16"/>
              </w:rPr>
              <w:t xml:space="preserve">61,527 </w:t>
            </w:r>
          </w:p>
        </w:tc>
        <w:tc>
          <w:tcPr>
            <w:tcW w:w="1134" w:type="dxa"/>
            <w:tcBorders>
              <w:top w:val="single" w:sz="4" w:space="0" w:color="auto"/>
              <w:bottom w:val="single" w:sz="12" w:space="0" w:color="auto"/>
            </w:tcBorders>
            <w:vAlign w:val="center"/>
          </w:tcPr>
          <w:p w14:paraId="32E8349E" w14:textId="77777777" w:rsidR="00271E37" w:rsidRPr="008B255C" w:rsidRDefault="00271E37">
            <w:r>
              <w:rPr>
                <w:rFonts w:cs="Arial"/>
                <w:b/>
                <w:bCs/>
                <w:color w:val="000000"/>
                <w:szCs w:val="16"/>
              </w:rPr>
              <w:t xml:space="preserve">55,494 </w:t>
            </w:r>
          </w:p>
        </w:tc>
      </w:tr>
      <w:tr w:rsidR="00271E37" w:rsidRPr="008B255C" w14:paraId="45E47A05" w14:textId="77777777">
        <w:tc>
          <w:tcPr>
            <w:tcW w:w="5103" w:type="dxa"/>
            <w:tcBorders>
              <w:top w:val="single" w:sz="12" w:space="0" w:color="auto"/>
            </w:tcBorders>
          </w:tcPr>
          <w:p w14:paraId="146AA83C" w14:textId="77777777" w:rsidR="00271E37" w:rsidRPr="00022AA5" w:rsidRDefault="00271E37" w:rsidP="008424B2">
            <w:pPr>
              <w:jc w:val="left"/>
              <w:rPr>
                <w:b/>
                <w:bCs/>
              </w:rPr>
            </w:pPr>
            <w:r w:rsidRPr="00022AA5">
              <w:rPr>
                <w:b/>
                <w:bCs/>
              </w:rPr>
              <w:t>Current liabilities</w:t>
            </w:r>
          </w:p>
        </w:tc>
        <w:tc>
          <w:tcPr>
            <w:tcW w:w="567" w:type="dxa"/>
            <w:tcBorders>
              <w:top w:val="single" w:sz="12" w:space="0" w:color="auto"/>
            </w:tcBorders>
          </w:tcPr>
          <w:p w14:paraId="5AC4BD2B" w14:textId="77777777" w:rsidR="00271E37" w:rsidRPr="008B255C" w:rsidRDefault="00271E37" w:rsidP="008424B2"/>
        </w:tc>
        <w:tc>
          <w:tcPr>
            <w:tcW w:w="567" w:type="dxa"/>
            <w:tcBorders>
              <w:top w:val="single" w:sz="12" w:space="0" w:color="auto"/>
            </w:tcBorders>
          </w:tcPr>
          <w:p w14:paraId="4899FD60" w14:textId="77777777" w:rsidR="00271E37" w:rsidRPr="008B255C" w:rsidRDefault="00271E37" w:rsidP="008424B2">
            <w:pPr>
              <w:rPr>
                <w:b/>
                <w:bCs/>
              </w:rPr>
            </w:pPr>
          </w:p>
        </w:tc>
        <w:tc>
          <w:tcPr>
            <w:tcW w:w="1134" w:type="dxa"/>
            <w:tcBorders>
              <w:top w:val="single" w:sz="12" w:space="0" w:color="auto"/>
            </w:tcBorders>
          </w:tcPr>
          <w:p w14:paraId="569A3526" w14:textId="77777777" w:rsidR="00271E37" w:rsidRPr="00F61E57" w:rsidRDefault="00271E37" w:rsidP="008424B2">
            <w:pPr>
              <w:rPr>
                <w:b/>
                <w:bCs/>
              </w:rPr>
            </w:pPr>
          </w:p>
        </w:tc>
        <w:tc>
          <w:tcPr>
            <w:tcW w:w="1134" w:type="dxa"/>
            <w:tcBorders>
              <w:top w:val="single" w:sz="12" w:space="0" w:color="auto"/>
            </w:tcBorders>
          </w:tcPr>
          <w:p w14:paraId="74F5D482" w14:textId="77777777" w:rsidR="00271E37" w:rsidRPr="008B255C" w:rsidRDefault="00271E37" w:rsidP="008424B2"/>
        </w:tc>
        <w:tc>
          <w:tcPr>
            <w:tcW w:w="1134" w:type="dxa"/>
            <w:tcBorders>
              <w:top w:val="single" w:sz="12" w:space="0" w:color="auto"/>
            </w:tcBorders>
          </w:tcPr>
          <w:p w14:paraId="15E67A09" w14:textId="77777777" w:rsidR="00271E37" w:rsidRPr="008B255C" w:rsidRDefault="00271E37"/>
        </w:tc>
      </w:tr>
      <w:tr w:rsidR="00271E37" w:rsidRPr="008B255C" w14:paraId="3FB2C415" w14:textId="77777777">
        <w:tc>
          <w:tcPr>
            <w:tcW w:w="5103" w:type="dxa"/>
          </w:tcPr>
          <w:p w14:paraId="6929E7FB" w14:textId="77777777" w:rsidR="00271E37" w:rsidRPr="008B255C" w:rsidRDefault="00271E37">
            <w:pPr>
              <w:jc w:val="left"/>
            </w:pPr>
            <w:r w:rsidRPr="008B255C">
              <w:t>Bank overdraft</w:t>
            </w:r>
          </w:p>
        </w:tc>
        <w:tc>
          <w:tcPr>
            <w:tcW w:w="567" w:type="dxa"/>
          </w:tcPr>
          <w:p w14:paraId="07B5840B" w14:textId="77777777" w:rsidR="00271E37" w:rsidRPr="008B255C" w:rsidRDefault="00271E37"/>
        </w:tc>
        <w:tc>
          <w:tcPr>
            <w:tcW w:w="567" w:type="dxa"/>
          </w:tcPr>
          <w:p w14:paraId="59975723" w14:textId="77777777" w:rsidR="00271E37" w:rsidRPr="008424B2" w:rsidRDefault="00271E37">
            <w:pPr>
              <w:rPr>
                <w:b/>
                <w:bCs/>
              </w:rPr>
            </w:pPr>
            <w:r w:rsidRPr="008B255C">
              <w:t>14</w:t>
            </w:r>
          </w:p>
        </w:tc>
        <w:tc>
          <w:tcPr>
            <w:tcW w:w="1134" w:type="dxa"/>
            <w:vAlign w:val="center"/>
          </w:tcPr>
          <w:p w14:paraId="1DF6BBF3" w14:textId="77777777" w:rsidR="00271E37" w:rsidRPr="00F61E57" w:rsidRDefault="00271E37">
            <w:pPr>
              <w:rPr>
                <w:b/>
                <w:bCs/>
              </w:rPr>
            </w:pPr>
            <w:r>
              <w:rPr>
                <w:rFonts w:cs="Arial"/>
                <w:b/>
                <w:bCs/>
                <w:color w:val="000000"/>
                <w:szCs w:val="16"/>
              </w:rPr>
              <w:t xml:space="preserve">481 </w:t>
            </w:r>
          </w:p>
        </w:tc>
        <w:tc>
          <w:tcPr>
            <w:tcW w:w="1134" w:type="dxa"/>
            <w:vAlign w:val="center"/>
          </w:tcPr>
          <w:p w14:paraId="1D9511C7" w14:textId="77777777" w:rsidR="00271E37" w:rsidRPr="008B255C" w:rsidRDefault="00271E37">
            <w:r>
              <w:rPr>
                <w:rFonts w:cs="Arial"/>
                <w:color w:val="000000"/>
                <w:szCs w:val="16"/>
              </w:rPr>
              <w:t xml:space="preserve">40,618 </w:t>
            </w:r>
          </w:p>
        </w:tc>
        <w:tc>
          <w:tcPr>
            <w:tcW w:w="1134" w:type="dxa"/>
            <w:vAlign w:val="center"/>
          </w:tcPr>
          <w:p w14:paraId="7AD7B11E" w14:textId="77777777" w:rsidR="00271E37" w:rsidRPr="008B255C" w:rsidRDefault="00271E37">
            <w:r>
              <w:rPr>
                <w:rFonts w:cs="Arial"/>
                <w:color w:val="000000"/>
                <w:szCs w:val="16"/>
              </w:rPr>
              <w:t xml:space="preserve">50,447 </w:t>
            </w:r>
          </w:p>
        </w:tc>
      </w:tr>
      <w:tr w:rsidR="00271E37" w:rsidRPr="008B255C" w14:paraId="1809AAC5" w14:textId="77777777">
        <w:tc>
          <w:tcPr>
            <w:tcW w:w="5103" w:type="dxa"/>
          </w:tcPr>
          <w:p w14:paraId="481940F4" w14:textId="77777777" w:rsidR="00271E37" w:rsidRPr="008B255C" w:rsidRDefault="00271E37">
            <w:pPr>
              <w:jc w:val="left"/>
            </w:pPr>
            <w:r w:rsidRPr="008B255C">
              <w:t>Loans and borrowings</w:t>
            </w:r>
          </w:p>
        </w:tc>
        <w:tc>
          <w:tcPr>
            <w:tcW w:w="567" w:type="dxa"/>
          </w:tcPr>
          <w:p w14:paraId="0BDDBCFE" w14:textId="77777777" w:rsidR="00271E37" w:rsidRPr="008B255C" w:rsidRDefault="00271E37"/>
        </w:tc>
        <w:tc>
          <w:tcPr>
            <w:tcW w:w="567" w:type="dxa"/>
          </w:tcPr>
          <w:p w14:paraId="54A80269" w14:textId="77777777" w:rsidR="00271E37" w:rsidRPr="008424B2" w:rsidRDefault="00271E37">
            <w:pPr>
              <w:rPr>
                <w:b/>
                <w:bCs/>
              </w:rPr>
            </w:pPr>
            <w:r w:rsidRPr="008B255C">
              <w:t>15</w:t>
            </w:r>
          </w:p>
        </w:tc>
        <w:tc>
          <w:tcPr>
            <w:tcW w:w="1134" w:type="dxa"/>
            <w:vAlign w:val="center"/>
          </w:tcPr>
          <w:p w14:paraId="4C716171" w14:textId="77777777" w:rsidR="00271E37" w:rsidRPr="00F61E57" w:rsidRDefault="00271E37">
            <w:pPr>
              <w:rPr>
                <w:b/>
                <w:bCs/>
              </w:rPr>
            </w:pPr>
            <w:r>
              <w:rPr>
                <w:rFonts w:cs="Arial"/>
                <w:b/>
                <w:bCs/>
                <w:color w:val="000000"/>
                <w:szCs w:val="16"/>
              </w:rPr>
              <w:t>(192)</w:t>
            </w:r>
          </w:p>
        </w:tc>
        <w:tc>
          <w:tcPr>
            <w:tcW w:w="1134" w:type="dxa"/>
            <w:vAlign w:val="center"/>
          </w:tcPr>
          <w:p w14:paraId="34B40A16" w14:textId="77777777" w:rsidR="00271E37" w:rsidRPr="008B255C" w:rsidRDefault="00271E37">
            <w:r>
              <w:rPr>
                <w:rFonts w:cs="Arial"/>
                <w:color w:val="000000"/>
                <w:szCs w:val="16"/>
              </w:rPr>
              <w:t>(555)</w:t>
            </w:r>
          </w:p>
        </w:tc>
        <w:tc>
          <w:tcPr>
            <w:tcW w:w="1134" w:type="dxa"/>
            <w:vAlign w:val="center"/>
          </w:tcPr>
          <w:p w14:paraId="79F3C641" w14:textId="77777777" w:rsidR="00271E37" w:rsidRPr="008B255C" w:rsidRDefault="00271E37">
            <w:r>
              <w:rPr>
                <w:rFonts w:cs="Arial"/>
                <w:color w:val="000000"/>
                <w:szCs w:val="16"/>
              </w:rPr>
              <w:t>(555)</w:t>
            </w:r>
          </w:p>
        </w:tc>
      </w:tr>
      <w:tr w:rsidR="00271E37" w:rsidRPr="008B255C" w14:paraId="107A0FC9" w14:textId="77777777">
        <w:tc>
          <w:tcPr>
            <w:tcW w:w="5103" w:type="dxa"/>
          </w:tcPr>
          <w:p w14:paraId="45E9047C" w14:textId="77777777" w:rsidR="00271E37" w:rsidRPr="008B255C" w:rsidRDefault="00271E37">
            <w:pPr>
              <w:jc w:val="left"/>
            </w:pPr>
            <w:r w:rsidRPr="008B255C">
              <w:t>Lease liabilities</w:t>
            </w:r>
          </w:p>
        </w:tc>
        <w:tc>
          <w:tcPr>
            <w:tcW w:w="567" w:type="dxa"/>
          </w:tcPr>
          <w:p w14:paraId="175DD660" w14:textId="77777777" w:rsidR="00271E37" w:rsidRPr="008B255C" w:rsidRDefault="00271E37"/>
        </w:tc>
        <w:tc>
          <w:tcPr>
            <w:tcW w:w="567" w:type="dxa"/>
          </w:tcPr>
          <w:p w14:paraId="05F5E5BD" w14:textId="77777777" w:rsidR="00271E37" w:rsidRPr="008424B2" w:rsidRDefault="00271E37">
            <w:pPr>
              <w:rPr>
                <w:b/>
                <w:bCs/>
              </w:rPr>
            </w:pPr>
            <w:r w:rsidRPr="008B255C">
              <w:t>10</w:t>
            </w:r>
          </w:p>
        </w:tc>
        <w:tc>
          <w:tcPr>
            <w:tcW w:w="1134" w:type="dxa"/>
            <w:vAlign w:val="center"/>
          </w:tcPr>
          <w:p w14:paraId="457B345D" w14:textId="77777777" w:rsidR="00271E37" w:rsidRPr="00F61E57" w:rsidRDefault="00271E37">
            <w:pPr>
              <w:rPr>
                <w:b/>
                <w:bCs/>
              </w:rPr>
            </w:pPr>
            <w:r>
              <w:rPr>
                <w:rFonts w:cs="Arial"/>
                <w:b/>
                <w:bCs/>
                <w:color w:val="000000"/>
                <w:szCs w:val="16"/>
              </w:rPr>
              <w:t xml:space="preserve">3,231 </w:t>
            </w:r>
          </w:p>
        </w:tc>
        <w:tc>
          <w:tcPr>
            <w:tcW w:w="1134" w:type="dxa"/>
            <w:vAlign w:val="center"/>
          </w:tcPr>
          <w:p w14:paraId="2294B02D" w14:textId="77777777" w:rsidR="00271E37" w:rsidRPr="008B255C" w:rsidRDefault="00271E37">
            <w:r>
              <w:rPr>
                <w:rFonts w:cs="Arial"/>
                <w:color w:val="000000"/>
                <w:szCs w:val="16"/>
              </w:rPr>
              <w:t xml:space="preserve">10,447 </w:t>
            </w:r>
          </w:p>
        </w:tc>
        <w:tc>
          <w:tcPr>
            <w:tcW w:w="1134" w:type="dxa"/>
            <w:vAlign w:val="center"/>
          </w:tcPr>
          <w:p w14:paraId="3D376066" w14:textId="77777777" w:rsidR="00271E37" w:rsidRPr="008B255C" w:rsidRDefault="00271E37">
            <w:r>
              <w:rPr>
                <w:rFonts w:cs="Arial"/>
                <w:color w:val="000000"/>
                <w:szCs w:val="16"/>
              </w:rPr>
              <w:t xml:space="preserve">12,359 </w:t>
            </w:r>
          </w:p>
        </w:tc>
      </w:tr>
      <w:tr w:rsidR="00271E37" w:rsidRPr="008B255C" w14:paraId="68DF440A" w14:textId="77777777">
        <w:tc>
          <w:tcPr>
            <w:tcW w:w="5103" w:type="dxa"/>
          </w:tcPr>
          <w:p w14:paraId="35BC469F" w14:textId="77777777" w:rsidR="00271E37" w:rsidRPr="008B255C" w:rsidRDefault="00271E37">
            <w:pPr>
              <w:jc w:val="left"/>
            </w:pPr>
            <w:r w:rsidRPr="008B255C">
              <w:t>Deferred income</w:t>
            </w:r>
          </w:p>
        </w:tc>
        <w:tc>
          <w:tcPr>
            <w:tcW w:w="567" w:type="dxa"/>
          </w:tcPr>
          <w:p w14:paraId="12EE08DF" w14:textId="77777777" w:rsidR="00271E37" w:rsidRPr="008B255C" w:rsidRDefault="00271E37"/>
        </w:tc>
        <w:tc>
          <w:tcPr>
            <w:tcW w:w="567" w:type="dxa"/>
          </w:tcPr>
          <w:p w14:paraId="50D714F3" w14:textId="77777777" w:rsidR="00271E37" w:rsidRPr="008424B2" w:rsidRDefault="00271E37">
            <w:pPr>
              <w:rPr>
                <w:b/>
                <w:bCs/>
              </w:rPr>
            </w:pPr>
            <w:r w:rsidRPr="008B255C">
              <w:t>16</w:t>
            </w:r>
          </w:p>
        </w:tc>
        <w:tc>
          <w:tcPr>
            <w:tcW w:w="1134" w:type="dxa"/>
            <w:vAlign w:val="center"/>
          </w:tcPr>
          <w:p w14:paraId="664B821F" w14:textId="77777777" w:rsidR="00271E37" w:rsidRPr="00F61E57" w:rsidRDefault="00271E37">
            <w:pPr>
              <w:rPr>
                <w:b/>
                <w:bCs/>
              </w:rPr>
            </w:pPr>
            <w:r>
              <w:rPr>
                <w:rFonts w:cs="Arial"/>
                <w:b/>
                <w:bCs/>
                <w:color w:val="000000"/>
                <w:szCs w:val="16"/>
              </w:rPr>
              <w:t xml:space="preserve">96 </w:t>
            </w:r>
          </w:p>
        </w:tc>
        <w:tc>
          <w:tcPr>
            <w:tcW w:w="1134" w:type="dxa"/>
            <w:vAlign w:val="center"/>
          </w:tcPr>
          <w:p w14:paraId="79CBC2EA" w14:textId="77777777" w:rsidR="00271E37" w:rsidRPr="008B255C" w:rsidRDefault="00271E37">
            <w:r>
              <w:rPr>
                <w:rFonts w:cs="Arial"/>
                <w:color w:val="000000"/>
                <w:szCs w:val="16"/>
              </w:rPr>
              <w:t xml:space="preserve">203 </w:t>
            </w:r>
          </w:p>
        </w:tc>
        <w:tc>
          <w:tcPr>
            <w:tcW w:w="1134" w:type="dxa"/>
            <w:vAlign w:val="center"/>
          </w:tcPr>
          <w:p w14:paraId="19017B2E" w14:textId="77777777" w:rsidR="00271E37" w:rsidRPr="008B255C" w:rsidRDefault="00271E37">
            <w:r>
              <w:rPr>
                <w:rFonts w:cs="Arial"/>
                <w:color w:val="000000"/>
                <w:szCs w:val="16"/>
              </w:rPr>
              <w:t xml:space="preserve">169 </w:t>
            </w:r>
          </w:p>
        </w:tc>
      </w:tr>
      <w:tr w:rsidR="00271E37" w:rsidRPr="008B255C" w14:paraId="5944D5B8" w14:textId="77777777">
        <w:tc>
          <w:tcPr>
            <w:tcW w:w="5103" w:type="dxa"/>
          </w:tcPr>
          <w:p w14:paraId="5842138A" w14:textId="77777777" w:rsidR="00271E37" w:rsidRPr="008B255C" w:rsidRDefault="00271E37">
            <w:pPr>
              <w:jc w:val="left"/>
            </w:pPr>
            <w:r w:rsidRPr="008B255C">
              <w:t>Provisions</w:t>
            </w:r>
          </w:p>
        </w:tc>
        <w:tc>
          <w:tcPr>
            <w:tcW w:w="567" w:type="dxa"/>
          </w:tcPr>
          <w:p w14:paraId="79F48226" w14:textId="77777777" w:rsidR="00271E37" w:rsidRPr="008B255C" w:rsidRDefault="00271E37"/>
        </w:tc>
        <w:tc>
          <w:tcPr>
            <w:tcW w:w="567" w:type="dxa"/>
          </w:tcPr>
          <w:p w14:paraId="3431F706" w14:textId="77777777" w:rsidR="00271E37" w:rsidRPr="008424B2" w:rsidRDefault="00271E37">
            <w:pPr>
              <w:rPr>
                <w:b/>
                <w:bCs/>
              </w:rPr>
            </w:pPr>
            <w:r w:rsidRPr="008B255C">
              <w:t>17</w:t>
            </w:r>
          </w:p>
        </w:tc>
        <w:tc>
          <w:tcPr>
            <w:tcW w:w="1134" w:type="dxa"/>
            <w:vAlign w:val="center"/>
          </w:tcPr>
          <w:p w14:paraId="7BDE6789" w14:textId="77777777" w:rsidR="00271E37" w:rsidRPr="00F61E57" w:rsidRDefault="00271E37">
            <w:pPr>
              <w:rPr>
                <w:b/>
                <w:bCs/>
              </w:rPr>
            </w:pPr>
            <w:r>
              <w:rPr>
                <w:rFonts w:cs="Arial"/>
                <w:b/>
                <w:bCs/>
                <w:color w:val="000000"/>
                <w:szCs w:val="16"/>
              </w:rPr>
              <w:t>809</w:t>
            </w:r>
          </w:p>
        </w:tc>
        <w:tc>
          <w:tcPr>
            <w:tcW w:w="1134" w:type="dxa"/>
            <w:vAlign w:val="center"/>
          </w:tcPr>
          <w:p w14:paraId="1E36E21E" w14:textId="77777777" w:rsidR="00271E37" w:rsidRPr="008B255C" w:rsidRDefault="00271E37">
            <w:r>
              <w:rPr>
                <w:rFonts w:cs="Arial"/>
                <w:color w:val="000000"/>
                <w:szCs w:val="16"/>
              </w:rPr>
              <w:t xml:space="preserve">1,346 </w:t>
            </w:r>
          </w:p>
        </w:tc>
        <w:tc>
          <w:tcPr>
            <w:tcW w:w="1134" w:type="dxa"/>
            <w:vAlign w:val="center"/>
          </w:tcPr>
          <w:p w14:paraId="3A8D4961" w14:textId="77777777" w:rsidR="00271E37" w:rsidRPr="008B255C" w:rsidRDefault="00271E37">
            <w:r>
              <w:rPr>
                <w:rFonts w:cs="Arial"/>
                <w:color w:val="000000"/>
                <w:szCs w:val="16"/>
              </w:rPr>
              <w:t xml:space="preserve">5,965 </w:t>
            </w:r>
          </w:p>
        </w:tc>
      </w:tr>
      <w:tr w:rsidR="00271E37" w:rsidRPr="008B255C" w14:paraId="34C1B8AB" w14:textId="77777777">
        <w:tc>
          <w:tcPr>
            <w:tcW w:w="5103" w:type="dxa"/>
          </w:tcPr>
          <w:p w14:paraId="40C7D89F" w14:textId="77777777" w:rsidR="00271E37" w:rsidRPr="008B255C" w:rsidRDefault="00271E37">
            <w:pPr>
              <w:jc w:val="left"/>
            </w:pPr>
            <w:r w:rsidRPr="008B255C">
              <w:t>Income tax payable</w:t>
            </w:r>
          </w:p>
        </w:tc>
        <w:tc>
          <w:tcPr>
            <w:tcW w:w="567" w:type="dxa"/>
          </w:tcPr>
          <w:p w14:paraId="4DCE315D" w14:textId="77777777" w:rsidR="00271E37" w:rsidRPr="008B255C" w:rsidRDefault="00271E37"/>
        </w:tc>
        <w:tc>
          <w:tcPr>
            <w:tcW w:w="567" w:type="dxa"/>
          </w:tcPr>
          <w:p w14:paraId="7A48A24F" w14:textId="77777777" w:rsidR="00271E37" w:rsidRPr="008424B2" w:rsidRDefault="00271E37">
            <w:pPr>
              <w:rPr>
                <w:b/>
                <w:bCs/>
              </w:rPr>
            </w:pPr>
          </w:p>
        </w:tc>
        <w:tc>
          <w:tcPr>
            <w:tcW w:w="1134" w:type="dxa"/>
            <w:vAlign w:val="center"/>
          </w:tcPr>
          <w:p w14:paraId="4F87B59F" w14:textId="77777777" w:rsidR="00271E37" w:rsidRPr="00F61E57" w:rsidRDefault="00271E37">
            <w:pPr>
              <w:rPr>
                <w:b/>
                <w:bCs/>
              </w:rPr>
            </w:pPr>
            <w:r>
              <w:rPr>
                <w:rFonts w:cs="Arial"/>
                <w:b/>
                <w:bCs/>
                <w:color w:val="000000"/>
                <w:szCs w:val="16"/>
              </w:rPr>
              <w:t xml:space="preserve">573 </w:t>
            </w:r>
          </w:p>
        </w:tc>
        <w:tc>
          <w:tcPr>
            <w:tcW w:w="1134" w:type="dxa"/>
            <w:vAlign w:val="center"/>
          </w:tcPr>
          <w:p w14:paraId="244F7798" w14:textId="77777777" w:rsidR="00271E37" w:rsidRPr="008B255C" w:rsidRDefault="00271E37">
            <w:r>
              <w:rPr>
                <w:rFonts w:cs="Arial"/>
                <w:color w:val="000000"/>
                <w:szCs w:val="16"/>
              </w:rPr>
              <w:t xml:space="preserve">6,699 </w:t>
            </w:r>
          </w:p>
        </w:tc>
        <w:tc>
          <w:tcPr>
            <w:tcW w:w="1134" w:type="dxa"/>
            <w:vAlign w:val="center"/>
          </w:tcPr>
          <w:p w14:paraId="17ABCC1A" w14:textId="77777777" w:rsidR="00271E37" w:rsidRPr="008B255C" w:rsidRDefault="00271E37">
            <w:r>
              <w:rPr>
                <w:rFonts w:cs="Arial"/>
                <w:color w:val="000000"/>
                <w:szCs w:val="16"/>
              </w:rPr>
              <w:t xml:space="preserve">9,785 </w:t>
            </w:r>
          </w:p>
        </w:tc>
      </w:tr>
      <w:tr w:rsidR="00271E37" w:rsidRPr="008B255C" w14:paraId="5FB89EFE" w14:textId="77777777">
        <w:tc>
          <w:tcPr>
            <w:tcW w:w="5103" w:type="dxa"/>
          </w:tcPr>
          <w:p w14:paraId="06D64CF2" w14:textId="77777777" w:rsidR="00271E37" w:rsidRPr="008B255C" w:rsidRDefault="00271E37">
            <w:pPr>
              <w:jc w:val="left"/>
            </w:pPr>
            <w:r w:rsidRPr="008B255C">
              <w:t>Trade and other payables</w:t>
            </w:r>
          </w:p>
        </w:tc>
        <w:tc>
          <w:tcPr>
            <w:tcW w:w="567" w:type="dxa"/>
          </w:tcPr>
          <w:p w14:paraId="665284B4" w14:textId="77777777" w:rsidR="00271E37" w:rsidRPr="008B255C" w:rsidRDefault="00271E37"/>
        </w:tc>
        <w:tc>
          <w:tcPr>
            <w:tcW w:w="567" w:type="dxa"/>
          </w:tcPr>
          <w:p w14:paraId="06B9CE5A" w14:textId="77777777" w:rsidR="00271E37" w:rsidRPr="008424B2" w:rsidRDefault="00271E37">
            <w:pPr>
              <w:rPr>
                <w:b/>
                <w:bCs/>
              </w:rPr>
            </w:pPr>
            <w:r w:rsidRPr="008B255C">
              <w:t>19</w:t>
            </w:r>
          </w:p>
        </w:tc>
        <w:tc>
          <w:tcPr>
            <w:tcW w:w="1134" w:type="dxa"/>
            <w:vAlign w:val="center"/>
          </w:tcPr>
          <w:p w14:paraId="212E07D2" w14:textId="77777777" w:rsidR="00271E37" w:rsidRPr="001847CB" w:rsidRDefault="00271E37">
            <w:pPr>
              <w:rPr>
                <w:b/>
                <w:bCs/>
              </w:rPr>
            </w:pPr>
            <w:r w:rsidRPr="001847CB">
              <w:rPr>
                <w:rFonts w:cs="Arial"/>
                <w:b/>
                <w:bCs/>
                <w:szCs w:val="16"/>
              </w:rPr>
              <w:t xml:space="preserve">23,954 </w:t>
            </w:r>
          </w:p>
        </w:tc>
        <w:tc>
          <w:tcPr>
            <w:tcW w:w="1134" w:type="dxa"/>
            <w:vAlign w:val="center"/>
          </w:tcPr>
          <w:p w14:paraId="7DEED4CF" w14:textId="77777777" w:rsidR="00271E37" w:rsidRPr="001847CB" w:rsidRDefault="00271E37">
            <w:r w:rsidRPr="001847CB">
              <w:rPr>
                <w:rFonts w:cs="Arial"/>
                <w:szCs w:val="16"/>
              </w:rPr>
              <w:t xml:space="preserve">65,577 </w:t>
            </w:r>
          </w:p>
        </w:tc>
        <w:tc>
          <w:tcPr>
            <w:tcW w:w="1134" w:type="dxa"/>
            <w:vAlign w:val="center"/>
          </w:tcPr>
          <w:p w14:paraId="4E66FB04" w14:textId="77777777" w:rsidR="00271E37" w:rsidRPr="008B255C" w:rsidRDefault="00271E37">
            <w:r>
              <w:rPr>
                <w:rFonts w:cs="Arial"/>
                <w:color w:val="000000"/>
                <w:szCs w:val="16"/>
              </w:rPr>
              <w:t xml:space="preserve">68,234 </w:t>
            </w:r>
          </w:p>
        </w:tc>
      </w:tr>
      <w:tr w:rsidR="00271E37" w:rsidRPr="008B255C" w14:paraId="6FF8EA04" w14:textId="77777777">
        <w:tc>
          <w:tcPr>
            <w:tcW w:w="5103" w:type="dxa"/>
            <w:tcBorders>
              <w:bottom w:val="single" w:sz="4" w:space="0" w:color="auto"/>
            </w:tcBorders>
          </w:tcPr>
          <w:p w14:paraId="48B86E9C" w14:textId="77777777" w:rsidR="00271E37" w:rsidRPr="008B255C" w:rsidRDefault="00271E37">
            <w:pPr>
              <w:jc w:val="left"/>
            </w:pPr>
            <w:r w:rsidRPr="008B255C">
              <w:t>Other financial liabilities</w:t>
            </w:r>
          </w:p>
        </w:tc>
        <w:tc>
          <w:tcPr>
            <w:tcW w:w="567" w:type="dxa"/>
            <w:tcBorders>
              <w:bottom w:val="single" w:sz="4" w:space="0" w:color="auto"/>
            </w:tcBorders>
          </w:tcPr>
          <w:p w14:paraId="66782592" w14:textId="77777777" w:rsidR="00271E37" w:rsidRPr="008B255C" w:rsidRDefault="00271E37"/>
        </w:tc>
        <w:tc>
          <w:tcPr>
            <w:tcW w:w="567" w:type="dxa"/>
            <w:tcBorders>
              <w:bottom w:val="single" w:sz="4" w:space="0" w:color="auto"/>
            </w:tcBorders>
          </w:tcPr>
          <w:p w14:paraId="2A463625" w14:textId="77777777" w:rsidR="00271E37" w:rsidRPr="008424B2" w:rsidRDefault="00271E37">
            <w:pPr>
              <w:rPr>
                <w:b/>
                <w:bCs/>
              </w:rPr>
            </w:pPr>
            <w:r w:rsidRPr="008B255C">
              <w:t>18</w:t>
            </w:r>
          </w:p>
        </w:tc>
        <w:tc>
          <w:tcPr>
            <w:tcW w:w="1134" w:type="dxa"/>
            <w:tcBorders>
              <w:bottom w:val="single" w:sz="4" w:space="0" w:color="auto"/>
            </w:tcBorders>
            <w:vAlign w:val="center"/>
          </w:tcPr>
          <w:p w14:paraId="6297F6B1" w14:textId="77777777" w:rsidR="00271E37" w:rsidRPr="00F61E57" w:rsidRDefault="00271E37">
            <w:pPr>
              <w:rPr>
                <w:b/>
                <w:bCs/>
              </w:rPr>
            </w:pPr>
            <w:r>
              <w:rPr>
                <w:rFonts w:cs="Arial"/>
                <w:b/>
                <w:bCs/>
                <w:color w:val="000000"/>
                <w:szCs w:val="16"/>
              </w:rPr>
              <w:t xml:space="preserve">11,657 </w:t>
            </w:r>
          </w:p>
        </w:tc>
        <w:tc>
          <w:tcPr>
            <w:tcW w:w="1134" w:type="dxa"/>
            <w:tcBorders>
              <w:bottom w:val="single" w:sz="4" w:space="0" w:color="auto"/>
            </w:tcBorders>
            <w:vAlign w:val="center"/>
          </w:tcPr>
          <w:p w14:paraId="7ADFC88D" w14:textId="77777777" w:rsidR="00271E37" w:rsidRPr="008B255C" w:rsidRDefault="00271E37">
            <w:r>
              <w:rPr>
                <w:rFonts w:cs="Arial"/>
                <w:color w:val="000000"/>
                <w:szCs w:val="16"/>
              </w:rPr>
              <w:t xml:space="preserve">25,540 </w:t>
            </w:r>
          </w:p>
        </w:tc>
        <w:tc>
          <w:tcPr>
            <w:tcW w:w="1134" w:type="dxa"/>
            <w:tcBorders>
              <w:bottom w:val="single" w:sz="4" w:space="0" w:color="auto"/>
            </w:tcBorders>
            <w:vAlign w:val="center"/>
          </w:tcPr>
          <w:p w14:paraId="761DCAC5" w14:textId="77777777" w:rsidR="00271E37" w:rsidRPr="008B255C" w:rsidRDefault="00271E37">
            <w:r>
              <w:rPr>
                <w:rFonts w:cs="Arial"/>
                <w:color w:val="000000"/>
                <w:szCs w:val="16"/>
              </w:rPr>
              <w:t xml:space="preserve">29,390 </w:t>
            </w:r>
          </w:p>
        </w:tc>
      </w:tr>
      <w:tr w:rsidR="00271E37" w:rsidRPr="008B255C" w14:paraId="57B24252" w14:textId="77777777">
        <w:tc>
          <w:tcPr>
            <w:tcW w:w="5103" w:type="dxa"/>
            <w:tcBorders>
              <w:top w:val="single" w:sz="4" w:space="0" w:color="auto"/>
              <w:bottom w:val="single" w:sz="4" w:space="0" w:color="auto"/>
            </w:tcBorders>
          </w:tcPr>
          <w:p w14:paraId="3B367E6F" w14:textId="77777777" w:rsidR="00271E37" w:rsidRPr="00022AA5" w:rsidRDefault="00271E37">
            <w:pPr>
              <w:jc w:val="left"/>
              <w:rPr>
                <w:b/>
                <w:bCs/>
              </w:rPr>
            </w:pPr>
            <w:r w:rsidRPr="00022AA5">
              <w:rPr>
                <w:b/>
                <w:bCs/>
              </w:rPr>
              <w:t>Total current liabilities</w:t>
            </w:r>
          </w:p>
        </w:tc>
        <w:tc>
          <w:tcPr>
            <w:tcW w:w="567" w:type="dxa"/>
            <w:tcBorders>
              <w:top w:val="single" w:sz="4" w:space="0" w:color="auto"/>
              <w:bottom w:val="single" w:sz="4" w:space="0" w:color="auto"/>
            </w:tcBorders>
          </w:tcPr>
          <w:p w14:paraId="349D4037" w14:textId="77777777" w:rsidR="00271E37" w:rsidRPr="008B255C" w:rsidRDefault="00271E37"/>
        </w:tc>
        <w:tc>
          <w:tcPr>
            <w:tcW w:w="567" w:type="dxa"/>
            <w:tcBorders>
              <w:top w:val="single" w:sz="4" w:space="0" w:color="auto"/>
              <w:bottom w:val="single" w:sz="4" w:space="0" w:color="auto"/>
            </w:tcBorders>
          </w:tcPr>
          <w:p w14:paraId="0FB55A4C" w14:textId="77777777" w:rsidR="00271E37" w:rsidRPr="008424B2" w:rsidRDefault="00271E37">
            <w:pPr>
              <w:rPr>
                <w:b/>
                <w:bCs/>
              </w:rPr>
            </w:pPr>
          </w:p>
        </w:tc>
        <w:tc>
          <w:tcPr>
            <w:tcW w:w="1134" w:type="dxa"/>
            <w:tcBorders>
              <w:top w:val="single" w:sz="4" w:space="0" w:color="auto"/>
              <w:bottom w:val="single" w:sz="4" w:space="0" w:color="auto"/>
            </w:tcBorders>
            <w:vAlign w:val="center"/>
          </w:tcPr>
          <w:p w14:paraId="3B55C0B2" w14:textId="77777777" w:rsidR="00271E37" w:rsidRPr="00F61E57" w:rsidRDefault="00271E37">
            <w:pPr>
              <w:rPr>
                <w:b/>
                <w:bCs/>
              </w:rPr>
            </w:pPr>
            <w:r>
              <w:rPr>
                <w:rFonts w:cs="Arial"/>
                <w:b/>
                <w:bCs/>
                <w:color w:val="000000"/>
                <w:szCs w:val="16"/>
              </w:rPr>
              <w:t xml:space="preserve">40,609 </w:t>
            </w:r>
          </w:p>
        </w:tc>
        <w:tc>
          <w:tcPr>
            <w:tcW w:w="1134" w:type="dxa"/>
            <w:tcBorders>
              <w:top w:val="single" w:sz="4" w:space="0" w:color="auto"/>
              <w:bottom w:val="single" w:sz="4" w:space="0" w:color="auto"/>
            </w:tcBorders>
            <w:vAlign w:val="center"/>
          </w:tcPr>
          <w:p w14:paraId="63CE3126" w14:textId="77777777" w:rsidR="00271E37" w:rsidRPr="008B255C" w:rsidRDefault="00271E37">
            <w:r>
              <w:rPr>
                <w:rFonts w:cs="Arial"/>
                <w:b/>
                <w:bCs/>
                <w:color w:val="000000"/>
                <w:szCs w:val="16"/>
              </w:rPr>
              <w:t xml:space="preserve">149,875 </w:t>
            </w:r>
          </w:p>
        </w:tc>
        <w:tc>
          <w:tcPr>
            <w:tcW w:w="1134" w:type="dxa"/>
            <w:tcBorders>
              <w:top w:val="single" w:sz="4" w:space="0" w:color="auto"/>
              <w:bottom w:val="single" w:sz="4" w:space="0" w:color="auto"/>
            </w:tcBorders>
            <w:vAlign w:val="center"/>
          </w:tcPr>
          <w:p w14:paraId="78405964" w14:textId="77777777" w:rsidR="00271E37" w:rsidRPr="008B255C" w:rsidRDefault="00271E37">
            <w:r>
              <w:rPr>
                <w:rFonts w:cs="Arial"/>
                <w:b/>
                <w:bCs/>
                <w:color w:val="000000"/>
                <w:szCs w:val="16"/>
              </w:rPr>
              <w:t xml:space="preserve">175,794 </w:t>
            </w:r>
          </w:p>
        </w:tc>
      </w:tr>
      <w:tr w:rsidR="00271E37" w:rsidRPr="008B255C" w14:paraId="269044C8" w14:textId="77777777">
        <w:tc>
          <w:tcPr>
            <w:tcW w:w="5103" w:type="dxa"/>
            <w:tcBorders>
              <w:top w:val="single" w:sz="4" w:space="0" w:color="auto"/>
              <w:bottom w:val="single" w:sz="4" w:space="0" w:color="auto"/>
            </w:tcBorders>
          </w:tcPr>
          <w:p w14:paraId="6CA71A54" w14:textId="77777777" w:rsidR="00271E37" w:rsidRPr="00022AA5" w:rsidRDefault="00271E37">
            <w:pPr>
              <w:jc w:val="left"/>
              <w:rPr>
                <w:b/>
                <w:bCs/>
              </w:rPr>
            </w:pPr>
            <w:r w:rsidRPr="00022AA5">
              <w:rPr>
                <w:b/>
                <w:bCs/>
              </w:rPr>
              <w:t>Total liabilities</w:t>
            </w:r>
          </w:p>
        </w:tc>
        <w:tc>
          <w:tcPr>
            <w:tcW w:w="567" w:type="dxa"/>
            <w:tcBorders>
              <w:top w:val="single" w:sz="4" w:space="0" w:color="auto"/>
              <w:bottom w:val="single" w:sz="4" w:space="0" w:color="auto"/>
            </w:tcBorders>
          </w:tcPr>
          <w:p w14:paraId="61AA00D9" w14:textId="77777777" w:rsidR="00271E37" w:rsidRPr="008B255C" w:rsidRDefault="00271E37"/>
        </w:tc>
        <w:tc>
          <w:tcPr>
            <w:tcW w:w="567" w:type="dxa"/>
            <w:tcBorders>
              <w:top w:val="single" w:sz="4" w:space="0" w:color="auto"/>
              <w:bottom w:val="single" w:sz="4" w:space="0" w:color="auto"/>
            </w:tcBorders>
          </w:tcPr>
          <w:p w14:paraId="51EF7A3E" w14:textId="77777777" w:rsidR="00271E37" w:rsidRPr="008424B2" w:rsidRDefault="00271E37">
            <w:pPr>
              <w:rPr>
                <w:b/>
                <w:bCs/>
              </w:rPr>
            </w:pPr>
            <w:r w:rsidRPr="008B255C">
              <w:t>2</w:t>
            </w:r>
          </w:p>
        </w:tc>
        <w:tc>
          <w:tcPr>
            <w:tcW w:w="1134" w:type="dxa"/>
            <w:tcBorders>
              <w:top w:val="single" w:sz="4" w:space="0" w:color="auto"/>
              <w:bottom w:val="single" w:sz="4" w:space="0" w:color="auto"/>
            </w:tcBorders>
            <w:vAlign w:val="center"/>
          </w:tcPr>
          <w:p w14:paraId="6B318E90" w14:textId="77777777" w:rsidR="00271E37" w:rsidRPr="00F61E57" w:rsidRDefault="00271E37">
            <w:pPr>
              <w:rPr>
                <w:b/>
                <w:bCs/>
              </w:rPr>
            </w:pPr>
            <w:r>
              <w:rPr>
                <w:rFonts w:cs="Arial"/>
                <w:b/>
                <w:bCs/>
                <w:color w:val="000000"/>
                <w:szCs w:val="16"/>
              </w:rPr>
              <w:t xml:space="preserve">76,486 </w:t>
            </w:r>
          </w:p>
        </w:tc>
        <w:tc>
          <w:tcPr>
            <w:tcW w:w="1134" w:type="dxa"/>
            <w:tcBorders>
              <w:top w:val="single" w:sz="4" w:space="0" w:color="auto"/>
              <w:bottom w:val="single" w:sz="4" w:space="0" w:color="auto"/>
            </w:tcBorders>
            <w:vAlign w:val="center"/>
          </w:tcPr>
          <w:p w14:paraId="673715AF" w14:textId="77777777" w:rsidR="00271E37" w:rsidRPr="008B255C" w:rsidRDefault="00271E37">
            <w:r>
              <w:rPr>
                <w:rFonts w:cs="Arial"/>
                <w:b/>
                <w:bCs/>
                <w:color w:val="000000"/>
                <w:szCs w:val="16"/>
              </w:rPr>
              <w:t xml:space="preserve">211,402 </w:t>
            </w:r>
          </w:p>
        </w:tc>
        <w:tc>
          <w:tcPr>
            <w:tcW w:w="1134" w:type="dxa"/>
            <w:tcBorders>
              <w:top w:val="single" w:sz="4" w:space="0" w:color="auto"/>
              <w:bottom w:val="single" w:sz="4" w:space="0" w:color="auto"/>
            </w:tcBorders>
            <w:vAlign w:val="center"/>
          </w:tcPr>
          <w:p w14:paraId="4747BFA7" w14:textId="77777777" w:rsidR="00271E37" w:rsidRPr="008B255C" w:rsidRDefault="00271E37">
            <w:r>
              <w:rPr>
                <w:rFonts w:cs="Arial"/>
                <w:b/>
                <w:bCs/>
                <w:color w:val="000000"/>
                <w:szCs w:val="16"/>
              </w:rPr>
              <w:t xml:space="preserve">231,288 </w:t>
            </w:r>
          </w:p>
        </w:tc>
      </w:tr>
      <w:tr w:rsidR="00271E37" w:rsidRPr="008B255C" w14:paraId="17A830A3" w14:textId="77777777">
        <w:tc>
          <w:tcPr>
            <w:tcW w:w="5103" w:type="dxa"/>
            <w:tcBorders>
              <w:top w:val="single" w:sz="4" w:space="0" w:color="auto"/>
              <w:bottom w:val="single" w:sz="12" w:space="0" w:color="auto"/>
            </w:tcBorders>
          </w:tcPr>
          <w:p w14:paraId="07AB81B4" w14:textId="77777777" w:rsidR="00271E37" w:rsidRPr="00022AA5" w:rsidRDefault="00271E37">
            <w:pPr>
              <w:jc w:val="left"/>
              <w:rPr>
                <w:b/>
                <w:bCs/>
              </w:rPr>
            </w:pPr>
            <w:r w:rsidRPr="00022AA5">
              <w:rPr>
                <w:b/>
                <w:bCs/>
              </w:rPr>
              <w:t>Net assets</w:t>
            </w:r>
          </w:p>
        </w:tc>
        <w:tc>
          <w:tcPr>
            <w:tcW w:w="567" w:type="dxa"/>
            <w:tcBorders>
              <w:top w:val="single" w:sz="4" w:space="0" w:color="auto"/>
              <w:bottom w:val="single" w:sz="12" w:space="0" w:color="auto"/>
            </w:tcBorders>
          </w:tcPr>
          <w:p w14:paraId="599B9016" w14:textId="77777777" w:rsidR="00271E37" w:rsidRPr="008B255C" w:rsidRDefault="00271E37"/>
        </w:tc>
        <w:tc>
          <w:tcPr>
            <w:tcW w:w="567" w:type="dxa"/>
            <w:tcBorders>
              <w:top w:val="single" w:sz="4" w:space="0" w:color="auto"/>
              <w:bottom w:val="single" w:sz="12" w:space="0" w:color="auto"/>
            </w:tcBorders>
          </w:tcPr>
          <w:p w14:paraId="3FF37096" w14:textId="77777777" w:rsidR="00271E37" w:rsidRPr="008424B2" w:rsidRDefault="00271E37">
            <w:pPr>
              <w:rPr>
                <w:b/>
                <w:bCs/>
              </w:rPr>
            </w:pPr>
          </w:p>
        </w:tc>
        <w:tc>
          <w:tcPr>
            <w:tcW w:w="1134" w:type="dxa"/>
            <w:tcBorders>
              <w:top w:val="single" w:sz="4" w:space="0" w:color="auto"/>
              <w:bottom w:val="single" w:sz="12" w:space="0" w:color="auto"/>
            </w:tcBorders>
            <w:vAlign w:val="center"/>
          </w:tcPr>
          <w:p w14:paraId="7933071A" w14:textId="77777777" w:rsidR="00271E37" w:rsidRPr="00F61E57" w:rsidRDefault="00271E37">
            <w:pPr>
              <w:rPr>
                <w:b/>
                <w:bCs/>
              </w:rPr>
            </w:pPr>
            <w:r>
              <w:rPr>
                <w:rFonts w:cs="Arial"/>
                <w:b/>
                <w:bCs/>
                <w:color w:val="000000"/>
                <w:szCs w:val="16"/>
              </w:rPr>
              <w:t xml:space="preserve">106,577 </w:t>
            </w:r>
          </w:p>
        </w:tc>
        <w:tc>
          <w:tcPr>
            <w:tcW w:w="1134" w:type="dxa"/>
            <w:tcBorders>
              <w:top w:val="single" w:sz="4" w:space="0" w:color="auto"/>
              <w:bottom w:val="single" w:sz="12" w:space="0" w:color="auto"/>
            </w:tcBorders>
            <w:vAlign w:val="center"/>
          </w:tcPr>
          <w:p w14:paraId="35A45DC4" w14:textId="77777777" w:rsidR="00271E37" w:rsidRPr="008B255C" w:rsidRDefault="00271E37">
            <w:r>
              <w:rPr>
                <w:rFonts w:cs="Arial"/>
                <w:b/>
                <w:bCs/>
                <w:color w:val="000000"/>
                <w:szCs w:val="16"/>
              </w:rPr>
              <w:t xml:space="preserve">208,875 </w:t>
            </w:r>
          </w:p>
        </w:tc>
        <w:tc>
          <w:tcPr>
            <w:tcW w:w="1134" w:type="dxa"/>
            <w:tcBorders>
              <w:top w:val="single" w:sz="4" w:space="0" w:color="auto"/>
              <w:bottom w:val="single" w:sz="12" w:space="0" w:color="auto"/>
            </w:tcBorders>
            <w:vAlign w:val="center"/>
          </w:tcPr>
          <w:p w14:paraId="7DAE02A3" w14:textId="77777777" w:rsidR="00271E37" w:rsidRPr="008B255C" w:rsidRDefault="00271E37">
            <w:r>
              <w:rPr>
                <w:rFonts w:cs="Arial"/>
                <w:b/>
                <w:bCs/>
                <w:color w:val="000000"/>
                <w:szCs w:val="16"/>
              </w:rPr>
              <w:t xml:space="preserve">292,827 </w:t>
            </w:r>
          </w:p>
        </w:tc>
      </w:tr>
      <w:tr w:rsidR="00271E37" w:rsidRPr="00022AA5" w14:paraId="0E19E3E8" w14:textId="77777777">
        <w:tc>
          <w:tcPr>
            <w:tcW w:w="5103" w:type="dxa"/>
            <w:tcBorders>
              <w:top w:val="single" w:sz="12" w:space="0" w:color="auto"/>
            </w:tcBorders>
          </w:tcPr>
          <w:p w14:paraId="2A5E95CA" w14:textId="77777777" w:rsidR="00271E37" w:rsidRPr="00022AA5" w:rsidRDefault="00271E37" w:rsidP="00022AA5">
            <w:pPr>
              <w:jc w:val="left"/>
              <w:rPr>
                <w:b/>
                <w:bCs/>
              </w:rPr>
            </w:pPr>
            <w:r w:rsidRPr="00022AA5">
              <w:rPr>
                <w:b/>
                <w:bCs/>
              </w:rPr>
              <w:t>Equity</w:t>
            </w:r>
          </w:p>
        </w:tc>
        <w:tc>
          <w:tcPr>
            <w:tcW w:w="567" w:type="dxa"/>
            <w:tcBorders>
              <w:top w:val="single" w:sz="12" w:space="0" w:color="auto"/>
            </w:tcBorders>
          </w:tcPr>
          <w:p w14:paraId="09A51F2F" w14:textId="77777777" w:rsidR="00271E37" w:rsidRPr="00022AA5" w:rsidRDefault="00271E37" w:rsidP="000923EA"/>
        </w:tc>
        <w:tc>
          <w:tcPr>
            <w:tcW w:w="567" w:type="dxa"/>
            <w:tcBorders>
              <w:top w:val="single" w:sz="12" w:space="0" w:color="auto"/>
            </w:tcBorders>
          </w:tcPr>
          <w:p w14:paraId="1EA9F56A" w14:textId="77777777" w:rsidR="00271E37" w:rsidRPr="00DD777C" w:rsidRDefault="00271E37" w:rsidP="000923EA">
            <w:pPr>
              <w:rPr>
                <w:b/>
                <w:bCs/>
              </w:rPr>
            </w:pPr>
          </w:p>
        </w:tc>
        <w:tc>
          <w:tcPr>
            <w:tcW w:w="1134" w:type="dxa"/>
            <w:tcBorders>
              <w:top w:val="single" w:sz="12" w:space="0" w:color="auto"/>
            </w:tcBorders>
          </w:tcPr>
          <w:p w14:paraId="7938A4D8" w14:textId="77777777" w:rsidR="00271E37" w:rsidRPr="00F61E57" w:rsidRDefault="00271E37" w:rsidP="000923EA">
            <w:pPr>
              <w:rPr>
                <w:b/>
                <w:bCs/>
              </w:rPr>
            </w:pPr>
          </w:p>
        </w:tc>
        <w:tc>
          <w:tcPr>
            <w:tcW w:w="1134" w:type="dxa"/>
            <w:tcBorders>
              <w:top w:val="single" w:sz="12" w:space="0" w:color="auto"/>
            </w:tcBorders>
          </w:tcPr>
          <w:p w14:paraId="0D18DB4C" w14:textId="77777777" w:rsidR="00271E37" w:rsidRPr="00022AA5" w:rsidRDefault="00271E37" w:rsidP="000923EA"/>
        </w:tc>
        <w:tc>
          <w:tcPr>
            <w:tcW w:w="1134" w:type="dxa"/>
            <w:tcBorders>
              <w:top w:val="single" w:sz="12" w:space="0" w:color="auto"/>
            </w:tcBorders>
          </w:tcPr>
          <w:p w14:paraId="0DA1AA96" w14:textId="77777777" w:rsidR="00271E37" w:rsidRPr="00022AA5" w:rsidRDefault="00271E37"/>
        </w:tc>
      </w:tr>
      <w:tr w:rsidR="00271E37" w:rsidRPr="00022AA5" w14:paraId="0242A423" w14:textId="77777777">
        <w:tc>
          <w:tcPr>
            <w:tcW w:w="5103" w:type="dxa"/>
          </w:tcPr>
          <w:p w14:paraId="12490397" w14:textId="77777777" w:rsidR="00271E37" w:rsidRPr="00022AA5" w:rsidRDefault="00271E37">
            <w:pPr>
              <w:jc w:val="left"/>
            </w:pPr>
            <w:r w:rsidRPr="00022AA5">
              <w:t>Share capital</w:t>
            </w:r>
          </w:p>
        </w:tc>
        <w:tc>
          <w:tcPr>
            <w:tcW w:w="567" w:type="dxa"/>
          </w:tcPr>
          <w:p w14:paraId="161B7633" w14:textId="77777777" w:rsidR="00271E37" w:rsidRPr="00022AA5" w:rsidRDefault="00271E37"/>
        </w:tc>
        <w:tc>
          <w:tcPr>
            <w:tcW w:w="567" w:type="dxa"/>
          </w:tcPr>
          <w:p w14:paraId="36923ACD" w14:textId="77777777" w:rsidR="00271E37" w:rsidRPr="00DD777C" w:rsidRDefault="00271E37">
            <w:pPr>
              <w:rPr>
                <w:b/>
                <w:bCs/>
              </w:rPr>
            </w:pPr>
            <w:r w:rsidRPr="00022AA5">
              <w:t>20</w:t>
            </w:r>
          </w:p>
        </w:tc>
        <w:tc>
          <w:tcPr>
            <w:tcW w:w="1134" w:type="dxa"/>
            <w:vAlign w:val="center"/>
          </w:tcPr>
          <w:p w14:paraId="22E68DC3" w14:textId="77777777" w:rsidR="00271E37" w:rsidRPr="00F61E57" w:rsidRDefault="00271E37">
            <w:pPr>
              <w:rPr>
                <w:b/>
                <w:bCs/>
              </w:rPr>
            </w:pPr>
            <w:r>
              <w:rPr>
                <w:rFonts w:cs="Arial"/>
                <w:b/>
                <w:bCs/>
                <w:color w:val="000000"/>
                <w:szCs w:val="16"/>
              </w:rPr>
              <w:t xml:space="preserve">4,915 </w:t>
            </w:r>
          </w:p>
        </w:tc>
        <w:tc>
          <w:tcPr>
            <w:tcW w:w="1134" w:type="dxa"/>
            <w:vAlign w:val="center"/>
          </w:tcPr>
          <w:p w14:paraId="01D929AA" w14:textId="77777777" w:rsidR="00271E37" w:rsidRPr="00022AA5" w:rsidRDefault="00271E37">
            <w:r>
              <w:rPr>
                <w:rFonts w:cs="Arial"/>
                <w:color w:val="000000"/>
                <w:szCs w:val="16"/>
              </w:rPr>
              <w:t xml:space="preserve">4,915 </w:t>
            </w:r>
          </w:p>
        </w:tc>
        <w:tc>
          <w:tcPr>
            <w:tcW w:w="1134" w:type="dxa"/>
            <w:vAlign w:val="center"/>
          </w:tcPr>
          <w:p w14:paraId="03201E9A" w14:textId="77777777" w:rsidR="00271E37" w:rsidRPr="00022AA5" w:rsidRDefault="00271E37">
            <w:r>
              <w:rPr>
                <w:rFonts w:cs="Arial"/>
                <w:color w:val="000000"/>
                <w:szCs w:val="16"/>
              </w:rPr>
              <w:t xml:space="preserve">4,914 </w:t>
            </w:r>
          </w:p>
        </w:tc>
      </w:tr>
      <w:tr w:rsidR="00271E37" w:rsidRPr="00022AA5" w14:paraId="58CE548B" w14:textId="77777777">
        <w:tc>
          <w:tcPr>
            <w:tcW w:w="5103" w:type="dxa"/>
          </w:tcPr>
          <w:p w14:paraId="519F80F1" w14:textId="77777777" w:rsidR="00271E37" w:rsidRPr="00022AA5" w:rsidRDefault="00271E37">
            <w:pPr>
              <w:jc w:val="left"/>
            </w:pPr>
            <w:r w:rsidRPr="00022AA5">
              <w:t>Share premium</w:t>
            </w:r>
          </w:p>
        </w:tc>
        <w:tc>
          <w:tcPr>
            <w:tcW w:w="567" w:type="dxa"/>
          </w:tcPr>
          <w:p w14:paraId="6F227289" w14:textId="77777777" w:rsidR="00271E37" w:rsidRPr="00022AA5" w:rsidRDefault="00271E37"/>
        </w:tc>
        <w:tc>
          <w:tcPr>
            <w:tcW w:w="567" w:type="dxa"/>
          </w:tcPr>
          <w:p w14:paraId="1790D25B" w14:textId="77777777" w:rsidR="00271E37" w:rsidRPr="00DD777C" w:rsidRDefault="00271E37">
            <w:pPr>
              <w:rPr>
                <w:b/>
                <w:bCs/>
              </w:rPr>
            </w:pPr>
          </w:p>
        </w:tc>
        <w:tc>
          <w:tcPr>
            <w:tcW w:w="1134" w:type="dxa"/>
            <w:vAlign w:val="center"/>
          </w:tcPr>
          <w:p w14:paraId="29E2A5C8" w14:textId="77777777" w:rsidR="00271E37" w:rsidRPr="00F61E57" w:rsidRDefault="00271E37">
            <w:pPr>
              <w:rPr>
                <w:b/>
                <w:bCs/>
              </w:rPr>
            </w:pPr>
            <w:r>
              <w:rPr>
                <w:rFonts w:cs="Arial"/>
                <w:b/>
                <w:bCs/>
                <w:color w:val="000000"/>
                <w:szCs w:val="16"/>
              </w:rPr>
              <w:t xml:space="preserve"> - </w:t>
            </w:r>
          </w:p>
        </w:tc>
        <w:tc>
          <w:tcPr>
            <w:tcW w:w="1134" w:type="dxa"/>
            <w:vAlign w:val="center"/>
          </w:tcPr>
          <w:p w14:paraId="76FEB063" w14:textId="77777777" w:rsidR="00271E37" w:rsidRPr="00022AA5" w:rsidRDefault="00271E37">
            <w:r>
              <w:rPr>
                <w:rFonts w:cs="Arial"/>
                <w:color w:val="000000"/>
                <w:szCs w:val="16"/>
              </w:rPr>
              <w:t xml:space="preserve">172,383 </w:t>
            </w:r>
          </w:p>
        </w:tc>
        <w:tc>
          <w:tcPr>
            <w:tcW w:w="1134" w:type="dxa"/>
            <w:vAlign w:val="center"/>
          </w:tcPr>
          <w:p w14:paraId="23C1B1CA" w14:textId="77777777" w:rsidR="00271E37" w:rsidRPr="00022AA5" w:rsidRDefault="00271E37">
            <w:r>
              <w:rPr>
                <w:rFonts w:cs="Arial"/>
                <w:color w:val="000000"/>
                <w:szCs w:val="16"/>
              </w:rPr>
              <w:t xml:space="preserve">172,383 </w:t>
            </w:r>
          </w:p>
        </w:tc>
      </w:tr>
      <w:tr w:rsidR="00271E37" w:rsidRPr="00022AA5" w14:paraId="730EE89E" w14:textId="77777777">
        <w:tc>
          <w:tcPr>
            <w:tcW w:w="5103" w:type="dxa"/>
          </w:tcPr>
          <w:p w14:paraId="7E8E413E" w14:textId="77777777" w:rsidR="00271E37" w:rsidRPr="00022AA5" w:rsidRDefault="00271E37">
            <w:pPr>
              <w:jc w:val="left"/>
            </w:pPr>
            <w:r w:rsidRPr="00022AA5">
              <w:t>Capital redemption reserve</w:t>
            </w:r>
          </w:p>
        </w:tc>
        <w:tc>
          <w:tcPr>
            <w:tcW w:w="567" w:type="dxa"/>
          </w:tcPr>
          <w:p w14:paraId="3269E52E" w14:textId="77777777" w:rsidR="00271E37" w:rsidRPr="00022AA5" w:rsidRDefault="00271E37"/>
        </w:tc>
        <w:tc>
          <w:tcPr>
            <w:tcW w:w="567" w:type="dxa"/>
          </w:tcPr>
          <w:p w14:paraId="2389E0B7" w14:textId="77777777" w:rsidR="00271E37" w:rsidRPr="00DD777C" w:rsidRDefault="00271E37">
            <w:pPr>
              <w:rPr>
                <w:b/>
                <w:bCs/>
              </w:rPr>
            </w:pPr>
          </w:p>
        </w:tc>
        <w:tc>
          <w:tcPr>
            <w:tcW w:w="1134" w:type="dxa"/>
            <w:vAlign w:val="center"/>
          </w:tcPr>
          <w:p w14:paraId="7B7E9F7F" w14:textId="77777777" w:rsidR="00271E37" w:rsidRPr="00F61E57" w:rsidRDefault="00271E37">
            <w:pPr>
              <w:rPr>
                <w:b/>
                <w:bCs/>
              </w:rPr>
            </w:pPr>
            <w:r>
              <w:rPr>
                <w:rFonts w:cs="Arial"/>
                <w:b/>
                <w:bCs/>
                <w:color w:val="000000"/>
                <w:szCs w:val="16"/>
              </w:rPr>
              <w:t>-</w:t>
            </w:r>
            <w:r>
              <w:rPr>
                <w:rFonts w:cs="Arial"/>
                <w:color w:val="0070C0"/>
                <w:szCs w:val="16"/>
              </w:rPr>
              <w:t xml:space="preserve"> </w:t>
            </w:r>
          </w:p>
        </w:tc>
        <w:tc>
          <w:tcPr>
            <w:tcW w:w="1134" w:type="dxa"/>
            <w:vAlign w:val="center"/>
          </w:tcPr>
          <w:p w14:paraId="43B9D53B" w14:textId="77777777" w:rsidR="00271E37" w:rsidRPr="00022AA5" w:rsidRDefault="00271E37">
            <w:r>
              <w:rPr>
                <w:rFonts w:cs="Arial"/>
                <w:color w:val="000000"/>
                <w:szCs w:val="16"/>
              </w:rPr>
              <w:t xml:space="preserve">1,340 </w:t>
            </w:r>
          </w:p>
        </w:tc>
        <w:tc>
          <w:tcPr>
            <w:tcW w:w="1134" w:type="dxa"/>
            <w:vAlign w:val="center"/>
          </w:tcPr>
          <w:p w14:paraId="4B360948" w14:textId="77777777" w:rsidR="00271E37" w:rsidRPr="00022AA5" w:rsidRDefault="00271E37">
            <w:r>
              <w:rPr>
                <w:rFonts w:cs="Arial"/>
                <w:color w:val="000000"/>
                <w:szCs w:val="16"/>
              </w:rPr>
              <w:t xml:space="preserve">1,340 </w:t>
            </w:r>
          </w:p>
        </w:tc>
      </w:tr>
      <w:tr w:rsidR="00271E37" w:rsidRPr="00022AA5" w14:paraId="0BA7DD9E" w14:textId="77777777">
        <w:tc>
          <w:tcPr>
            <w:tcW w:w="5103" w:type="dxa"/>
          </w:tcPr>
          <w:p w14:paraId="1DFEF0F5" w14:textId="77777777" w:rsidR="00271E37" w:rsidRPr="00022AA5" w:rsidRDefault="00271E37">
            <w:pPr>
              <w:jc w:val="left"/>
            </w:pPr>
            <w:r w:rsidRPr="00022AA5">
              <w:t>Merger reserve</w:t>
            </w:r>
          </w:p>
        </w:tc>
        <w:tc>
          <w:tcPr>
            <w:tcW w:w="567" w:type="dxa"/>
          </w:tcPr>
          <w:p w14:paraId="586EAEB6" w14:textId="77777777" w:rsidR="00271E37" w:rsidRPr="00022AA5" w:rsidRDefault="00271E37"/>
        </w:tc>
        <w:tc>
          <w:tcPr>
            <w:tcW w:w="567" w:type="dxa"/>
          </w:tcPr>
          <w:p w14:paraId="29314F70" w14:textId="77777777" w:rsidR="00271E37" w:rsidRPr="00DD777C" w:rsidRDefault="00271E37">
            <w:pPr>
              <w:rPr>
                <w:b/>
                <w:bCs/>
              </w:rPr>
            </w:pPr>
          </w:p>
        </w:tc>
        <w:tc>
          <w:tcPr>
            <w:tcW w:w="1134" w:type="dxa"/>
            <w:vAlign w:val="center"/>
          </w:tcPr>
          <w:p w14:paraId="63C154ED" w14:textId="77777777" w:rsidR="00271E37" w:rsidRPr="00F61E57" w:rsidRDefault="00271E37">
            <w:pPr>
              <w:rPr>
                <w:b/>
                <w:bCs/>
              </w:rPr>
            </w:pPr>
            <w:r>
              <w:rPr>
                <w:rFonts w:cs="Arial"/>
                <w:b/>
                <w:bCs/>
                <w:color w:val="000000"/>
                <w:szCs w:val="16"/>
              </w:rPr>
              <w:t xml:space="preserve"> - </w:t>
            </w:r>
          </w:p>
        </w:tc>
        <w:tc>
          <w:tcPr>
            <w:tcW w:w="1134" w:type="dxa"/>
            <w:vAlign w:val="center"/>
          </w:tcPr>
          <w:p w14:paraId="0AE3EEC1" w14:textId="77777777" w:rsidR="00271E37" w:rsidRPr="00022AA5" w:rsidRDefault="00271E37">
            <w:r>
              <w:rPr>
                <w:rFonts w:cs="Arial"/>
                <w:color w:val="000000"/>
                <w:szCs w:val="16"/>
              </w:rPr>
              <w:t xml:space="preserve">32,399 </w:t>
            </w:r>
          </w:p>
        </w:tc>
        <w:tc>
          <w:tcPr>
            <w:tcW w:w="1134" w:type="dxa"/>
            <w:vAlign w:val="center"/>
          </w:tcPr>
          <w:p w14:paraId="654B0FBE" w14:textId="77777777" w:rsidR="00271E37" w:rsidRPr="00022AA5" w:rsidRDefault="00271E37">
            <w:r>
              <w:rPr>
                <w:rFonts w:cs="Arial"/>
                <w:color w:val="000000"/>
                <w:szCs w:val="16"/>
              </w:rPr>
              <w:t xml:space="preserve">32,399 </w:t>
            </w:r>
          </w:p>
        </w:tc>
      </w:tr>
      <w:tr w:rsidR="00271E37" w:rsidRPr="00022AA5" w14:paraId="5AABBC28" w14:textId="77777777">
        <w:tc>
          <w:tcPr>
            <w:tcW w:w="5103" w:type="dxa"/>
          </w:tcPr>
          <w:p w14:paraId="41EDB7F6" w14:textId="77777777" w:rsidR="00271E37" w:rsidRPr="00022AA5" w:rsidRDefault="00271E37">
            <w:pPr>
              <w:jc w:val="left"/>
            </w:pPr>
            <w:r w:rsidRPr="00022AA5">
              <w:t>Hedging reserve</w:t>
            </w:r>
          </w:p>
        </w:tc>
        <w:tc>
          <w:tcPr>
            <w:tcW w:w="567" w:type="dxa"/>
          </w:tcPr>
          <w:p w14:paraId="57B72FBC" w14:textId="77777777" w:rsidR="00271E37" w:rsidRPr="00022AA5" w:rsidRDefault="00271E37"/>
        </w:tc>
        <w:tc>
          <w:tcPr>
            <w:tcW w:w="567" w:type="dxa"/>
          </w:tcPr>
          <w:p w14:paraId="29AF1132" w14:textId="77777777" w:rsidR="00271E37" w:rsidRPr="00DD777C" w:rsidRDefault="00271E37">
            <w:pPr>
              <w:rPr>
                <w:b/>
                <w:bCs/>
              </w:rPr>
            </w:pPr>
          </w:p>
        </w:tc>
        <w:tc>
          <w:tcPr>
            <w:tcW w:w="1134" w:type="dxa"/>
            <w:vAlign w:val="center"/>
          </w:tcPr>
          <w:p w14:paraId="3C337319" w14:textId="77777777" w:rsidR="00271E37" w:rsidRPr="00F61E57" w:rsidRDefault="00271E37">
            <w:pPr>
              <w:rPr>
                <w:b/>
                <w:bCs/>
              </w:rPr>
            </w:pPr>
            <w:r>
              <w:rPr>
                <w:rFonts w:cs="Arial"/>
                <w:b/>
                <w:bCs/>
                <w:color w:val="000000"/>
                <w:szCs w:val="16"/>
              </w:rPr>
              <w:t xml:space="preserve">168 </w:t>
            </w:r>
          </w:p>
        </w:tc>
        <w:tc>
          <w:tcPr>
            <w:tcW w:w="1134" w:type="dxa"/>
            <w:vAlign w:val="center"/>
          </w:tcPr>
          <w:p w14:paraId="1CD347F2" w14:textId="77777777" w:rsidR="00271E37" w:rsidRPr="00022AA5" w:rsidRDefault="00271E37">
            <w:r>
              <w:rPr>
                <w:rFonts w:cs="Arial"/>
                <w:color w:val="000000"/>
                <w:szCs w:val="16"/>
              </w:rPr>
              <w:t>(412)</w:t>
            </w:r>
          </w:p>
        </w:tc>
        <w:tc>
          <w:tcPr>
            <w:tcW w:w="1134" w:type="dxa"/>
            <w:vAlign w:val="center"/>
          </w:tcPr>
          <w:p w14:paraId="707BDBCA" w14:textId="77777777" w:rsidR="00271E37" w:rsidRPr="00022AA5" w:rsidRDefault="00271E37">
            <w:r>
              <w:rPr>
                <w:rFonts w:cs="Arial"/>
                <w:color w:val="000000"/>
                <w:szCs w:val="16"/>
              </w:rPr>
              <w:t xml:space="preserve">35 </w:t>
            </w:r>
          </w:p>
        </w:tc>
      </w:tr>
      <w:tr w:rsidR="00271E37" w:rsidRPr="00022AA5" w14:paraId="0A0DC324" w14:textId="77777777">
        <w:tc>
          <w:tcPr>
            <w:tcW w:w="5103" w:type="dxa"/>
          </w:tcPr>
          <w:p w14:paraId="095E3A67" w14:textId="77777777" w:rsidR="00271E37" w:rsidRPr="00022AA5" w:rsidRDefault="00271E37">
            <w:pPr>
              <w:jc w:val="left"/>
            </w:pPr>
            <w:r w:rsidRPr="00022AA5">
              <w:t>Translation reserve</w:t>
            </w:r>
          </w:p>
        </w:tc>
        <w:tc>
          <w:tcPr>
            <w:tcW w:w="567" w:type="dxa"/>
          </w:tcPr>
          <w:p w14:paraId="7EF33C29" w14:textId="77777777" w:rsidR="00271E37" w:rsidRPr="00022AA5" w:rsidRDefault="00271E37"/>
        </w:tc>
        <w:tc>
          <w:tcPr>
            <w:tcW w:w="567" w:type="dxa"/>
          </w:tcPr>
          <w:p w14:paraId="5457DA51" w14:textId="77777777" w:rsidR="00271E37" w:rsidRPr="00DD777C" w:rsidRDefault="00271E37">
            <w:pPr>
              <w:rPr>
                <w:b/>
                <w:bCs/>
              </w:rPr>
            </w:pPr>
          </w:p>
        </w:tc>
        <w:tc>
          <w:tcPr>
            <w:tcW w:w="1134" w:type="dxa"/>
            <w:vAlign w:val="center"/>
          </w:tcPr>
          <w:p w14:paraId="495F4525" w14:textId="77777777" w:rsidR="00271E37" w:rsidRPr="00F61E57" w:rsidRDefault="00271E37">
            <w:pPr>
              <w:rPr>
                <w:b/>
                <w:bCs/>
              </w:rPr>
            </w:pPr>
            <w:r>
              <w:rPr>
                <w:b/>
                <w:bCs/>
              </w:rPr>
              <w:t>6,543</w:t>
            </w:r>
          </w:p>
        </w:tc>
        <w:tc>
          <w:tcPr>
            <w:tcW w:w="1134" w:type="dxa"/>
            <w:vAlign w:val="center"/>
          </w:tcPr>
          <w:p w14:paraId="66EC6F9C" w14:textId="77777777" w:rsidR="00271E37" w:rsidRPr="00022AA5" w:rsidRDefault="00271E37">
            <w:r>
              <w:rPr>
                <w:rFonts w:cs="Arial"/>
                <w:color w:val="000000"/>
                <w:szCs w:val="16"/>
              </w:rPr>
              <w:t>(2,088)</w:t>
            </w:r>
          </w:p>
        </w:tc>
        <w:tc>
          <w:tcPr>
            <w:tcW w:w="1134" w:type="dxa"/>
            <w:vAlign w:val="center"/>
          </w:tcPr>
          <w:p w14:paraId="1782A557" w14:textId="77777777" w:rsidR="00271E37" w:rsidRPr="00022AA5" w:rsidRDefault="00271E37">
            <w:r>
              <w:rPr>
                <w:rFonts w:cs="Arial"/>
                <w:color w:val="000000"/>
                <w:szCs w:val="16"/>
              </w:rPr>
              <w:t xml:space="preserve">3,054 </w:t>
            </w:r>
          </w:p>
        </w:tc>
      </w:tr>
      <w:tr w:rsidR="00271E37" w:rsidRPr="00022AA5" w14:paraId="317CBF86" w14:textId="77777777">
        <w:tc>
          <w:tcPr>
            <w:tcW w:w="5103" w:type="dxa"/>
            <w:tcBorders>
              <w:bottom w:val="single" w:sz="4" w:space="0" w:color="000000" w:themeColor="text1"/>
            </w:tcBorders>
          </w:tcPr>
          <w:p w14:paraId="4D03E8F6" w14:textId="77777777" w:rsidR="00271E37" w:rsidRPr="00022AA5" w:rsidRDefault="00271E37">
            <w:pPr>
              <w:jc w:val="left"/>
            </w:pPr>
            <w:r>
              <w:t>R</w:t>
            </w:r>
            <w:r w:rsidRPr="00022AA5">
              <w:t>etained earnings</w:t>
            </w:r>
          </w:p>
        </w:tc>
        <w:tc>
          <w:tcPr>
            <w:tcW w:w="567" w:type="dxa"/>
            <w:tcBorders>
              <w:bottom w:val="single" w:sz="4" w:space="0" w:color="000000" w:themeColor="text1"/>
            </w:tcBorders>
          </w:tcPr>
          <w:p w14:paraId="2A0CF7A4" w14:textId="77777777" w:rsidR="00271E37" w:rsidRPr="00022AA5" w:rsidRDefault="00271E37"/>
        </w:tc>
        <w:tc>
          <w:tcPr>
            <w:tcW w:w="567" w:type="dxa"/>
            <w:tcBorders>
              <w:bottom w:val="single" w:sz="4" w:space="0" w:color="000000" w:themeColor="text1"/>
            </w:tcBorders>
          </w:tcPr>
          <w:p w14:paraId="4E8512FD" w14:textId="77777777" w:rsidR="00271E37" w:rsidRPr="00DD777C" w:rsidRDefault="00271E37">
            <w:pPr>
              <w:rPr>
                <w:b/>
                <w:bCs/>
              </w:rPr>
            </w:pPr>
          </w:p>
        </w:tc>
        <w:tc>
          <w:tcPr>
            <w:tcW w:w="1134" w:type="dxa"/>
            <w:tcBorders>
              <w:bottom w:val="single" w:sz="4" w:space="0" w:color="000000" w:themeColor="text1"/>
            </w:tcBorders>
            <w:vAlign w:val="center"/>
          </w:tcPr>
          <w:p w14:paraId="62364787" w14:textId="77777777" w:rsidR="00271E37" w:rsidRPr="00F61E57" w:rsidRDefault="00271E37">
            <w:pPr>
              <w:rPr>
                <w:b/>
                <w:bCs/>
              </w:rPr>
            </w:pPr>
            <w:r w:rsidRPr="00D912D5">
              <w:rPr>
                <w:rFonts w:cs="Arial"/>
                <w:b/>
                <w:bCs/>
                <w:szCs w:val="16"/>
              </w:rPr>
              <w:t>88,875</w:t>
            </w:r>
          </w:p>
        </w:tc>
        <w:tc>
          <w:tcPr>
            <w:tcW w:w="1134" w:type="dxa"/>
            <w:tcBorders>
              <w:bottom w:val="single" w:sz="4" w:space="0" w:color="auto"/>
            </w:tcBorders>
            <w:vAlign w:val="center"/>
          </w:tcPr>
          <w:p w14:paraId="5762FB28" w14:textId="77777777" w:rsidR="00271E37" w:rsidRPr="00022AA5" w:rsidRDefault="00271E37">
            <w:r>
              <w:rPr>
                <w:rFonts w:cs="Arial"/>
                <w:color w:val="000000"/>
                <w:szCs w:val="16"/>
              </w:rPr>
              <w:t>(5,293)</w:t>
            </w:r>
          </w:p>
        </w:tc>
        <w:tc>
          <w:tcPr>
            <w:tcW w:w="1134" w:type="dxa"/>
            <w:tcBorders>
              <w:bottom w:val="single" w:sz="4" w:space="0" w:color="auto"/>
            </w:tcBorders>
            <w:vAlign w:val="center"/>
          </w:tcPr>
          <w:p w14:paraId="0B4A03B4" w14:textId="77777777" w:rsidR="00271E37" w:rsidRPr="00022AA5" w:rsidRDefault="00271E37">
            <w:r>
              <w:rPr>
                <w:rFonts w:cs="Arial"/>
                <w:color w:val="000000"/>
                <w:szCs w:val="16"/>
              </w:rPr>
              <w:t xml:space="preserve">72,466 </w:t>
            </w:r>
          </w:p>
        </w:tc>
      </w:tr>
      <w:tr w:rsidR="00271E37" w:rsidRPr="00022AA5" w14:paraId="65109313" w14:textId="77777777">
        <w:tc>
          <w:tcPr>
            <w:tcW w:w="5103" w:type="dxa"/>
            <w:tcBorders>
              <w:top w:val="single" w:sz="4" w:space="0" w:color="000000" w:themeColor="text1"/>
            </w:tcBorders>
          </w:tcPr>
          <w:p w14:paraId="19CC34D3" w14:textId="77777777" w:rsidR="00271E37" w:rsidRPr="00022AA5" w:rsidRDefault="00271E37">
            <w:pPr>
              <w:jc w:val="left"/>
              <w:rPr>
                <w:b/>
                <w:bCs/>
              </w:rPr>
            </w:pPr>
            <w:r w:rsidRPr="00022AA5">
              <w:rPr>
                <w:b/>
                <w:bCs/>
              </w:rPr>
              <w:t>Equity attributable to owners of the Parent Company</w:t>
            </w:r>
          </w:p>
        </w:tc>
        <w:tc>
          <w:tcPr>
            <w:tcW w:w="567" w:type="dxa"/>
            <w:tcBorders>
              <w:top w:val="single" w:sz="4" w:space="0" w:color="000000" w:themeColor="text1"/>
            </w:tcBorders>
          </w:tcPr>
          <w:p w14:paraId="4A133E85" w14:textId="77777777" w:rsidR="00271E37" w:rsidRPr="00022AA5" w:rsidRDefault="00271E37"/>
        </w:tc>
        <w:tc>
          <w:tcPr>
            <w:tcW w:w="567" w:type="dxa"/>
            <w:tcBorders>
              <w:top w:val="single" w:sz="4" w:space="0" w:color="000000" w:themeColor="text1"/>
            </w:tcBorders>
          </w:tcPr>
          <w:p w14:paraId="5F52532D" w14:textId="77777777" w:rsidR="00271E37" w:rsidRPr="00DD777C" w:rsidRDefault="00271E37">
            <w:pPr>
              <w:rPr>
                <w:b/>
                <w:bCs/>
              </w:rPr>
            </w:pPr>
          </w:p>
        </w:tc>
        <w:tc>
          <w:tcPr>
            <w:tcW w:w="1134" w:type="dxa"/>
            <w:tcBorders>
              <w:top w:val="single" w:sz="4" w:space="0" w:color="000000" w:themeColor="text1"/>
            </w:tcBorders>
            <w:vAlign w:val="center"/>
          </w:tcPr>
          <w:p w14:paraId="744DBD89" w14:textId="77777777" w:rsidR="00271E37" w:rsidRPr="00F61E57" w:rsidRDefault="00271E37">
            <w:pPr>
              <w:rPr>
                <w:b/>
                <w:bCs/>
              </w:rPr>
            </w:pPr>
            <w:r w:rsidRPr="00076976">
              <w:rPr>
                <w:rFonts w:cs="Arial"/>
                <w:b/>
                <w:bCs/>
                <w:color w:val="000000"/>
                <w:szCs w:val="16"/>
              </w:rPr>
              <w:t>100,501</w:t>
            </w:r>
          </w:p>
        </w:tc>
        <w:tc>
          <w:tcPr>
            <w:tcW w:w="1134" w:type="dxa"/>
            <w:tcBorders>
              <w:top w:val="single" w:sz="4" w:space="0" w:color="auto"/>
              <w:bottom w:val="nil"/>
            </w:tcBorders>
            <w:vAlign w:val="center"/>
          </w:tcPr>
          <w:p w14:paraId="656D28F4" w14:textId="77777777" w:rsidR="00271E37" w:rsidRPr="00022AA5" w:rsidRDefault="00271E37">
            <w:r>
              <w:rPr>
                <w:rFonts w:cs="Arial"/>
                <w:b/>
                <w:bCs/>
                <w:color w:val="000000"/>
                <w:szCs w:val="16"/>
              </w:rPr>
              <w:t xml:space="preserve">203,244 </w:t>
            </w:r>
          </w:p>
        </w:tc>
        <w:tc>
          <w:tcPr>
            <w:tcW w:w="1134" w:type="dxa"/>
            <w:tcBorders>
              <w:top w:val="single" w:sz="4" w:space="0" w:color="auto"/>
              <w:bottom w:val="nil"/>
            </w:tcBorders>
            <w:vAlign w:val="center"/>
          </w:tcPr>
          <w:p w14:paraId="27C8FFF8" w14:textId="77777777" w:rsidR="00271E37" w:rsidRPr="00022AA5" w:rsidRDefault="00271E37">
            <w:r>
              <w:rPr>
                <w:rFonts w:cs="Arial"/>
                <w:b/>
                <w:bCs/>
                <w:color w:val="000000"/>
                <w:szCs w:val="16"/>
              </w:rPr>
              <w:t xml:space="preserve">286,591 </w:t>
            </w:r>
          </w:p>
        </w:tc>
      </w:tr>
      <w:tr w:rsidR="00271E37" w:rsidRPr="00022AA5" w14:paraId="53179F63" w14:textId="77777777">
        <w:tc>
          <w:tcPr>
            <w:tcW w:w="5103" w:type="dxa"/>
            <w:tcBorders>
              <w:bottom w:val="single" w:sz="4" w:space="0" w:color="000000" w:themeColor="text1"/>
            </w:tcBorders>
          </w:tcPr>
          <w:p w14:paraId="47E732C4" w14:textId="77777777" w:rsidR="00271E37" w:rsidRPr="00022AA5" w:rsidRDefault="00271E37">
            <w:pPr>
              <w:jc w:val="left"/>
            </w:pPr>
            <w:r w:rsidRPr="00022AA5">
              <w:t>Non-controlling interests</w:t>
            </w:r>
          </w:p>
        </w:tc>
        <w:tc>
          <w:tcPr>
            <w:tcW w:w="567" w:type="dxa"/>
            <w:tcBorders>
              <w:bottom w:val="single" w:sz="4" w:space="0" w:color="000000" w:themeColor="text1"/>
            </w:tcBorders>
          </w:tcPr>
          <w:p w14:paraId="0B937481" w14:textId="77777777" w:rsidR="00271E37" w:rsidRPr="00022AA5" w:rsidRDefault="00271E37"/>
        </w:tc>
        <w:tc>
          <w:tcPr>
            <w:tcW w:w="567" w:type="dxa"/>
            <w:tcBorders>
              <w:bottom w:val="single" w:sz="4" w:space="0" w:color="000000" w:themeColor="text1"/>
            </w:tcBorders>
          </w:tcPr>
          <w:p w14:paraId="32E93089" w14:textId="77777777" w:rsidR="00271E37" w:rsidRPr="00DD777C" w:rsidRDefault="00271E37">
            <w:pPr>
              <w:rPr>
                <w:b/>
                <w:bCs/>
              </w:rPr>
            </w:pPr>
          </w:p>
        </w:tc>
        <w:tc>
          <w:tcPr>
            <w:tcW w:w="1134" w:type="dxa"/>
            <w:tcBorders>
              <w:bottom w:val="single" w:sz="4" w:space="0" w:color="000000" w:themeColor="text1"/>
            </w:tcBorders>
            <w:vAlign w:val="center"/>
          </w:tcPr>
          <w:p w14:paraId="36F7D009" w14:textId="77777777" w:rsidR="00271E37" w:rsidRPr="00F61E57" w:rsidRDefault="00271E37">
            <w:pPr>
              <w:rPr>
                <w:b/>
                <w:bCs/>
              </w:rPr>
            </w:pPr>
            <w:r>
              <w:rPr>
                <w:rFonts w:cs="Arial"/>
                <w:b/>
                <w:bCs/>
                <w:color w:val="000000"/>
                <w:szCs w:val="16"/>
              </w:rPr>
              <w:t xml:space="preserve">6,076 </w:t>
            </w:r>
          </w:p>
        </w:tc>
        <w:tc>
          <w:tcPr>
            <w:tcW w:w="1134" w:type="dxa"/>
            <w:tcBorders>
              <w:top w:val="nil"/>
              <w:bottom w:val="single" w:sz="4" w:space="0" w:color="auto"/>
            </w:tcBorders>
            <w:vAlign w:val="center"/>
          </w:tcPr>
          <w:p w14:paraId="5BF4C20F" w14:textId="77777777" w:rsidR="00271E37" w:rsidRPr="00022AA5" w:rsidRDefault="00271E37">
            <w:r>
              <w:rPr>
                <w:rFonts w:cs="Arial"/>
                <w:color w:val="000000"/>
                <w:szCs w:val="16"/>
              </w:rPr>
              <w:t xml:space="preserve">5,631 </w:t>
            </w:r>
          </w:p>
        </w:tc>
        <w:tc>
          <w:tcPr>
            <w:tcW w:w="1134" w:type="dxa"/>
            <w:tcBorders>
              <w:top w:val="nil"/>
              <w:bottom w:val="single" w:sz="4" w:space="0" w:color="auto"/>
            </w:tcBorders>
            <w:vAlign w:val="center"/>
          </w:tcPr>
          <w:p w14:paraId="57C59CA7" w14:textId="77777777" w:rsidR="00271E37" w:rsidRPr="00022AA5" w:rsidRDefault="00271E37">
            <w:r>
              <w:rPr>
                <w:rFonts w:cs="Arial"/>
                <w:color w:val="000000"/>
                <w:szCs w:val="16"/>
              </w:rPr>
              <w:t xml:space="preserve">6,236 </w:t>
            </w:r>
          </w:p>
        </w:tc>
      </w:tr>
      <w:tr w:rsidR="00271E37" w:rsidRPr="00022AA5" w14:paraId="691E62DB" w14:textId="77777777">
        <w:tc>
          <w:tcPr>
            <w:tcW w:w="5103" w:type="dxa"/>
            <w:tcBorders>
              <w:top w:val="single" w:sz="4" w:space="0" w:color="000000" w:themeColor="text1"/>
              <w:bottom w:val="single" w:sz="12" w:space="0" w:color="auto"/>
            </w:tcBorders>
          </w:tcPr>
          <w:p w14:paraId="4C4A884F" w14:textId="77777777" w:rsidR="00271E37" w:rsidRPr="00022AA5" w:rsidRDefault="00271E37">
            <w:pPr>
              <w:jc w:val="left"/>
              <w:rPr>
                <w:b/>
                <w:bCs/>
              </w:rPr>
            </w:pPr>
            <w:r w:rsidRPr="00022AA5">
              <w:rPr>
                <w:b/>
                <w:bCs/>
              </w:rPr>
              <w:t>Total equity</w:t>
            </w:r>
          </w:p>
        </w:tc>
        <w:tc>
          <w:tcPr>
            <w:tcW w:w="567" w:type="dxa"/>
            <w:tcBorders>
              <w:top w:val="single" w:sz="4" w:space="0" w:color="000000" w:themeColor="text1"/>
              <w:bottom w:val="single" w:sz="12" w:space="0" w:color="auto"/>
            </w:tcBorders>
          </w:tcPr>
          <w:p w14:paraId="625C1564" w14:textId="77777777" w:rsidR="00271E37" w:rsidRPr="00022AA5" w:rsidRDefault="00271E37"/>
        </w:tc>
        <w:tc>
          <w:tcPr>
            <w:tcW w:w="567" w:type="dxa"/>
            <w:tcBorders>
              <w:top w:val="single" w:sz="4" w:space="0" w:color="000000" w:themeColor="text1"/>
              <w:bottom w:val="single" w:sz="12" w:space="0" w:color="auto"/>
            </w:tcBorders>
          </w:tcPr>
          <w:p w14:paraId="01AD7D3E" w14:textId="77777777" w:rsidR="00271E37" w:rsidRPr="00DD777C" w:rsidRDefault="00271E37">
            <w:pPr>
              <w:rPr>
                <w:b/>
                <w:bCs/>
              </w:rPr>
            </w:pPr>
          </w:p>
        </w:tc>
        <w:tc>
          <w:tcPr>
            <w:tcW w:w="1134" w:type="dxa"/>
            <w:tcBorders>
              <w:top w:val="single" w:sz="4" w:space="0" w:color="000000" w:themeColor="text1"/>
              <w:bottom w:val="single" w:sz="12" w:space="0" w:color="auto"/>
            </w:tcBorders>
            <w:vAlign w:val="center"/>
          </w:tcPr>
          <w:p w14:paraId="77AA53D1" w14:textId="77777777" w:rsidR="00271E37" w:rsidRPr="00F61E57" w:rsidRDefault="00271E37">
            <w:pPr>
              <w:rPr>
                <w:b/>
                <w:bCs/>
              </w:rPr>
            </w:pPr>
            <w:r w:rsidRPr="00BB1AFA">
              <w:rPr>
                <w:rFonts w:cs="Arial"/>
                <w:b/>
                <w:bCs/>
                <w:color w:val="000000"/>
                <w:szCs w:val="16"/>
              </w:rPr>
              <w:t>106,577</w:t>
            </w:r>
          </w:p>
        </w:tc>
        <w:tc>
          <w:tcPr>
            <w:tcW w:w="1134" w:type="dxa"/>
            <w:tcBorders>
              <w:top w:val="single" w:sz="4" w:space="0" w:color="auto"/>
              <w:bottom w:val="single" w:sz="12" w:space="0" w:color="auto"/>
            </w:tcBorders>
            <w:vAlign w:val="center"/>
          </w:tcPr>
          <w:p w14:paraId="5C5E5DC8" w14:textId="77777777" w:rsidR="00271E37" w:rsidRPr="00022AA5" w:rsidRDefault="00271E37">
            <w:r>
              <w:rPr>
                <w:rFonts w:cs="Arial"/>
                <w:b/>
                <w:bCs/>
                <w:color w:val="000000"/>
                <w:szCs w:val="16"/>
              </w:rPr>
              <w:t xml:space="preserve">208,875 </w:t>
            </w:r>
          </w:p>
        </w:tc>
        <w:tc>
          <w:tcPr>
            <w:tcW w:w="1134" w:type="dxa"/>
            <w:tcBorders>
              <w:top w:val="single" w:sz="4" w:space="0" w:color="auto"/>
              <w:bottom w:val="single" w:sz="12" w:space="0" w:color="auto"/>
            </w:tcBorders>
            <w:vAlign w:val="center"/>
          </w:tcPr>
          <w:p w14:paraId="2B409EF2" w14:textId="77777777" w:rsidR="00271E37" w:rsidRPr="00022AA5" w:rsidRDefault="00271E37">
            <w:r>
              <w:rPr>
                <w:rFonts w:cs="Arial"/>
                <w:b/>
                <w:bCs/>
                <w:color w:val="000000"/>
                <w:szCs w:val="16"/>
              </w:rPr>
              <w:t xml:space="preserve">292,827 </w:t>
            </w:r>
          </w:p>
        </w:tc>
      </w:tr>
    </w:tbl>
    <w:p w14:paraId="4DC36D8F" w14:textId="77777777" w:rsidR="00271E37" w:rsidRDefault="00271E37" w:rsidP="002E39D4"/>
    <w:p w14:paraId="5D4EE668" w14:textId="77777777" w:rsidR="00271E37" w:rsidRDefault="00271E37" w:rsidP="002E39D4"/>
    <w:p w14:paraId="36EA0D5B" w14:textId="472FC344" w:rsidR="00271E37" w:rsidRDefault="00271E37" w:rsidP="002E39D4">
      <w:r>
        <w:t>The consolidated financial statements were approved by the Board of Directors on 15 June 2026 and were signed on its behalf by:</w:t>
      </w:r>
    </w:p>
    <w:p w14:paraId="076F5C06" w14:textId="77777777" w:rsidR="00B05020" w:rsidRDefault="00B05020" w:rsidP="002E39D4">
      <w:pPr>
        <w:rPr>
          <w:b/>
          <w:bCs/>
        </w:rPr>
      </w:pPr>
    </w:p>
    <w:p w14:paraId="23BDA000" w14:textId="5FEBD6BC" w:rsidR="00B05020" w:rsidRDefault="00B05020" w:rsidP="002E39D4">
      <w:pPr>
        <w:rPr>
          <w:b/>
          <w:bCs/>
        </w:rPr>
      </w:pPr>
    </w:p>
    <w:p w14:paraId="7E2EEEC0" w14:textId="77777777" w:rsidR="00271E37" w:rsidRPr="00022AA5" w:rsidRDefault="00271E37" w:rsidP="002E39D4">
      <w:pPr>
        <w:rPr>
          <w:b/>
          <w:bCs/>
        </w:rPr>
      </w:pPr>
      <w:r w:rsidRPr="00022AA5">
        <w:rPr>
          <w:b/>
          <w:bCs/>
        </w:rPr>
        <w:t xml:space="preserve">Rohan Cummings </w:t>
      </w:r>
    </w:p>
    <w:p w14:paraId="698A3249" w14:textId="77777777" w:rsidR="00271E37" w:rsidRDefault="00271E37">
      <w:r>
        <w:t>Director</w:t>
      </w:r>
      <w:r>
        <w:br w:type="page"/>
      </w:r>
    </w:p>
    <w:p w14:paraId="75B80224" w14:textId="77777777" w:rsidR="00271E37" w:rsidRPr="00022AA5" w:rsidRDefault="00271E37">
      <w:pPr>
        <w:pStyle w:val="Heading1"/>
      </w:pPr>
      <w:r w:rsidRPr="00022AA5">
        <w:lastRenderedPageBreak/>
        <w:t xml:space="preserve">Consolidated cash flow statement </w:t>
      </w:r>
    </w:p>
    <w:p w14:paraId="2F37274D" w14:textId="117A29F6" w:rsidR="00271E37" w:rsidRPr="00022AA5" w:rsidRDefault="00271E37" w:rsidP="00022AA5">
      <w:pPr>
        <w:rPr>
          <w:b/>
          <w:bCs/>
        </w:rPr>
      </w:pPr>
      <w:r w:rsidRPr="00022AA5">
        <w:rPr>
          <w:b/>
          <w:bCs/>
        </w:rPr>
        <w:t xml:space="preserve">Year </w:t>
      </w:r>
      <w:r w:rsidRPr="00914418">
        <w:rPr>
          <w:b/>
          <w:bCs/>
        </w:rPr>
        <w:t>ended 31 March</w:t>
      </w:r>
      <w:r w:rsidR="00793496" w:rsidRPr="00914418">
        <w:rPr>
          <w:b/>
          <w:bCs/>
        </w:rPr>
        <w:t xml:space="preserve"> 2026</w:t>
      </w:r>
    </w:p>
    <w:p w14:paraId="71EB7123" w14:textId="77777777" w:rsidR="00271E37" w:rsidRDefault="00271E37" w:rsidP="002E39D4"/>
    <w:tbl>
      <w:tblPr>
        <w:tblStyle w:val="tableDUL"/>
        <w:tblW w:w="9639" w:type="dxa"/>
        <w:tblLayout w:type="fixed"/>
        <w:tblLook w:val="04A0" w:firstRow="1" w:lastRow="0" w:firstColumn="1" w:lastColumn="0" w:noHBand="0" w:noVBand="1"/>
      </w:tblPr>
      <w:tblGrid>
        <w:gridCol w:w="6237"/>
        <w:gridCol w:w="1134"/>
        <w:gridCol w:w="1134"/>
        <w:gridCol w:w="1134"/>
      </w:tblGrid>
      <w:tr w:rsidR="00271E37" w:rsidRPr="00022AA5" w14:paraId="295F7710" w14:textId="77777777">
        <w:trPr>
          <w:trHeight w:hRule="exact" w:val="20"/>
        </w:trPr>
        <w:tc>
          <w:tcPr>
            <w:tcW w:w="6237" w:type="dxa"/>
            <w:tcBorders>
              <w:top w:val="nil"/>
              <w:left w:val="nil"/>
              <w:bottom w:val="nil"/>
              <w:right w:val="nil"/>
            </w:tcBorders>
          </w:tcPr>
          <w:p w14:paraId="70604672" w14:textId="77777777" w:rsidR="00271E37" w:rsidRDefault="00271E37">
            <w:pPr>
              <w:rPr>
                <w:sz w:val="2"/>
              </w:rPr>
            </w:pPr>
            <w:bookmarkStart w:id="28" w:name="_7e6cf2c7_4826_4c88_a849_02774232a7f0"/>
            <w:bookmarkStart w:id="29" w:name="_c1df3d09_fd88_43e5_8da4_4f6d5ba5508a"/>
            <w:bookmarkEnd w:id="28"/>
          </w:p>
        </w:tc>
        <w:tc>
          <w:tcPr>
            <w:tcW w:w="1134" w:type="dxa"/>
            <w:tcBorders>
              <w:top w:val="nil"/>
              <w:left w:val="nil"/>
              <w:bottom w:val="nil"/>
              <w:right w:val="nil"/>
            </w:tcBorders>
          </w:tcPr>
          <w:p w14:paraId="387B71A2" w14:textId="77777777" w:rsidR="00271E37" w:rsidRDefault="00271E37">
            <w:pPr>
              <w:rPr>
                <w:sz w:val="2"/>
              </w:rPr>
            </w:pPr>
          </w:p>
        </w:tc>
        <w:tc>
          <w:tcPr>
            <w:tcW w:w="1134" w:type="dxa"/>
            <w:tcBorders>
              <w:top w:val="nil"/>
              <w:left w:val="nil"/>
              <w:bottom w:val="nil"/>
              <w:right w:val="nil"/>
            </w:tcBorders>
          </w:tcPr>
          <w:p w14:paraId="72C3352E" w14:textId="77777777" w:rsidR="00271E37" w:rsidRDefault="00271E37">
            <w:pPr>
              <w:rPr>
                <w:sz w:val="2"/>
              </w:rPr>
            </w:pPr>
          </w:p>
        </w:tc>
        <w:tc>
          <w:tcPr>
            <w:tcW w:w="1134" w:type="dxa"/>
            <w:tcBorders>
              <w:top w:val="nil"/>
              <w:left w:val="nil"/>
              <w:bottom w:val="nil"/>
              <w:right w:val="nil"/>
            </w:tcBorders>
          </w:tcPr>
          <w:p w14:paraId="45DC240A" w14:textId="77777777" w:rsidR="00271E37" w:rsidRDefault="00271E37">
            <w:pPr>
              <w:rPr>
                <w:sz w:val="2"/>
              </w:rPr>
            </w:pPr>
          </w:p>
        </w:tc>
      </w:tr>
      <w:tr w:rsidR="0097030C" w:rsidRPr="00022AA5" w14:paraId="749E3CE1" w14:textId="77777777">
        <w:tc>
          <w:tcPr>
            <w:tcW w:w="6237" w:type="dxa"/>
          </w:tcPr>
          <w:p w14:paraId="1E13DE4B" w14:textId="77777777" w:rsidR="0097030C" w:rsidRPr="00022AA5" w:rsidRDefault="0097030C"/>
        </w:tc>
        <w:tc>
          <w:tcPr>
            <w:tcW w:w="1134" w:type="dxa"/>
          </w:tcPr>
          <w:p w14:paraId="7B439F7C" w14:textId="77777777" w:rsidR="0097030C" w:rsidRPr="00022AA5" w:rsidRDefault="0097030C"/>
        </w:tc>
        <w:tc>
          <w:tcPr>
            <w:tcW w:w="1134" w:type="dxa"/>
          </w:tcPr>
          <w:p w14:paraId="6C4A59BF" w14:textId="77777777" w:rsidR="0097030C" w:rsidRPr="00B51E97" w:rsidRDefault="0097030C">
            <w:pPr>
              <w:rPr>
                <w:b/>
                <w:bCs/>
              </w:rPr>
            </w:pPr>
          </w:p>
        </w:tc>
        <w:tc>
          <w:tcPr>
            <w:tcW w:w="1134" w:type="dxa"/>
          </w:tcPr>
          <w:p w14:paraId="7B61DE68" w14:textId="3C3972B3" w:rsidR="0097030C" w:rsidRPr="00022AA5" w:rsidRDefault="0097030C"/>
        </w:tc>
      </w:tr>
      <w:tr w:rsidR="00271E37" w:rsidRPr="00F415C3" w14:paraId="13789E0D" w14:textId="77777777">
        <w:tc>
          <w:tcPr>
            <w:tcW w:w="6237" w:type="dxa"/>
          </w:tcPr>
          <w:p w14:paraId="4E677C13" w14:textId="77777777" w:rsidR="00271E37" w:rsidRPr="00022AA5" w:rsidRDefault="00271E37">
            <w:pPr>
              <w:jc w:val="left"/>
            </w:pPr>
          </w:p>
        </w:tc>
        <w:tc>
          <w:tcPr>
            <w:tcW w:w="1134" w:type="dxa"/>
          </w:tcPr>
          <w:p w14:paraId="730FC7E1" w14:textId="77777777" w:rsidR="00271E37" w:rsidRPr="00022AA5" w:rsidRDefault="00271E37"/>
        </w:tc>
        <w:tc>
          <w:tcPr>
            <w:tcW w:w="1134" w:type="dxa"/>
          </w:tcPr>
          <w:p w14:paraId="3F7400EB" w14:textId="77777777" w:rsidR="00271E37" w:rsidRPr="00B51E97" w:rsidRDefault="00271E37">
            <w:pPr>
              <w:rPr>
                <w:b/>
                <w:bCs/>
              </w:rPr>
            </w:pPr>
            <w:r w:rsidRPr="00B51E97">
              <w:rPr>
                <w:b/>
                <w:bCs/>
              </w:rPr>
              <w:t>202</w:t>
            </w:r>
            <w:r>
              <w:rPr>
                <w:b/>
                <w:bCs/>
              </w:rPr>
              <w:t>6</w:t>
            </w:r>
          </w:p>
        </w:tc>
        <w:tc>
          <w:tcPr>
            <w:tcW w:w="1134" w:type="dxa"/>
          </w:tcPr>
          <w:p w14:paraId="60540CB6" w14:textId="77777777" w:rsidR="00271E37" w:rsidRPr="00F415C3" w:rsidRDefault="00271E37">
            <w:r w:rsidRPr="00F415C3">
              <w:t>2025</w:t>
            </w:r>
          </w:p>
        </w:tc>
      </w:tr>
      <w:tr w:rsidR="00271E37" w:rsidRPr="00022AA5" w14:paraId="02358D41" w14:textId="77777777">
        <w:tc>
          <w:tcPr>
            <w:tcW w:w="6237" w:type="dxa"/>
            <w:tcBorders>
              <w:bottom w:val="single" w:sz="4" w:space="0" w:color="000000" w:themeColor="text1"/>
            </w:tcBorders>
          </w:tcPr>
          <w:p w14:paraId="15541CD6" w14:textId="77777777" w:rsidR="00271E37" w:rsidRPr="00022AA5" w:rsidRDefault="00271E37">
            <w:pPr>
              <w:jc w:val="left"/>
            </w:pPr>
          </w:p>
        </w:tc>
        <w:tc>
          <w:tcPr>
            <w:tcW w:w="1134" w:type="dxa"/>
            <w:tcBorders>
              <w:bottom w:val="single" w:sz="4" w:space="0" w:color="000000" w:themeColor="text1"/>
            </w:tcBorders>
          </w:tcPr>
          <w:p w14:paraId="56E2F57D" w14:textId="77777777" w:rsidR="00271E37" w:rsidRPr="00022AA5" w:rsidRDefault="00271E37">
            <w:r w:rsidRPr="00022AA5">
              <w:t>Note</w:t>
            </w:r>
          </w:p>
        </w:tc>
        <w:tc>
          <w:tcPr>
            <w:tcW w:w="1134" w:type="dxa"/>
            <w:tcBorders>
              <w:bottom w:val="single" w:sz="4" w:space="0" w:color="000000" w:themeColor="text1"/>
            </w:tcBorders>
          </w:tcPr>
          <w:p w14:paraId="5BF09BA5" w14:textId="77777777" w:rsidR="00271E37" w:rsidRPr="00B51E97" w:rsidRDefault="00271E37">
            <w:pPr>
              <w:rPr>
                <w:b/>
                <w:bCs/>
              </w:rPr>
            </w:pPr>
            <w:r>
              <w:rPr>
                <w:b/>
                <w:bCs/>
              </w:rPr>
              <w:t>£</w:t>
            </w:r>
            <w:r w:rsidRPr="00B51E97">
              <w:rPr>
                <w:b/>
                <w:bCs/>
              </w:rPr>
              <w:t>000</w:t>
            </w:r>
          </w:p>
        </w:tc>
        <w:tc>
          <w:tcPr>
            <w:tcW w:w="1134" w:type="dxa"/>
            <w:tcBorders>
              <w:bottom w:val="single" w:sz="4" w:space="0" w:color="000000" w:themeColor="text1"/>
            </w:tcBorders>
          </w:tcPr>
          <w:p w14:paraId="388FDD9C" w14:textId="77777777" w:rsidR="00271E37" w:rsidRPr="00022AA5" w:rsidRDefault="00271E37">
            <w:r>
              <w:t>£</w:t>
            </w:r>
            <w:r w:rsidRPr="00022AA5">
              <w:t>000</w:t>
            </w:r>
          </w:p>
        </w:tc>
      </w:tr>
      <w:tr w:rsidR="00271E37" w:rsidRPr="00022AA5" w14:paraId="5DE3DF8D" w14:textId="77777777">
        <w:tc>
          <w:tcPr>
            <w:tcW w:w="6237" w:type="dxa"/>
            <w:tcBorders>
              <w:top w:val="single" w:sz="4" w:space="0" w:color="000000" w:themeColor="text1"/>
            </w:tcBorders>
          </w:tcPr>
          <w:p w14:paraId="5B78B973" w14:textId="77777777" w:rsidR="00271E37" w:rsidRPr="00B51E97" w:rsidRDefault="00271E37">
            <w:pPr>
              <w:jc w:val="left"/>
              <w:rPr>
                <w:b/>
                <w:bCs/>
              </w:rPr>
            </w:pPr>
            <w:r w:rsidRPr="00B51E97">
              <w:rPr>
                <w:b/>
                <w:bCs/>
              </w:rPr>
              <w:t>Cash flows from operating activities</w:t>
            </w:r>
          </w:p>
        </w:tc>
        <w:tc>
          <w:tcPr>
            <w:tcW w:w="1134" w:type="dxa"/>
            <w:tcBorders>
              <w:top w:val="single" w:sz="4" w:space="0" w:color="000000" w:themeColor="text1"/>
            </w:tcBorders>
          </w:tcPr>
          <w:p w14:paraId="416F4B85" w14:textId="77777777" w:rsidR="00271E37" w:rsidRPr="00022AA5" w:rsidRDefault="00271E37"/>
        </w:tc>
        <w:tc>
          <w:tcPr>
            <w:tcW w:w="1134" w:type="dxa"/>
            <w:tcBorders>
              <w:top w:val="single" w:sz="4" w:space="0" w:color="000000" w:themeColor="text1"/>
            </w:tcBorders>
          </w:tcPr>
          <w:p w14:paraId="65B0F685" w14:textId="77777777" w:rsidR="00271E37" w:rsidRPr="00B51E97" w:rsidRDefault="00271E37">
            <w:pPr>
              <w:rPr>
                <w:b/>
                <w:bCs/>
              </w:rPr>
            </w:pPr>
          </w:p>
        </w:tc>
        <w:tc>
          <w:tcPr>
            <w:tcW w:w="1134" w:type="dxa"/>
            <w:tcBorders>
              <w:top w:val="single" w:sz="4" w:space="0" w:color="000000" w:themeColor="text1"/>
            </w:tcBorders>
          </w:tcPr>
          <w:p w14:paraId="50EE37EA" w14:textId="77777777" w:rsidR="00271E37" w:rsidRPr="00022AA5" w:rsidRDefault="00271E37"/>
        </w:tc>
      </w:tr>
      <w:tr w:rsidR="00271E37" w:rsidRPr="00022AA5" w14:paraId="371326C2" w14:textId="77777777">
        <w:tc>
          <w:tcPr>
            <w:tcW w:w="6237" w:type="dxa"/>
          </w:tcPr>
          <w:p w14:paraId="0A04125F" w14:textId="02F21F90" w:rsidR="00271E37" w:rsidRPr="00022AA5" w:rsidRDefault="006450A4">
            <w:pPr>
              <w:jc w:val="left"/>
            </w:pPr>
            <w:r>
              <w:t>P</w:t>
            </w:r>
            <w:r w:rsidR="00271E37" w:rsidRPr="00022AA5">
              <w:t>rofit</w:t>
            </w:r>
            <w:r>
              <w:t>/(loss)</w:t>
            </w:r>
            <w:r w:rsidR="00271E37" w:rsidRPr="00022AA5">
              <w:t xml:space="preserve"> for the year</w:t>
            </w:r>
          </w:p>
        </w:tc>
        <w:tc>
          <w:tcPr>
            <w:tcW w:w="1134" w:type="dxa"/>
          </w:tcPr>
          <w:p w14:paraId="59417A70" w14:textId="77777777" w:rsidR="00271E37" w:rsidRPr="00022AA5" w:rsidRDefault="00271E37"/>
        </w:tc>
        <w:tc>
          <w:tcPr>
            <w:tcW w:w="1134" w:type="dxa"/>
            <w:vAlign w:val="bottom"/>
          </w:tcPr>
          <w:p w14:paraId="4002EFCE" w14:textId="77777777" w:rsidR="00271E37" w:rsidRPr="008424B2" w:rsidRDefault="00271E37">
            <w:pPr>
              <w:rPr>
                <w:b/>
                <w:bCs/>
              </w:rPr>
            </w:pPr>
          </w:p>
        </w:tc>
        <w:tc>
          <w:tcPr>
            <w:tcW w:w="1134" w:type="dxa"/>
          </w:tcPr>
          <w:p w14:paraId="4BB698DD" w14:textId="77777777" w:rsidR="00271E37" w:rsidRPr="008424B2" w:rsidRDefault="00271E37"/>
        </w:tc>
      </w:tr>
      <w:tr w:rsidR="00271E37" w:rsidRPr="00022AA5" w14:paraId="6D4B3745" w14:textId="77777777">
        <w:tc>
          <w:tcPr>
            <w:tcW w:w="6237" w:type="dxa"/>
            <w:vAlign w:val="center"/>
          </w:tcPr>
          <w:p w14:paraId="74C2BD76" w14:textId="77777777" w:rsidR="00271E37" w:rsidRDefault="00271E37">
            <w:pPr>
              <w:jc w:val="left"/>
            </w:pPr>
            <w:r>
              <w:t xml:space="preserve">     </w:t>
            </w:r>
            <w:r w:rsidRPr="00FC4DCA">
              <w:t>Continuing operations</w:t>
            </w:r>
          </w:p>
        </w:tc>
        <w:tc>
          <w:tcPr>
            <w:tcW w:w="1134" w:type="dxa"/>
          </w:tcPr>
          <w:p w14:paraId="6DEB41AA" w14:textId="77777777" w:rsidR="00271E37" w:rsidRPr="00022AA5" w:rsidRDefault="00271E37"/>
        </w:tc>
        <w:tc>
          <w:tcPr>
            <w:tcW w:w="1134" w:type="dxa"/>
            <w:vAlign w:val="center"/>
          </w:tcPr>
          <w:p w14:paraId="754302E0" w14:textId="77777777" w:rsidR="00271E37" w:rsidRPr="00B609D4" w:rsidRDefault="00271E37">
            <w:pPr>
              <w:rPr>
                <w:b/>
                <w:bCs/>
              </w:rPr>
            </w:pPr>
            <w:r>
              <w:rPr>
                <w:rFonts w:cs="Arial"/>
                <w:b/>
                <w:bCs/>
                <w:color w:val="000000"/>
                <w:szCs w:val="16"/>
              </w:rPr>
              <w:t>5,350</w:t>
            </w:r>
            <w:r w:rsidRPr="00123570">
              <w:rPr>
                <w:rFonts w:cs="Arial"/>
                <w:b/>
                <w:bCs/>
                <w:color w:val="000000"/>
                <w:szCs w:val="16"/>
              </w:rPr>
              <w:t xml:space="preserve"> </w:t>
            </w:r>
          </w:p>
        </w:tc>
        <w:tc>
          <w:tcPr>
            <w:tcW w:w="1134" w:type="dxa"/>
            <w:vAlign w:val="center"/>
          </w:tcPr>
          <w:p w14:paraId="26D24FC6" w14:textId="77777777" w:rsidR="00271E37" w:rsidRPr="0079686F" w:rsidRDefault="00271E37">
            <w:r>
              <w:rPr>
                <w:rFonts w:cs="Arial"/>
                <w:color w:val="000000"/>
                <w:szCs w:val="16"/>
              </w:rPr>
              <w:t xml:space="preserve">4,443 </w:t>
            </w:r>
          </w:p>
        </w:tc>
      </w:tr>
      <w:tr w:rsidR="00271E37" w:rsidRPr="00022AA5" w14:paraId="3177FF8E" w14:textId="77777777">
        <w:tc>
          <w:tcPr>
            <w:tcW w:w="6237" w:type="dxa"/>
            <w:tcBorders>
              <w:bottom w:val="single" w:sz="4" w:space="0" w:color="auto"/>
            </w:tcBorders>
            <w:vAlign w:val="center"/>
          </w:tcPr>
          <w:p w14:paraId="799431D2" w14:textId="77777777" w:rsidR="00271E37" w:rsidRDefault="00271E37">
            <w:pPr>
              <w:jc w:val="left"/>
            </w:pPr>
            <w:r>
              <w:t xml:space="preserve">     Discontinued</w:t>
            </w:r>
            <w:r w:rsidRPr="00FC4DCA">
              <w:t xml:space="preserve"> operations</w:t>
            </w:r>
          </w:p>
        </w:tc>
        <w:tc>
          <w:tcPr>
            <w:tcW w:w="1134" w:type="dxa"/>
            <w:tcBorders>
              <w:bottom w:val="single" w:sz="4" w:space="0" w:color="auto"/>
            </w:tcBorders>
          </w:tcPr>
          <w:p w14:paraId="45484AE3" w14:textId="77777777" w:rsidR="00271E37" w:rsidRPr="00022AA5" w:rsidRDefault="00271E37"/>
        </w:tc>
        <w:tc>
          <w:tcPr>
            <w:tcW w:w="1134" w:type="dxa"/>
            <w:tcBorders>
              <w:bottom w:val="single" w:sz="4" w:space="0" w:color="auto"/>
            </w:tcBorders>
            <w:vAlign w:val="center"/>
          </w:tcPr>
          <w:p w14:paraId="016DBB36" w14:textId="6CCDED2D" w:rsidR="00271E37" w:rsidRPr="00B609D4" w:rsidRDefault="00271E37">
            <w:pPr>
              <w:rPr>
                <w:b/>
                <w:bCs/>
              </w:rPr>
            </w:pPr>
            <w:r w:rsidRPr="00123570" w:rsidDel="008474CE">
              <w:rPr>
                <w:rFonts w:cs="Arial"/>
                <w:b/>
                <w:bCs/>
                <w:color w:val="000000"/>
                <w:szCs w:val="16"/>
              </w:rPr>
              <w:t>(11</w:t>
            </w:r>
            <w:r w:rsidR="00C55EE5">
              <w:rPr>
                <w:rFonts w:cs="Arial"/>
                <w:b/>
                <w:bCs/>
                <w:color w:val="000000"/>
                <w:szCs w:val="16"/>
              </w:rPr>
              <w:t>7</w:t>
            </w:r>
            <w:r w:rsidRPr="00123570" w:rsidDel="008474CE">
              <w:rPr>
                <w:rFonts w:cs="Arial"/>
                <w:b/>
                <w:bCs/>
                <w:color w:val="000000"/>
                <w:szCs w:val="16"/>
              </w:rPr>
              <w:t>,667)</w:t>
            </w:r>
          </w:p>
        </w:tc>
        <w:tc>
          <w:tcPr>
            <w:tcW w:w="1134" w:type="dxa"/>
            <w:tcBorders>
              <w:bottom w:val="single" w:sz="4" w:space="0" w:color="auto"/>
            </w:tcBorders>
            <w:vAlign w:val="center"/>
          </w:tcPr>
          <w:p w14:paraId="69B3CACD" w14:textId="77777777" w:rsidR="00271E37" w:rsidRPr="0079686F" w:rsidRDefault="00271E37">
            <w:r>
              <w:rPr>
                <w:rFonts w:cs="Arial"/>
                <w:color w:val="000000"/>
                <w:szCs w:val="16"/>
              </w:rPr>
              <w:t>(82,595)</w:t>
            </w:r>
          </w:p>
        </w:tc>
      </w:tr>
      <w:tr w:rsidR="00271E37" w:rsidRPr="00F4048D" w14:paraId="013FCEA5" w14:textId="77777777">
        <w:tc>
          <w:tcPr>
            <w:tcW w:w="6237" w:type="dxa"/>
            <w:tcBorders>
              <w:top w:val="single" w:sz="4" w:space="0" w:color="auto"/>
              <w:bottom w:val="nil"/>
            </w:tcBorders>
            <w:vAlign w:val="center"/>
          </w:tcPr>
          <w:p w14:paraId="6393AACC" w14:textId="77777777" w:rsidR="00271E37" w:rsidRPr="00F4048D" w:rsidRDefault="00271E37">
            <w:pPr>
              <w:jc w:val="left"/>
              <w:rPr>
                <w:b/>
                <w:bCs/>
              </w:rPr>
            </w:pPr>
            <w:r w:rsidRPr="00F4048D">
              <w:rPr>
                <w:b/>
                <w:bCs/>
              </w:rPr>
              <w:t>Loss</w:t>
            </w:r>
            <w:r>
              <w:rPr>
                <w:b/>
                <w:bCs/>
              </w:rPr>
              <w:t xml:space="preserve"> for the year</w:t>
            </w:r>
            <w:r w:rsidRPr="00F4048D">
              <w:rPr>
                <w:b/>
                <w:bCs/>
              </w:rPr>
              <w:t xml:space="preserve"> including discontinued operations</w:t>
            </w:r>
          </w:p>
        </w:tc>
        <w:tc>
          <w:tcPr>
            <w:tcW w:w="1134" w:type="dxa"/>
            <w:tcBorders>
              <w:top w:val="single" w:sz="4" w:space="0" w:color="auto"/>
              <w:bottom w:val="nil"/>
            </w:tcBorders>
          </w:tcPr>
          <w:p w14:paraId="330C4780" w14:textId="77777777" w:rsidR="00271E37" w:rsidRPr="00F4048D" w:rsidRDefault="00271E37">
            <w:pPr>
              <w:rPr>
                <w:b/>
                <w:bCs/>
              </w:rPr>
            </w:pPr>
          </w:p>
        </w:tc>
        <w:tc>
          <w:tcPr>
            <w:tcW w:w="1134" w:type="dxa"/>
            <w:tcBorders>
              <w:top w:val="single" w:sz="4" w:space="0" w:color="auto"/>
              <w:bottom w:val="nil"/>
            </w:tcBorders>
            <w:vAlign w:val="center"/>
          </w:tcPr>
          <w:p w14:paraId="791FC8D9" w14:textId="77777777" w:rsidR="00271E37" w:rsidRPr="00B609D4" w:rsidRDefault="00271E37">
            <w:pPr>
              <w:rPr>
                <w:b/>
                <w:bCs/>
              </w:rPr>
            </w:pPr>
            <w:r w:rsidRPr="00637AA1">
              <w:rPr>
                <w:rFonts w:cs="Arial"/>
                <w:b/>
                <w:bCs/>
                <w:color w:val="000000"/>
                <w:szCs w:val="16"/>
              </w:rPr>
              <w:t>(112,317)</w:t>
            </w:r>
          </w:p>
        </w:tc>
        <w:tc>
          <w:tcPr>
            <w:tcW w:w="1134" w:type="dxa"/>
            <w:tcBorders>
              <w:top w:val="single" w:sz="4" w:space="0" w:color="auto"/>
              <w:bottom w:val="nil"/>
            </w:tcBorders>
            <w:vAlign w:val="center"/>
          </w:tcPr>
          <w:p w14:paraId="53691462" w14:textId="77777777" w:rsidR="00271E37" w:rsidRPr="0079686F" w:rsidRDefault="00271E37">
            <w:r>
              <w:rPr>
                <w:rFonts w:cs="Arial"/>
                <w:b/>
                <w:bCs/>
                <w:color w:val="000000"/>
                <w:szCs w:val="16"/>
              </w:rPr>
              <w:t>(78,152)</w:t>
            </w:r>
          </w:p>
        </w:tc>
      </w:tr>
      <w:tr w:rsidR="00271E37" w:rsidRPr="00F4048D" w14:paraId="59B55F67" w14:textId="77777777">
        <w:tc>
          <w:tcPr>
            <w:tcW w:w="6237" w:type="dxa"/>
            <w:tcBorders>
              <w:top w:val="nil"/>
            </w:tcBorders>
          </w:tcPr>
          <w:p w14:paraId="07E737A8" w14:textId="77777777" w:rsidR="00271E37" w:rsidRPr="00F4048D" w:rsidRDefault="00271E37">
            <w:pPr>
              <w:jc w:val="left"/>
              <w:rPr>
                <w:i/>
                <w:iCs/>
              </w:rPr>
            </w:pPr>
            <w:r w:rsidRPr="00F4048D">
              <w:rPr>
                <w:i/>
                <w:iCs/>
              </w:rPr>
              <w:t>Adjustments for:</w:t>
            </w:r>
          </w:p>
        </w:tc>
        <w:tc>
          <w:tcPr>
            <w:tcW w:w="1134" w:type="dxa"/>
            <w:tcBorders>
              <w:top w:val="nil"/>
            </w:tcBorders>
          </w:tcPr>
          <w:p w14:paraId="4C4EE5D9" w14:textId="77777777" w:rsidR="00271E37" w:rsidRPr="00F4048D" w:rsidRDefault="00271E37">
            <w:pPr>
              <w:rPr>
                <w:i/>
                <w:iCs/>
              </w:rPr>
            </w:pPr>
          </w:p>
        </w:tc>
        <w:tc>
          <w:tcPr>
            <w:tcW w:w="1134" w:type="dxa"/>
            <w:tcBorders>
              <w:top w:val="nil"/>
            </w:tcBorders>
            <w:vAlign w:val="bottom"/>
          </w:tcPr>
          <w:p w14:paraId="09D4958E" w14:textId="77777777" w:rsidR="00271E37" w:rsidRPr="00B609D4" w:rsidRDefault="00271E37">
            <w:pPr>
              <w:rPr>
                <w:b/>
                <w:bCs/>
                <w:i/>
                <w:iCs/>
              </w:rPr>
            </w:pPr>
          </w:p>
        </w:tc>
        <w:tc>
          <w:tcPr>
            <w:tcW w:w="1134" w:type="dxa"/>
            <w:tcBorders>
              <w:top w:val="nil"/>
            </w:tcBorders>
          </w:tcPr>
          <w:p w14:paraId="3B7A30F8" w14:textId="77777777" w:rsidR="00271E37" w:rsidRPr="00F4048D" w:rsidRDefault="00271E37">
            <w:pPr>
              <w:rPr>
                <w:i/>
                <w:iCs/>
              </w:rPr>
            </w:pPr>
          </w:p>
        </w:tc>
      </w:tr>
      <w:tr w:rsidR="00271E37" w:rsidRPr="00022AA5" w14:paraId="297A30E7" w14:textId="77777777">
        <w:tc>
          <w:tcPr>
            <w:tcW w:w="6237" w:type="dxa"/>
          </w:tcPr>
          <w:p w14:paraId="1E19CCEF" w14:textId="3310CD10" w:rsidR="00271E37" w:rsidRPr="00022AA5" w:rsidRDefault="00271E37">
            <w:pPr>
              <w:jc w:val="left"/>
            </w:pPr>
            <w:r>
              <w:t>Loss on disposal of subsidiary’s net assets</w:t>
            </w:r>
            <w:r w:rsidR="00B1222D">
              <w:t xml:space="preserve"> </w:t>
            </w:r>
            <w:r w:rsidR="00F10568">
              <w:t>including reclassification of</w:t>
            </w:r>
            <w:r w:rsidR="004A46C3">
              <w:t xml:space="preserve"> translation reserve</w:t>
            </w:r>
          </w:p>
        </w:tc>
        <w:tc>
          <w:tcPr>
            <w:tcW w:w="1134" w:type="dxa"/>
          </w:tcPr>
          <w:p w14:paraId="5ED7B07C" w14:textId="77777777" w:rsidR="00271E37" w:rsidRPr="00022AA5" w:rsidRDefault="00271E37">
            <w:r>
              <w:t>4</w:t>
            </w:r>
          </w:p>
        </w:tc>
        <w:tc>
          <w:tcPr>
            <w:tcW w:w="1134" w:type="dxa"/>
            <w:vAlign w:val="center"/>
          </w:tcPr>
          <w:p w14:paraId="139A5FB7" w14:textId="77777777" w:rsidR="00271E37" w:rsidRPr="00B609D4" w:rsidRDefault="00271E37">
            <w:pPr>
              <w:rPr>
                <w:b/>
                <w:bCs/>
              </w:rPr>
            </w:pPr>
            <w:r w:rsidRPr="00123570">
              <w:rPr>
                <w:rFonts w:cs="Arial"/>
                <w:b/>
                <w:bCs/>
                <w:color w:val="000000"/>
                <w:szCs w:val="16"/>
              </w:rPr>
              <w:t xml:space="preserve">108,461 </w:t>
            </w:r>
          </w:p>
        </w:tc>
        <w:tc>
          <w:tcPr>
            <w:tcW w:w="1134" w:type="dxa"/>
            <w:vAlign w:val="center"/>
          </w:tcPr>
          <w:p w14:paraId="24569AB7" w14:textId="77777777" w:rsidR="00271E37" w:rsidRPr="007E7D40" w:rsidRDefault="00271E37">
            <w:r>
              <w:rPr>
                <w:rFonts w:cs="Arial"/>
                <w:color w:val="000000"/>
                <w:szCs w:val="16"/>
              </w:rPr>
              <w:t xml:space="preserve"> - </w:t>
            </w:r>
          </w:p>
        </w:tc>
      </w:tr>
      <w:tr w:rsidR="00271E37" w:rsidRPr="00022AA5" w14:paraId="1F0E712F" w14:textId="77777777">
        <w:tc>
          <w:tcPr>
            <w:tcW w:w="6237" w:type="dxa"/>
          </w:tcPr>
          <w:p w14:paraId="4FB2E043" w14:textId="77777777" w:rsidR="00271E37" w:rsidRPr="00022AA5" w:rsidRDefault="00271E37">
            <w:pPr>
              <w:jc w:val="left"/>
            </w:pPr>
            <w:r w:rsidRPr="00022AA5">
              <w:t>Depreciation of property, plant and equipment</w:t>
            </w:r>
          </w:p>
        </w:tc>
        <w:tc>
          <w:tcPr>
            <w:tcW w:w="1134" w:type="dxa"/>
          </w:tcPr>
          <w:p w14:paraId="1C525C15" w14:textId="77777777" w:rsidR="00271E37" w:rsidRPr="00022AA5" w:rsidRDefault="00271E37">
            <w:r w:rsidRPr="00022AA5">
              <w:t>8</w:t>
            </w:r>
          </w:p>
        </w:tc>
        <w:tc>
          <w:tcPr>
            <w:tcW w:w="1134" w:type="dxa"/>
            <w:vAlign w:val="center"/>
          </w:tcPr>
          <w:p w14:paraId="1EA36121" w14:textId="77777777" w:rsidR="00271E37" w:rsidRPr="00B609D4" w:rsidRDefault="00271E37">
            <w:pPr>
              <w:rPr>
                <w:b/>
                <w:bCs/>
              </w:rPr>
            </w:pPr>
            <w:r w:rsidRPr="00123570">
              <w:rPr>
                <w:rFonts w:cs="Arial"/>
                <w:b/>
                <w:bCs/>
                <w:color w:val="000000"/>
                <w:szCs w:val="16"/>
              </w:rPr>
              <w:t xml:space="preserve">4,134 </w:t>
            </w:r>
          </w:p>
        </w:tc>
        <w:tc>
          <w:tcPr>
            <w:tcW w:w="1134" w:type="dxa"/>
            <w:vAlign w:val="center"/>
          </w:tcPr>
          <w:p w14:paraId="7CD1FE1C" w14:textId="77777777" w:rsidR="00271E37" w:rsidRPr="007E7D40" w:rsidRDefault="00271E37">
            <w:r>
              <w:rPr>
                <w:rFonts w:cs="Arial"/>
                <w:color w:val="000000"/>
                <w:szCs w:val="16"/>
              </w:rPr>
              <w:t xml:space="preserve">8,376 </w:t>
            </w:r>
          </w:p>
        </w:tc>
      </w:tr>
      <w:tr w:rsidR="00271E37" w:rsidRPr="00022AA5" w14:paraId="4FAFA63B" w14:textId="77777777">
        <w:tc>
          <w:tcPr>
            <w:tcW w:w="6237" w:type="dxa"/>
          </w:tcPr>
          <w:p w14:paraId="0818D90A" w14:textId="77777777" w:rsidR="00271E37" w:rsidRPr="00022AA5" w:rsidRDefault="00271E37">
            <w:pPr>
              <w:jc w:val="left"/>
            </w:pPr>
            <w:r w:rsidRPr="00022AA5">
              <w:t>Depreciation of right-of-use assets</w:t>
            </w:r>
          </w:p>
        </w:tc>
        <w:tc>
          <w:tcPr>
            <w:tcW w:w="1134" w:type="dxa"/>
          </w:tcPr>
          <w:p w14:paraId="3C4B1A9E" w14:textId="77777777" w:rsidR="00271E37" w:rsidRPr="00022AA5" w:rsidRDefault="00271E37">
            <w:r w:rsidRPr="00022AA5">
              <w:t>10</w:t>
            </w:r>
          </w:p>
        </w:tc>
        <w:tc>
          <w:tcPr>
            <w:tcW w:w="1134" w:type="dxa"/>
            <w:vAlign w:val="center"/>
          </w:tcPr>
          <w:p w14:paraId="2848EBE7" w14:textId="77777777" w:rsidR="00271E37" w:rsidRPr="00B609D4" w:rsidRDefault="00271E37">
            <w:pPr>
              <w:rPr>
                <w:b/>
                <w:bCs/>
              </w:rPr>
            </w:pPr>
            <w:r w:rsidRPr="00123570">
              <w:rPr>
                <w:rFonts w:cs="Arial"/>
                <w:b/>
                <w:bCs/>
                <w:color w:val="000000"/>
                <w:szCs w:val="16"/>
              </w:rPr>
              <w:t xml:space="preserve">4,982 </w:t>
            </w:r>
          </w:p>
        </w:tc>
        <w:tc>
          <w:tcPr>
            <w:tcW w:w="1134" w:type="dxa"/>
            <w:vAlign w:val="center"/>
          </w:tcPr>
          <w:p w14:paraId="108EC1DB" w14:textId="77777777" w:rsidR="00271E37" w:rsidRPr="007E7D40" w:rsidRDefault="00271E37">
            <w:r>
              <w:rPr>
                <w:rFonts w:cs="Arial"/>
                <w:color w:val="000000"/>
                <w:szCs w:val="16"/>
              </w:rPr>
              <w:t xml:space="preserve">12,159 </w:t>
            </w:r>
          </w:p>
        </w:tc>
      </w:tr>
      <w:tr w:rsidR="00271E37" w:rsidRPr="00022AA5" w14:paraId="5F703619" w14:textId="77777777">
        <w:tc>
          <w:tcPr>
            <w:tcW w:w="6237" w:type="dxa"/>
          </w:tcPr>
          <w:p w14:paraId="2088FDB4" w14:textId="77777777" w:rsidR="00271E37" w:rsidRPr="00022AA5" w:rsidRDefault="00271E37">
            <w:pPr>
              <w:jc w:val="left"/>
            </w:pPr>
            <w:r w:rsidRPr="00022AA5">
              <w:t>Amortisation of intangible assets</w:t>
            </w:r>
          </w:p>
        </w:tc>
        <w:tc>
          <w:tcPr>
            <w:tcW w:w="1134" w:type="dxa"/>
          </w:tcPr>
          <w:p w14:paraId="427994D1" w14:textId="77777777" w:rsidR="00271E37" w:rsidRPr="00022AA5" w:rsidRDefault="00271E37">
            <w:r w:rsidRPr="00022AA5">
              <w:t>9</w:t>
            </w:r>
          </w:p>
        </w:tc>
        <w:tc>
          <w:tcPr>
            <w:tcW w:w="1134" w:type="dxa"/>
            <w:vAlign w:val="center"/>
          </w:tcPr>
          <w:p w14:paraId="4D4EF921" w14:textId="77777777" w:rsidR="00271E37" w:rsidRPr="00B609D4" w:rsidRDefault="00271E37">
            <w:pPr>
              <w:rPr>
                <w:b/>
                <w:bCs/>
              </w:rPr>
            </w:pPr>
            <w:r w:rsidRPr="00123570">
              <w:rPr>
                <w:rFonts w:cs="Arial"/>
                <w:b/>
                <w:bCs/>
                <w:color w:val="000000"/>
                <w:szCs w:val="16"/>
              </w:rPr>
              <w:t xml:space="preserve">338 </w:t>
            </w:r>
          </w:p>
        </w:tc>
        <w:tc>
          <w:tcPr>
            <w:tcW w:w="1134" w:type="dxa"/>
            <w:vAlign w:val="center"/>
          </w:tcPr>
          <w:p w14:paraId="69B853B5" w14:textId="77777777" w:rsidR="00271E37" w:rsidRPr="007E7D40" w:rsidRDefault="00271E37">
            <w:r>
              <w:rPr>
                <w:rFonts w:cs="Arial"/>
                <w:color w:val="000000"/>
                <w:szCs w:val="16"/>
              </w:rPr>
              <w:t xml:space="preserve">1,904 </w:t>
            </w:r>
          </w:p>
        </w:tc>
      </w:tr>
      <w:tr w:rsidR="00271E37" w:rsidRPr="008B02D5" w14:paraId="7A11A3D0" w14:textId="77777777">
        <w:tc>
          <w:tcPr>
            <w:tcW w:w="6237" w:type="dxa"/>
          </w:tcPr>
          <w:p w14:paraId="6ED833C6" w14:textId="77777777" w:rsidR="00271E37" w:rsidRPr="00022AA5" w:rsidRDefault="00271E37">
            <w:pPr>
              <w:jc w:val="left"/>
            </w:pPr>
            <w:r>
              <w:t>Impairment of property, plant and equipment, right-of-use assets and intangible assets</w:t>
            </w:r>
          </w:p>
        </w:tc>
        <w:tc>
          <w:tcPr>
            <w:tcW w:w="1134" w:type="dxa"/>
            <w:vAlign w:val="bottom"/>
          </w:tcPr>
          <w:p w14:paraId="774712D6" w14:textId="3D2B5CAC" w:rsidR="00271E37" w:rsidRPr="00B8452B" w:rsidRDefault="00271E37">
            <w:r w:rsidRPr="00A56D93">
              <w:t>8,</w:t>
            </w:r>
            <w:r w:rsidR="009E1E6D">
              <w:t xml:space="preserve"> </w:t>
            </w:r>
            <w:r w:rsidRPr="00A56D93">
              <w:t>9,</w:t>
            </w:r>
            <w:r w:rsidR="009E1E6D">
              <w:t xml:space="preserve"> </w:t>
            </w:r>
            <w:r w:rsidRPr="00A56D93">
              <w:t>10</w:t>
            </w:r>
          </w:p>
        </w:tc>
        <w:tc>
          <w:tcPr>
            <w:tcW w:w="1134" w:type="dxa"/>
            <w:vAlign w:val="center"/>
          </w:tcPr>
          <w:p w14:paraId="7CAA88C2" w14:textId="77777777" w:rsidR="00271E37" w:rsidRPr="00B609D4" w:rsidRDefault="00271E37">
            <w:pPr>
              <w:rPr>
                <w:b/>
                <w:bCs/>
              </w:rPr>
            </w:pPr>
            <w:r w:rsidRPr="00123570">
              <w:rPr>
                <w:rFonts w:cs="Arial"/>
                <w:b/>
                <w:bCs/>
                <w:color w:val="000000"/>
                <w:szCs w:val="16"/>
              </w:rPr>
              <w:t xml:space="preserve">1,504 </w:t>
            </w:r>
          </w:p>
        </w:tc>
        <w:tc>
          <w:tcPr>
            <w:tcW w:w="1134" w:type="dxa"/>
            <w:vAlign w:val="center"/>
          </w:tcPr>
          <w:p w14:paraId="354D85C5" w14:textId="77777777" w:rsidR="00271E37" w:rsidRPr="007E7D40" w:rsidRDefault="00271E37">
            <w:r>
              <w:rPr>
                <w:rFonts w:cs="Arial"/>
                <w:color w:val="000000"/>
                <w:szCs w:val="16"/>
              </w:rPr>
              <w:t xml:space="preserve">5,485 </w:t>
            </w:r>
          </w:p>
        </w:tc>
      </w:tr>
      <w:tr w:rsidR="00271E37" w:rsidRPr="00022AA5" w14:paraId="2F755D69" w14:textId="77777777">
        <w:tc>
          <w:tcPr>
            <w:tcW w:w="6237" w:type="dxa"/>
          </w:tcPr>
          <w:p w14:paraId="11C66D2F" w14:textId="77777777" w:rsidR="00271E37" w:rsidRPr="00022AA5" w:rsidRDefault="00271E37">
            <w:pPr>
              <w:jc w:val="left"/>
            </w:pPr>
            <w:r w:rsidRPr="00022AA5">
              <w:t>Goodwill impairment</w:t>
            </w:r>
          </w:p>
        </w:tc>
        <w:tc>
          <w:tcPr>
            <w:tcW w:w="1134" w:type="dxa"/>
          </w:tcPr>
          <w:p w14:paraId="0457590D" w14:textId="77777777" w:rsidR="00271E37" w:rsidRPr="00022AA5" w:rsidRDefault="00271E37">
            <w:r w:rsidRPr="00022AA5">
              <w:t>9</w:t>
            </w:r>
          </w:p>
        </w:tc>
        <w:tc>
          <w:tcPr>
            <w:tcW w:w="1134" w:type="dxa"/>
            <w:vAlign w:val="center"/>
          </w:tcPr>
          <w:p w14:paraId="26000B4F" w14:textId="77777777" w:rsidR="00271E37" w:rsidRPr="00B609D4" w:rsidRDefault="00271E37">
            <w:pPr>
              <w:rPr>
                <w:b/>
                <w:bCs/>
              </w:rPr>
            </w:pPr>
            <w:r w:rsidRPr="00123570">
              <w:rPr>
                <w:rFonts w:cs="Arial"/>
                <w:b/>
                <w:bCs/>
                <w:color w:val="000000"/>
                <w:szCs w:val="16"/>
              </w:rPr>
              <w:t xml:space="preserve"> - </w:t>
            </w:r>
          </w:p>
        </w:tc>
        <w:tc>
          <w:tcPr>
            <w:tcW w:w="1134" w:type="dxa"/>
            <w:vAlign w:val="center"/>
          </w:tcPr>
          <w:p w14:paraId="6ABEA964" w14:textId="77777777" w:rsidR="00271E37" w:rsidRPr="007E7D40" w:rsidRDefault="00271E37">
            <w:r>
              <w:rPr>
                <w:rFonts w:cs="Arial"/>
                <w:color w:val="000000"/>
                <w:szCs w:val="16"/>
              </w:rPr>
              <w:t xml:space="preserve">37,760 </w:t>
            </w:r>
          </w:p>
        </w:tc>
      </w:tr>
      <w:tr w:rsidR="00271E37" w:rsidRPr="00022AA5" w14:paraId="45219FED" w14:textId="77777777">
        <w:tc>
          <w:tcPr>
            <w:tcW w:w="6237" w:type="dxa"/>
          </w:tcPr>
          <w:p w14:paraId="448D5731" w14:textId="31511536" w:rsidR="00271E37" w:rsidRPr="00022AA5" w:rsidRDefault="00271E37">
            <w:pPr>
              <w:jc w:val="left"/>
            </w:pPr>
            <w:r w:rsidRPr="007571A6">
              <w:t xml:space="preserve">Finance </w:t>
            </w:r>
            <w:r w:rsidR="003B79D2">
              <w:t>cost</w:t>
            </w:r>
          </w:p>
        </w:tc>
        <w:tc>
          <w:tcPr>
            <w:tcW w:w="1134" w:type="dxa"/>
          </w:tcPr>
          <w:p w14:paraId="7D56C8AA" w14:textId="77777777" w:rsidR="00271E37" w:rsidRPr="00022AA5" w:rsidRDefault="00271E37">
            <w:r w:rsidRPr="00022AA5">
              <w:t>6</w:t>
            </w:r>
          </w:p>
        </w:tc>
        <w:tc>
          <w:tcPr>
            <w:tcW w:w="1134" w:type="dxa"/>
            <w:vAlign w:val="center"/>
          </w:tcPr>
          <w:p w14:paraId="055D281C" w14:textId="77777777" w:rsidR="00271E37" w:rsidRPr="00B609D4" w:rsidRDefault="00271E37">
            <w:pPr>
              <w:rPr>
                <w:b/>
                <w:bCs/>
              </w:rPr>
            </w:pPr>
            <w:r w:rsidRPr="00123570">
              <w:rPr>
                <w:rFonts w:cs="Arial"/>
                <w:b/>
                <w:bCs/>
                <w:color w:val="000000"/>
                <w:szCs w:val="16"/>
              </w:rPr>
              <w:t xml:space="preserve">2,126 </w:t>
            </w:r>
          </w:p>
        </w:tc>
        <w:tc>
          <w:tcPr>
            <w:tcW w:w="1134" w:type="dxa"/>
            <w:vAlign w:val="center"/>
          </w:tcPr>
          <w:p w14:paraId="61D86182" w14:textId="77777777" w:rsidR="00271E37" w:rsidRPr="007E7D40" w:rsidRDefault="00271E37">
            <w:r>
              <w:rPr>
                <w:rFonts w:cs="Arial"/>
                <w:color w:val="000000"/>
                <w:szCs w:val="16"/>
              </w:rPr>
              <w:t xml:space="preserve">1,517 </w:t>
            </w:r>
          </w:p>
        </w:tc>
      </w:tr>
      <w:tr w:rsidR="00271E37" w:rsidRPr="00022AA5" w14:paraId="6F29046F" w14:textId="77777777">
        <w:tc>
          <w:tcPr>
            <w:tcW w:w="6237" w:type="dxa"/>
          </w:tcPr>
          <w:p w14:paraId="36012FEC" w14:textId="0E405B0B" w:rsidR="00271E37" w:rsidRPr="00022AA5" w:rsidRDefault="00271E37">
            <w:pPr>
              <w:jc w:val="left"/>
            </w:pPr>
            <w:r w:rsidRPr="00022AA5">
              <w:t xml:space="preserve">Income tax </w:t>
            </w:r>
            <w:r>
              <w:t>charge</w:t>
            </w:r>
          </w:p>
        </w:tc>
        <w:tc>
          <w:tcPr>
            <w:tcW w:w="1134" w:type="dxa"/>
          </w:tcPr>
          <w:p w14:paraId="66984EFE" w14:textId="77777777" w:rsidR="00271E37" w:rsidRPr="00022AA5" w:rsidRDefault="00271E37">
            <w:r w:rsidRPr="00022AA5">
              <w:t>7</w:t>
            </w:r>
          </w:p>
        </w:tc>
        <w:tc>
          <w:tcPr>
            <w:tcW w:w="1134" w:type="dxa"/>
            <w:vAlign w:val="center"/>
          </w:tcPr>
          <w:p w14:paraId="7C1B5371" w14:textId="77777777" w:rsidR="00271E37" w:rsidRPr="00B609D4" w:rsidRDefault="00271E37">
            <w:pPr>
              <w:rPr>
                <w:b/>
                <w:bCs/>
              </w:rPr>
            </w:pPr>
            <w:r w:rsidRPr="00123570">
              <w:rPr>
                <w:rFonts w:cs="Arial"/>
                <w:b/>
                <w:bCs/>
                <w:color w:val="000000"/>
                <w:szCs w:val="16"/>
              </w:rPr>
              <w:t xml:space="preserve">1,085 </w:t>
            </w:r>
          </w:p>
        </w:tc>
        <w:tc>
          <w:tcPr>
            <w:tcW w:w="1134" w:type="dxa"/>
            <w:vAlign w:val="center"/>
          </w:tcPr>
          <w:p w14:paraId="3F5D08D7" w14:textId="2697A014" w:rsidR="00271E37" w:rsidRPr="007E7D40" w:rsidRDefault="00271E37">
            <w:r>
              <w:rPr>
                <w:rFonts w:cs="Arial"/>
                <w:color w:val="000000"/>
                <w:szCs w:val="16"/>
              </w:rPr>
              <w:t>33,</w:t>
            </w:r>
            <w:r w:rsidR="00B54833">
              <w:rPr>
                <w:rFonts w:cs="Arial"/>
                <w:color w:val="000000"/>
                <w:szCs w:val="16"/>
              </w:rPr>
              <w:t>934</w:t>
            </w:r>
            <w:r>
              <w:rPr>
                <w:rFonts w:cs="Arial"/>
                <w:color w:val="000000"/>
                <w:szCs w:val="16"/>
              </w:rPr>
              <w:t xml:space="preserve"> </w:t>
            </w:r>
          </w:p>
        </w:tc>
      </w:tr>
      <w:tr w:rsidR="00271E37" w:rsidRPr="00022AA5" w14:paraId="50DA495A" w14:textId="77777777">
        <w:tc>
          <w:tcPr>
            <w:tcW w:w="6237" w:type="dxa"/>
          </w:tcPr>
          <w:p w14:paraId="139BF87C" w14:textId="3FD730FB" w:rsidR="00271E37" w:rsidRPr="00022AA5" w:rsidRDefault="00271E37">
            <w:pPr>
              <w:jc w:val="left"/>
            </w:pPr>
            <w:r>
              <w:t>Profit</w:t>
            </w:r>
            <w:r w:rsidRPr="00022AA5">
              <w:t xml:space="preserve"> on disposal of property, plant and equipment</w:t>
            </w:r>
          </w:p>
        </w:tc>
        <w:tc>
          <w:tcPr>
            <w:tcW w:w="1134" w:type="dxa"/>
          </w:tcPr>
          <w:p w14:paraId="61985EB9" w14:textId="77777777" w:rsidR="00271E37" w:rsidRPr="00022AA5" w:rsidRDefault="00271E37"/>
        </w:tc>
        <w:tc>
          <w:tcPr>
            <w:tcW w:w="1134" w:type="dxa"/>
            <w:vAlign w:val="center"/>
          </w:tcPr>
          <w:p w14:paraId="2D76C975" w14:textId="77777777" w:rsidR="00271E37" w:rsidRPr="00B609D4" w:rsidRDefault="00271E37">
            <w:pPr>
              <w:rPr>
                <w:b/>
                <w:bCs/>
              </w:rPr>
            </w:pPr>
            <w:r w:rsidRPr="00123570">
              <w:rPr>
                <w:rFonts w:cs="Arial"/>
                <w:b/>
                <w:bCs/>
                <w:color w:val="000000"/>
                <w:szCs w:val="16"/>
              </w:rPr>
              <w:t>(3,554)</w:t>
            </w:r>
          </w:p>
        </w:tc>
        <w:tc>
          <w:tcPr>
            <w:tcW w:w="1134" w:type="dxa"/>
            <w:vAlign w:val="center"/>
          </w:tcPr>
          <w:p w14:paraId="411B56B6" w14:textId="77777777" w:rsidR="00271E37" w:rsidRPr="007E7D40" w:rsidRDefault="00271E37">
            <w:r>
              <w:rPr>
                <w:rFonts w:cs="Arial"/>
                <w:color w:val="000000"/>
                <w:szCs w:val="16"/>
              </w:rPr>
              <w:t>(3,562)</w:t>
            </w:r>
          </w:p>
        </w:tc>
      </w:tr>
      <w:tr w:rsidR="00271E37" w:rsidRPr="00022AA5" w14:paraId="6033DD6B" w14:textId="77777777">
        <w:tc>
          <w:tcPr>
            <w:tcW w:w="6237" w:type="dxa"/>
          </w:tcPr>
          <w:p w14:paraId="613CD53D" w14:textId="456C65A4" w:rsidR="00271E37" w:rsidRDefault="00CF5764">
            <w:pPr>
              <w:jc w:val="left"/>
            </w:pPr>
            <w:r>
              <w:t>P</w:t>
            </w:r>
            <w:r w:rsidR="00271E37" w:rsidRPr="00E21448">
              <w:t>rofit on recycling of translation reserve</w:t>
            </w:r>
          </w:p>
        </w:tc>
        <w:tc>
          <w:tcPr>
            <w:tcW w:w="1134" w:type="dxa"/>
          </w:tcPr>
          <w:p w14:paraId="75CD734D" w14:textId="77777777" w:rsidR="00271E37" w:rsidRPr="00022AA5" w:rsidRDefault="00271E37">
            <w:pPr>
              <w:jc w:val="left"/>
            </w:pPr>
          </w:p>
        </w:tc>
        <w:tc>
          <w:tcPr>
            <w:tcW w:w="1134" w:type="dxa"/>
            <w:vAlign w:val="center"/>
          </w:tcPr>
          <w:p w14:paraId="65CD519F" w14:textId="77777777" w:rsidR="00271E37" w:rsidRPr="00123570" w:rsidRDefault="00271E37">
            <w:pPr>
              <w:rPr>
                <w:rFonts w:cs="Arial"/>
                <w:b/>
                <w:bCs/>
                <w:color w:val="000000"/>
                <w:szCs w:val="16"/>
              </w:rPr>
            </w:pPr>
            <w:r w:rsidRPr="00123570">
              <w:rPr>
                <w:rFonts w:cs="Arial"/>
                <w:b/>
                <w:bCs/>
                <w:color w:val="000000"/>
                <w:szCs w:val="16"/>
              </w:rPr>
              <w:t>(405)</w:t>
            </w:r>
          </w:p>
        </w:tc>
        <w:tc>
          <w:tcPr>
            <w:tcW w:w="1134" w:type="dxa"/>
            <w:vAlign w:val="center"/>
          </w:tcPr>
          <w:p w14:paraId="10C13C52" w14:textId="77777777" w:rsidR="00271E37" w:rsidRDefault="00271E37">
            <w:pPr>
              <w:rPr>
                <w:rFonts w:cs="Arial"/>
                <w:color w:val="000000"/>
                <w:szCs w:val="16"/>
              </w:rPr>
            </w:pPr>
            <w:r>
              <w:rPr>
                <w:rFonts w:cs="Arial"/>
                <w:color w:val="000000"/>
                <w:szCs w:val="16"/>
              </w:rPr>
              <w:t>-</w:t>
            </w:r>
          </w:p>
        </w:tc>
      </w:tr>
      <w:tr w:rsidR="00271E37" w:rsidRPr="00022AA5" w14:paraId="18CA66AA" w14:textId="77777777">
        <w:tc>
          <w:tcPr>
            <w:tcW w:w="6237" w:type="dxa"/>
          </w:tcPr>
          <w:p w14:paraId="40C24496" w14:textId="77777777" w:rsidR="00271E37" w:rsidRPr="00022AA5" w:rsidRDefault="00271E37">
            <w:pPr>
              <w:jc w:val="left"/>
            </w:pPr>
            <w:r>
              <w:t>P</w:t>
            </w:r>
            <w:r w:rsidRPr="00022AA5">
              <w:t xml:space="preserve">rofit on disposal of </w:t>
            </w:r>
            <w:r>
              <w:t>leases</w:t>
            </w:r>
          </w:p>
        </w:tc>
        <w:tc>
          <w:tcPr>
            <w:tcW w:w="1134" w:type="dxa"/>
          </w:tcPr>
          <w:p w14:paraId="77CE0BDA" w14:textId="77777777" w:rsidR="00271E37" w:rsidRDefault="00271E37"/>
        </w:tc>
        <w:tc>
          <w:tcPr>
            <w:tcW w:w="1134" w:type="dxa"/>
            <w:vAlign w:val="center"/>
          </w:tcPr>
          <w:p w14:paraId="36A99079" w14:textId="77777777" w:rsidR="00271E37" w:rsidRPr="00B609D4" w:rsidRDefault="00271E37">
            <w:pPr>
              <w:rPr>
                <w:b/>
                <w:bCs/>
              </w:rPr>
            </w:pPr>
            <w:r w:rsidRPr="00123570">
              <w:rPr>
                <w:rFonts w:cs="Arial"/>
                <w:b/>
                <w:bCs/>
                <w:color w:val="000000"/>
                <w:szCs w:val="16"/>
              </w:rPr>
              <w:t xml:space="preserve"> - </w:t>
            </w:r>
          </w:p>
        </w:tc>
        <w:tc>
          <w:tcPr>
            <w:tcW w:w="1134" w:type="dxa"/>
            <w:vAlign w:val="center"/>
          </w:tcPr>
          <w:p w14:paraId="2218498D" w14:textId="77777777" w:rsidR="00271E37" w:rsidRPr="007E7D40" w:rsidRDefault="00271E37">
            <w:r>
              <w:rPr>
                <w:rFonts w:cs="Arial"/>
                <w:color w:val="000000"/>
                <w:szCs w:val="16"/>
              </w:rPr>
              <w:t>(55)</w:t>
            </w:r>
          </w:p>
        </w:tc>
      </w:tr>
      <w:tr w:rsidR="00271E37" w:rsidRPr="00022AA5" w14:paraId="4255AA89" w14:textId="77777777">
        <w:tc>
          <w:tcPr>
            <w:tcW w:w="6237" w:type="dxa"/>
          </w:tcPr>
          <w:p w14:paraId="27D14354" w14:textId="77777777" w:rsidR="00271E37" w:rsidRPr="00022AA5" w:rsidRDefault="00271E37">
            <w:pPr>
              <w:jc w:val="left"/>
            </w:pPr>
            <w:r w:rsidRPr="00022AA5">
              <w:t>Equity-settled share-based payments – expense</w:t>
            </w:r>
          </w:p>
        </w:tc>
        <w:tc>
          <w:tcPr>
            <w:tcW w:w="1134" w:type="dxa"/>
          </w:tcPr>
          <w:p w14:paraId="2210B081" w14:textId="77777777" w:rsidR="00271E37" w:rsidRPr="00022AA5" w:rsidRDefault="00271E37">
            <w:r w:rsidRPr="00022AA5">
              <w:t>23</w:t>
            </w:r>
          </w:p>
        </w:tc>
        <w:tc>
          <w:tcPr>
            <w:tcW w:w="1134" w:type="dxa"/>
            <w:vAlign w:val="center"/>
          </w:tcPr>
          <w:p w14:paraId="7550072C" w14:textId="77777777" w:rsidR="00271E37" w:rsidRPr="00B609D4" w:rsidRDefault="00271E37">
            <w:pPr>
              <w:rPr>
                <w:b/>
                <w:bCs/>
              </w:rPr>
            </w:pPr>
            <w:r w:rsidRPr="00123570">
              <w:rPr>
                <w:rFonts w:cs="Arial"/>
                <w:b/>
                <w:bCs/>
                <w:color w:val="000000"/>
                <w:szCs w:val="16"/>
              </w:rPr>
              <w:t xml:space="preserve">628 </w:t>
            </w:r>
          </w:p>
        </w:tc>
        <w:tc>
          <w:tcPr>
            <w:tcW w:w="1134" w:type="dxa"/>
            <w:vAlign w:val="center"/>
          </w:tcPr>
          <w:p w14:paraId="1A3019AC" w14:textId="77777777" w:rsidR="00271E37" w:rsidRPr="007E7D40" w:rsidRDefault="00271E37">
            <w:r>
              <w:rPr>
                <w:rFonts w:cs="Arial"/>
                <w:color w:val="000000"/>
                <w:szCs w:val="16"/>
              </w:rPr>
              <w:t xml:space="preserve">686 </w:t>
            </w:r>
          </w:p>
        </w:tc>
      </w:tr>
      <w:tr w:rsidR="00271E37" w:rsidRPr="00022AA5" w14:paraId="3E088E35" w14:textId="77777777">
        <w:tc>
          <w:tcPr>
            <w:tcW w:w="6237" w:type="dxa"/>
            <w:tcBorders>
              <w:top w:val="single" w:sz="4" w:space="0" w:color="000000" w:themeColor="text1"/>
            </w:tcBorders>
          </w:tcPr>
          <w:p w14:paraId="6B7C1572" w14:textId="77777777" w:rsidR="00271E37" w:rsidRPr="00B51E97" w:rsidRDefault="00271E37">
            <w:pPr>
              <w:jc w:val="left"/>
              <w:rPr>
                <w:b/>
                <w:bCs/>
              </w:rPr>
            </w:pPr>
            <w:r w:rsidRPr="00B51E97">
              <w:rPr>
                <w:b/>
                <w:bCs/>
              </w:rPr>
              <w:t>Operating profit after adjustments for non-cash items</w:t>
            </w:r>
          </w:p>
        </w:tc>
        <w:tc>
          <w:tcPr>
            <w:tcW w:w="1134" w:type="dxa"/>
            <w:tcBorders>
              <w:top w:val="single" w:sz="4" w:space="0" w:color="000000" w:themeColor="text1"/>
            </w:tcBorders>
          </w:tcPr>
          <w:p w14:paraId="124FA1CA" w14:textId="77777777" w:rsidR="00271E37" w:rsidRPr="00022AA5" w:rsidRDefault="00271E37"/>
        </w:tc>
        <w:tc>
          <w:tcPr>
            <w:tcW w:w="1134" w:type="dxa"/>
            <w:tcBorders>
              <w:top w:val="single" w:sz="4" w:space="0" w:color="000000" w:themeColor="text1"/>
            </w:tcBorders>
            <w:vAlign w:val="center"/>
          </w:tcPr>
          <w:p w14:paraId="13FE811A" w14:textId="77777777" w:rsidR="00271E37" w:rsidRPr="00B609D4" w:rsidRDefault="00271E37">
            <w:pPr>
              <w:rPr>
                <w:b/>
                <w:bCs/>
              </w:rPr>
            </w:pPr>
            <w:r w:rsidRPr="00074387">
              <w:rPr>
                <w:rFonts w:cs="Arial"/>
                <w:b/>
                <w:bCs/>
                <w:color w:val="000000"/>
                <w:szCs w:val="16"/>
              </w:rPr>
              <w:t>6,982</w:t>
            </w:r>
          </w:p>
        </w:tc>
        <w:tc>
          <w:tcPr>
            <w:tcW w:w="1134" w:type="dxa"/>
            <w:tcBorders>
              <w:top w:val="single" w:sz="4" w:space="0" w:color="000000" w:themeColor="text1"/>
            </w:tcBorders>
            <w:vAlign w:val="center"/>
          </w:tcPr>
          <w:p w14:paraId="25AB7732" w14:textId="21E4DAC3" w:rsidR="00271E37" w:rsidRPr="007E7D40" w:rsidRDefault="005B116B">
            <w:pPr>
              <w:rPr>
                <w:b/>
                <w:bCs/>
              </w:rPr>
            </w:pPr>
            <w:r>
              <w:rPr>
                <w:rFonts w:cs="Arial"/>
                <w:b/>
                <w:bCs/>
                <w:color w:val="000000"/>
                <w:szCs w:val="16"/>
              </w:rPr>
              <w:t>20,052</w:t>
            </w:r>
            <w:r w:rsidR="00271E37">
              <w:rPr>
                <w:rFonts w:cs="Arial"/>
                <w:b/>
                <w:bCs/>
                <w:color w:val="000000"/>
                <w:szCs w:val="16"/>
              </w:rPr>
              <w:t xml:space="preserve"> </w:t>
            </w:r>
          </w:p>
        </w:tc>
      </w:tr>
      <w:tr w:rsidR="00271E37" w:rsidRPr="00022AA5" w14:paraId="295E1D4E" w14:textId="77777777">
        <w:tc>
          <w:tcPr>
            <w:tcW w:w="6237" w:type="dxa"/>
          </w:tcPr>
          <w:p w14:paraId="6944674F" w14:textId="77777777" w:rsidR="00271E37" w:rsidRPr="00022AA5" w:rsidRDefault="00271E37">
            <w:pPr>
              <w:jc w:val="left"/>
            </w:pPr>
            <w:r w:rsidRPr="00022AA5">
              <w:t>Change in trade and other receivables</w:t>
            </w:r>
          </w:p>
        </w:tc>
        <w:tc>
          <w:tcPr>
            <w:tcW w:w="1134" w:type="dxa"/>
          </w:tcPr>
          <w:p w14:paraId="003C3CA9" w14:textId="77777777" w:rsidR="00271E37" w:rsidRPr="00022AA5" w:rsidRDefault="00271E37"/>
        </w:tc>
        <w:tc>
          <w:tcPr>
            <w:tcW w:w="1134" w:type="dxa"/>
            <w:vAlign w:val="center"/>
          </w:tcPr>
          <w:p w14:paraId="21EFD5A5" w14:textId="77777777" w:rsidR="00271E37" w:rsidRPr="00B609D4" w:rsidRDefault="00271E37">
            <w:pPr>
              <w:rPr>
                <w:b/>
                <w:bCs/>
              </w:rPr>
            </w:pPr>
            <w:r w:rsidRPr="00B609D4">
              <w:rPr>
                <w:rFonts w:cs="Arial"/>
                <w:b/>
                <w:bCs/>
                <w:color w:val="000000"/>
                <w:szCs w:val="16"/>
              </w:rPr>
              <w:t xml:space="preserve">11,348 </w:t>
            </w:r>
          </w:p>
        </w:tc>
        <w:tc>
          <w:tcPr>
            <w:tcW w:w="1134" w:type="dxa"/>
            <w:vAlign w:val="center"/>
          </w:tcPr>
          <w:p w14:paraId="08E3E1E7" w14:textId="77777777" w:rsidR="00271E37" w:rsidRPr="007E7D40" w:rsidRDefault="00271E37">
            <w:pPr>
              <w:rPr>
                <w:b/>
                <w:bCs/>
              </w:rPr>
            </w:pPr>
            <w:r>
              <w:rPr>
                <w:rFonts w:cs="Arial"/>
                <w:color w:val="000000"/>
                <w:szCs w:val="16"/>
              </w:rPr>
              <w:t xml:space="preserve">2,639 </w:t>
            </w:r>
          </w:p>
        </w:tc>
      </w:tr>
      <w:tr w:rsidR="00271E37" w:rsidRPr="00022AA5" w14:paraId="712576E3" w14:textId="77777777">
        <w:tc>
          <w:tcPr>
            <w:tcW w:w="6237" w:type="dxa"/>
          </w:tcPr>
          <w:p w14:paraId="1A9710A1" w14:textId="77777777" w:rsidR="00271E37" w:rsidRPr="00022AA5" w:rsidRDefault="00271E37">
            <w:pPr>
              <w:jc w:val="left"/>
            </w:pPr>
            <w:r w:rsidRPr="00022AA5">
              <w:t>Change in inventory</w:t>
            </w:r>
          </w:p>
        </w:tc>
        <w:tc>
          <w:tcPr>
            <w:tcW w:w="1134" w:type="dxa"/>
          </w:tcPr>
          <w:p w14:paraId="3065BB6B" w14:textId="77777777" w:rsidR="00271E37" w:rsidRPr="00022AA5" w:rsidRDefault="00271E37"/>
        </w:tc>
        <w:tc>
          <w:tcPr>
            <w:tcW w:w="1134" w:type="dxa"/>
            <w:vAlign w:val="center"/>
          </w:tcPr>
          <w:p w14:paraId="49D3C3EC" w14:textId="77777777" w:rsidR="00271E37" w:rsidRPr="00B609D4" w:rsidRDefault="00271E37">
            <w:pPr>
              <w:rPr>
                <w:b/>
                <w:bCs/>
              </w:rPr>
            </w:pPr>
            <w:r w:rsidRPr="00B609D4">
              <w:rPr>
                <w:rFonts w:cs="Arial"/>
                <w:b/>
                <w:bCs/>
                <w:color w:val="000000"/>
                <w:szCs w:val="16"/>
              </w:rPr>
              <w:t xml:space="preserve">1,144 </w:t>
            </w:r>
          </w:p>
        </w:tc>
        <w:tc>
          <w:tcPr>
            <w:tcW w:w="1134" w:type="dxa"/>
            <w:vAlign w:val="center"/>
          </w:tcPr>
          <w:p w14:paraId="5C101C95" w14:textId="77777777" w:rsidR="00271E37" w:rsidRPr="007E7D40" w:rsidRDefault="00271E37">
            <w:pPr>
              <w:rPr>
                <w:b/>
                <w:bCs/>
              </w:rPr>
            </w:pPr>
            <w:r>
              <w:rPr>
                <w:rFonts w:cs="Arial"/>
                <w:color w:val="000000"/>
                <w:szCs w:val="16"/>
              </w:rPr>
              <w:t>(4,971)</w:t>
            </w:r>
          </w:p>
        </w:tc>
      </w:tr>
      <w:tr w:rsidR="00271E37" w:rsidRPr="00022AA5" w14:paraId="53C9014D" w14:textId="77777777">
        <w:tc>
          <w:tcPr>
            <w:tcW w:w="6237" w:type="dxa"/>
            <w:tcBorders>
              <w:bottom w:val="single" w:sz="4" w:space="0" w:color="000000" w:themeColor="text1"/>
            </w:tcBorders>
          </w:tcPr>
          <w:p w14:paraId="454EDED9" w14:textId="77777777" w:rsidR="00271E37" w:rsidRPr="00022AA5" w:rsidRDefault="00271E37">
            <w:pPr>
              <w:jc w:val="left"/>
            </w:pPr>
            <w:r w:rsidRPr="00022AA5">
              <w:t>Change in trade and other payables, provisions and deferred income</w:t>
            </w:r>
          </w:p>
        </w:tc>
        <w:tc>
          <w:tcPr>
            <w:tcW w:w="1134" w:type="dxa"/>
            <w:tcBorders>
              <w:bottom w:val="single" w:sz="4" w:space="0" w:color="000000" w:themeColor="text1"/>
            </w:tcBorders>
          </w:tcPr>
          <w:p w14:paraId="7DC7F263" w14:textId="77777777" w:rsidR="00271E37" w:rsidRPr="00022AA5" w:rsidRDefault="00271E37"/>
        </w:tc>
        <w:tc>
          <w:tcPr>
            <w:tcW w:w="1134" w:type="dxa"/>
            <w:tcBorders>
              <w:bottom w:val="single" w:sz="4" w:space="0" w:color="000000" w:themeColor="text1"/>
            </w:tcBorders>
            <w:vAlign w:val="center"/>
          </w:tcPr>
          <w:p w14:paraId="7AAAABB5" w14:textId="77777777" w:rsidR="00271E37" w:rsidRPr="00B609D4" w:rsidRDefault="00271E37">
            <w:pPr>
              <w:rPr>
                <w:b/>
                <w:bCs/>
              </w:rPr>
            </w:pPr>
            <w:r w:rsidRPr="00B609D4">
              <w:rPr>
                <w:rFonts w:cs="Arial"/>
                <w:b/>
                <w:bCs/>
                <w:szCs w:val="16"/>
              </w:rPr>
              <w:t>(</w:t>
            </w:r>
            <w:r>
              <w:rPr>
                <w:rFonts w:cs="Arial"/>
                <w:b/>
                <w:bCs/>
                <w:szCs w:val="16"/>
              </w:rPr>
              <w:t>13,119</w:t>
            </w:r>
            <w:r w:rsidRPr="00B609D4">
              <w:rPr>
                <w:rFonts w:cs="Arial"/>
                <w:b/>
                <w:bCs/>
                <w:szCs w:val="16"/>
              </w:rPr>
              <w:t>)</w:t>
            </w:r>
          </w:p>
        </w:tc>
        <w:tc>
          <w:tcPr>
            <w:tcW w:w="1134" w:type="dxa"/>
            <w:tcBorders>
              <w:bottom w:val="single" w:sz="4" w:space="0" w:color="000000" w:themeColor="text1"/>
            </w:tcBorders>
            <w:vAlign w:val="center"/>
          </w:tcPr>
          <w:p w14:paraId="008A46C1" w14:textId="77777777" w:rsidR="00271E37" w:rsidRPr="00E21448" w:rsidRDefault="00271E37">
            <w:r w:rsidRPr="00E21448">
              <w:rPr>
                <w:rFonts w:cs="Arial"/>
                <w:szCs w:val="16"/>
              </w:rPr>
              <w:t>(6,168)</w:t>
            </w:r>
          </w:p>
        </w:tc>
      </w:tr>
      <w:tr w:rsidR="00271E37" w:rsidRPr="00022AA5" w14:paraId="3F366009" w14:textId="77777777">
        <w:tc>
          <w:tcPr>
            <w:tcW w:w="6237" w:type="dxa"/>
            <w:tcBorders>
              <w:top w:val="single" w:sz="4" w:space="0" w:color="000000" w:themeColor="text1"/>
            </w:tcBorders>
          </w:tcPr>
          <w:p w14:paraId="6143C0BC" w14:textId="77777777" w:rsidR="00271E37" w:rsidRPr="00B51E97" w:rsidRDefault="00271E37">
            <w:pPr>
              <w:jc w:val="left"/>
              <w:rPr>
                <w:b/>
                <w:bCs/>
              </w:rPr>
            </w:pPr>
            <w:r w:rsidRPr="00B51E97">
              <w:rPr>
                <w:b/>
                <w:bCs/>
              </w:rPr>
              <w:t>Cash generated from operations</w:t>
            </w:r>
          </w:p>
        </w:tc>
        <w:tc>
          <w:tcPr>
            <w:tcW w:w="1134" w:type="dxa"/>
            <w:tcBorders>
              <w:top w:val="single" w:sz="4" w:space="0" w:color="000000" w:themeColor="text1"/>
            </w:tcBorders>
          </w:tcPr>
          <w:p w14:paraId="7F45E8D3" w14:textId="77777777" w:rsidR="00271E37" w:rsidRPr="00022AA5" w:rsidRDefault="00271E37"/>
        </w:tc>
        <w:tc>
          <w:tcPr>
            <w:tcW w:w="1134" w:type="dxa"/>
            <w:tcBorders>
              <w:top w:val="single" w:sz="4" w:space="0" w:color="000000" w:themeColor="text1"/>
            </w:tcBorders>
            <w:vAlign w:val="center"/>
          </w:tcPr>
          <w:p w14:paraId="3801E282" w14:textId="77777777" w:rsidR="00271E37" w:rsidRPr="00B609D4" w:rsidRDefault="00271E37">
            <w:pPr>
              <w:rPr>
                <w:b/>
                <w:bCs/>
              </w:rPr>
            </w:pPr>
            <w:r w:rsidRPr="00B609D4">
              <w:rPr>
                <w:rFonts w:cs="Arial"/>
                <w:b/>
                <w:bCs/>
                <w:color w:val="000000"/>
                <w:szCs w:val="16"/>
              </w:rPr>
              <w:t>6,</w:t>
            </w:r>
            <w:r>
              <w:rPr>
                <w:rFonts w:cs="Arial"/>
                <w:b/>
                <w:bCs/>
                <w:color w:val="000000"/>
                <w:szCs w:val="16"/>
              </w:rPr>
              <w:t>355</w:t>
            </w:r>
            <w:r w:rsidRPr="00B609D4">
              <w:rPr>
                <w:rFonts w:cs="Arial"/>
                <w:b/>
                <w:bCs/>
                <w:color w:val="000000"/>
                <w:szCs w:val="16"/>
              </w:rPr>
              <w:t xml:space="preserve"> </w:t>
            </w:r>
          </w:p>
        </w:tc>
        <w:tc>
          <w:tcPr>
            <w:tcW w:w="1134" w:type="dxa"/>
            <w:tcBorders>
              <w:top w:val="single" w:sz="4" w:space="0" w:color="000000" w:themeColor="text1"/>
            </w:tcBorders>
            <w:vAlign w:val="center"/>
          </w:tcPr>
          <w:p w14:paraId="3B5B78CF" w14:textId="63A926DB" w:rsidR="00271E37" w:rsidRPr="008424B2" w:rsidRDefault="00271E37">
            <w:r>
              <w:rPr>
                <w:rFonts w:cs="Arial"/>
                <w:color w:val="000000"/>
                <w:szCs w:val="16"/>
              </w:rPr>
              <w:t>11,</w:t>
            </w:r>
            <w:r w:rsidR="00B252B3">
              <w:rPr>
                <w:rFonts w:cs="Arial"/>
                <w:color w:val="000000"/>
                <w:szCs w:val="16"/>
              </w:rPr>
              <w:t>552</w:t>
            </w:r>
            <w:r>
              <w:rPr>
                <w:rFonts w:cs="Arial"/>
                <w:color w:val="000000"/>
                <w:szCs w:val="16"/>
              </w:rPr>
              <w:t xml:space="preserve"> </w:t>
            </w:r>
          </w:p>
        </w:tc>
      </w:tr>
      <w:tr w:rsidR="00271E37" w:rsidRPr="00022AA5" w14:paraId="026024DC" w14:textId="77777777">
        <w:tc>
          <w:tcPr>
            <w:tcW w:w="6237" w:type="dxa"/>
          </w:tcPr>
          <w:p w14:paraId="240F1402" w14:textId="77777777" w:rsidR="00271E37" w:rsidRPr="00022AA5" w:rsidRDefault="00271E37">
            <w:pPr>
              <w:jc w:val="left"/>
            </w:pPr>
            <w:r w:rsidRPr="00022AA5">
              <w:t>Tax paid</w:t>
            </w:r>
          </w:p>
        </w:tc>
        <w:tc>
          <w:tcPr>
            <w:tcW w:w="1134" w:type="dxa"/>
          </w:tcPr>
          <w:p w14:paraId="717F694A" w14:textId="77777777" w:rsidR="00271E37" w:rsidRPr="00022AA5" w:rsidRDefault="00271E37"/>
        </w:tc>
        <w:tc>
          <w:tcPr>
            <w:tcW w:w="1134" w:type="dxa"/>
            <w:vAlign w:val="center"/>
          </w:tcPr>
          <w:p w14:paraId="3FF7308C" w14:textId="77777777" w:rsidR="00271E37" w:rsidRPr="00B609D4" w:rsidRDefault="00271E37">
            <w:pPr>
              <w:rPr>
                <w:b/>
                <w:bCs/>
              </w:rPr>
            </w:pPr>
            <w:r w:rsidRPr="00B609D4">
              <w:rPr>
                <w:rFonts w:cs="Arial"/>
                <w:b/>
                <w:bCs/>
                <w:color w:val="000000"/>
                <w:szCs w:val="16"/>
              </w:rPr>
              <w:t>(3,794)</w:t>
            </w:r>
          </w:p>
        </w:tc>
        <w:tc>
          <w:tcPr>
            <w:tcW w:w="1134" w:type="dxa"/>
            <w:vAlign w:val="center"/>
          </w:tcPr>
          <w:p w14:paraId="090E3DA9" w14:textId="77777777" w:rsidR="00271E37" w:rsidRPr="008424B2" w:rsidRDefault="00271E37">
            <w:r>
              <w:rPr>
                <w:rFonts w:cs="Arial"/>
                <w:color w:val="000000"/>
                <w:szCs w:val="16"/>
              </w:rPr>
              <w:t>(7,502)</w:t>
            </w:r>
          </w:p>
        </w:tc>
      </w:tr>
      <w:tr w:rsidR="00271E37" w:rsidRPr="00022AA5" w14:paraId="07DA9BA5" w14:textId="77777777">
        <w:tc>
          <w:tcPr>
            <w:tcW w:w="6237" w:type="dxa"/>
            <w:tcBorders>
              <w:bottom w:val="single" w:sz="4" w:space="0" w:color="000000" w:themeColor="text1"/>
            </w:tcBorders>
          </w:tcPr>
          <w:p w14:paraId="3D72C2B2" w14:textId="77777777" w:rsidR="00271E37" w:rsidRPr="00022AA5" w:rsidRDefault="00271E37">
            <w:pPr>
              <w:jc w:val="left"/>
            </w:pPr>
            <w:r w:rsidRPr="00022AA5">
              <w:t>Interest and similar charges paid</w:t>
            </w:r>
          </w:p>
        </w:tc>
        <w:tc>
          <w:tcPr>
            <w:tcW w:w="1134" w:type="dxa"/>
            <w:tcBorders>
              <w:bottom w:val="single" w:sz="4" w:space="0" w:color="000000" w:themeColor="text1"/>
            </w:tcBorders>
          </w:tcPr>
          <w:p w14:paraId="76A3F809" w14:textId="77777777" w:rsidR="00271E37" w:rsidRPr="00022AA5" w:rsidRDefault="00271E37"/>
        </w:tc>
        <w:tc>
          <w:tcPr>
            <w:tcW w:w="1134" w:type="dxa"/>
            <w:tcBorders>
              <w:bottom w:val="single" w:sz="4" w:space="0" w:color="000000" w:themeColor="text1"/>
            </w:tcBorders>
            <w:vAlign w:val="center"/>
          </w:tcPr>
          <w:p w14:paraId="0B6F6C28" w14:textId="77777777" w:rsidR="00271E37" w:rsidRPr="00B609D4" w:rsidRDefault="00271E37">
            <w:pPr>
              <w:rPr>
                <w:b/>
                <w:bCs/>
              </w:rPr>
            </w:pPr>
            <w:r w:rsidRPr="00B609D4">
              <w:rPr>
                <w:rFonts w:cs="Arial"/>
                <w:b/>
                <w:bCs/>
                <w:color w:val="000000"/>
                <w:szCs w:val="16"/>
              </w:rPr>
              <w:t>(844)</w:t>
            </w:r>
          </w:p>
        </w:tc>
        <w:tc>
          <w:tcPr>
            <w:tcW w:w="1134" w:type="dxa"/>
            <w:tcBorders>
              <w:bottom w:val="single" w:sz="4" w:space="0" w:color="000000" w:themeColor="text1"/>
            </w:tcBorders>
            <w:vAlign w:val="center"/>
          </w:tcPr>
          <w:p w14:paraId="4C94E9D0" w14:textId="77777777" w:rsidR="00271E37" w:rsidRPr="008424B2" w:rsidRDefault="00271E37">
            <w:r>
              <w:rPr>
                <w:rFonts w:cs="Arial"/>
                <w:color w:val="000000"/>
                <w:szCs w:val="16"/>
              </w:rPr>
              <w:t>(2,206)</w:t>
            </w:r>
          </w:p>
        </w:tc>
      </w:tr>
      <w:tr w:rsidR="00271E37" w:rsidRPr="00022AA5" w14:paraId="7A3FDDCA" w14:textId="77777777">
        <w:tc>
          <w:tcPr>
            <w:tcW w:w="6237" w:type="dxa"/>
            <w:tcBorders>
              <w:top w:val="single" w:sz="4" w:space="0" w:color="000000" w:themeColor="text1"/>
              <w:bottom w:val="single" w:sz="4" w:space="0" w:color="000000" w:themeColor="text1"/>
            </w:tcBorders>
          </w:tcPr>
          <w:p w14:paraId="6891BC91" w14:textId="77777777" w:rsidR="00271E37" w:rsidRPr="00B51E97" w:rsidRDefault="00271E37">
            <w:pPr>
              <w:jc w:val="left"/>
              <w:rPr>
                <w:b/>
                <w:bCs/>
              </w:rPr>
            </w:pPr>
            <w:r w:rsidRPr="00B51E97">
              <w:rPr>
                <w:b/>
                <w:bCs/>
              </w:rPr>
              <w:t>Net cash inflow from operating activities</w:t>
            </w:r>
          </w:p>
        </w:tc>
        <w:tc>
          <w:tcPr>
            <w:tcW w:w="1134" w:type="dxa"/>
            <w:tcBorders>
              <w:top w:val="single" w:sz="4" w:space="0" w:color="000000" w:themeColor="text1"/>
              <w:bottom w:val="single" w:sz="4" w:space="0" w:color="000000" w:themeColor="text1"/>
            </w:tcBorders>
          </w:tcPr>
          <w:p w14:paraId="39FBE649" w14:textId="77777777" w:rsidR="00271E37" w:rsidRPr="00022AA5" w:rsidRDefault="00271E37"/>
        </w:tc>
        <w:tc>
          <w:tcPr>
            <w:tcW w:w="1134" w:type="dxa"/>
            <w:tcBorders>
              <w:top w:val="single" w:sz="4" w:space="0" w:color="000000" w:themeColor="text1"/>
              <w:bottom w:val="single" w:sz="4" w:space="0" w:color="000000" w:themeColor="text1"/>
            </w:tcBorders>
            <w:vAlign w:val="center"/>
          </w:tcPr>
          <w:p w14:paraId="0FBE4FAC" w14:textId="77777777" w:rsidR="00271E37" w:rsidRPr="00B609D4" w:rsidRDefault="00271E37">
            <w:pPr>
              <w:rPr>
                <w:b/>
                <w:bCs/>
              </w:rPr>
            </w:pPr>
            <w:r>
              <w:rPr>
                <w:rFonts w:cs="Arial"/>
                <w:b/>
                <w:bCs/>
                <w:color w:val="000000"/>
                <w:szCs w:val="16"/>
              </w:rPr>
              <w:t>1,717</w:t>
            </w:r>
            <w:r w:rsidRPr="00B609D4">
              <w:rPr>
                <w:rFonts w:cs="Arial"/>
                <w:b/>
                <w:bCs/>
                <w:color w:val="000000"/>
                <w:szCs w:val="16"/>
              </w:rPr>
              <w:t xml:space="preserve"> </w:t>
            </w:r>
          </w:p>
        </w:tc>
        <w:tc>
          <w:tcPr>
            <w:tcW w:w="1134" w:type="dxa"/>
            <w:tcBorders>
              <w:top w:val="single" w:sz="4" w:space="0" w:color="000000" w:themeColor="text1"/>
              <w:bottom w:val="single" w:sz="4" w:space="0" w:color="000000" w:themeColor="text1"/>
            </w:tcBorders>
            <w:vAlign w:val="center"/>
          </w:tcPr>
          <w:p w14:paraId="13032219" w14:textId="6B448C5A" w:rsidR="00271E37" w:rsidRPr="008424B2" w:rsidRDefault="00271E37">
            <w:r>
              <w:rPr>
                <w:rFonts w:cs="Arial"/>
                <w:color w:val="000000"/>
                <w:szCs w:val="16"/>
              </w:rPr>
              <w:t>1,</w:t>
            </w:r>
            <w:r w:rsidR="001E65B1">
              <w:rPr>
                <w:rFonts w:cs="Arial"/>
                <w:color w:val="000000"/>
                <w:szCs w:val="16"/>
              </w:rPr>
              <w:t>844</w:t>
            </w:r>
            <w:r>
              <w:rPr>
                <w:rFonts w:cs="Arial"/>
                <w:color w:val="000000"/>
                <w:szCs w:val="16"/>
              </w:rPr>
              <w:t xml:space="preserve"> </w:t>
            </w:r>
          </w:p>
        </w:tc>
      </w:tr>
      <w:tr w:rsidR="00271E37" w:rsidRPr="00022AA5" w14:paraId="36FDDFC4" w14:textId="77777777">
        <w:tc>
          <w:tcPr>
            <w:tcW w:w="6237" w:type="dxa"/>
            <w:tcBorders>
              <w:top w:val="single" w:sz="4" w:space="0" w:color="000000" w:themeColor="text1"/>
            </w:tcBorders>
          </w:tcPr>
          <w:p w14:paraId="7F2C7DDF" w14:textId="77777777" w:rsidR="00271E37" w:rsidRPr="00B51E97" w:rsidRDefault="00271E37">
            <w:pPr>
              <w:jc w:val="left"/>
              <w:rPr>
                <w:b/>
                <w:bCs/>
              </w:rPr>
            </w:pPr>
            <w:r w:rsidRPr="00B51E97">
              <w:rPr>
                <w:b/>
                <w:bCs/>
              </w:rPr>
              <w:t>Cash flow from investing activities</w:t>
            </w:r>
          </w:p>
        </w:tc>
        <w:tc>
          <w:tcPr>
            <w:tcW w:w="1134" w:type="dxa"/>
            <w:tcBorders>
              <w:top w:val="single" w:sz="4" w:space="0" w:color="000000" w:themeColor="text1"/>
            </w:tcBorders>
          </w:tcPr>
          <w:p w14:paraId="68E5DF00" w14:textId="77777777" w:rsidR="00271E37" w:rsidRPr="00022AA5" w:rsidRDefault="00271E37"/>
        </w:tc>
        <w:tc>
          <w:tcPr>
            <w:tcW w:w="1134" w:type="dxa"/>
            <w:tcBorders>
              <w:top w:val="single" w:sz="4" w:space="0" w:color="000000" w:themeColor="text1"/>
            </w:tcBorders>
          </w:tcPr>
          <w:p w14:paraId="55A9011A" w14:textId="77777777" w:rsidR="00271E37" w:rsidRPr="00B609D4" w:rsidRDefault="00271E37">
            <w:pPr>
              <w:rPr>
                <w:b/>
                <w:bCs/>
              </w:rPr>
            </w:pPr>
          </w:p>
        </w:tc>
        <w:tc>
          <w:tcPr>
            <w:tcW w:w="1134" w:type="dxa"/>
            <w:tcBorders>
              <w:top w:val="single" w:sz="4" w:space="0" w:color="000000" w:themeColor="text1"/>
            </w:tcBorders>
          </w:tcPr>
          <w:p w14:paraId="4F9C372F" w14:textId="77777777" w:rsidR="00271E37" w:rsidRPr="00022AA5" w:rsidRDefault="00271E37"/>
        </w:tc>
      </w:tr>
      <w:tr w:rsidR="00271E37" w:rsidRPr="00022AA5" w14:paraId="411392D3" w14:textId="77777777">
        <w:tc>
          <w:tcPr>
            <w:tcW w:w="6237" w:type="dxa"/>
          </w:tcPr>
          <w:p w14:paraId="447E25F0" w14:textId="77777777" w:rsidR="00271E37" w:rsidRPr="00022AA5" w:rsidRDefault="00271E37">
            <w:pPr>
              <w:jc w:val="left"/>
            </w:pPr>
            <w:r w:rsidRPr="00022AA5">
              <w:t>Proceeds from sale of property, plant and equipment</w:t>
            </w:r>
          </w:p>
        </w:tc>
        <w:tc>
          <w:tcPr>
            <w:tcW w:w="1134" w:type="dxa"/>
          </w:tcPr>
          <w:p w14:paraId="368249D2" w14:textId="77777777" w:rsidR="00271E37" w:rsidRPr="00022AA5" w:rsidRDefault="00271E37"/>
        </w:tc>
        <w:tc>
          <w:tcPr>
            <w:tcW w:w="1134" w:type="dxa"/>
            <w:vAlign w:val="center"/>
          </w:tcPr>
          <w:p w14:paraId="3F56CAC4" w14:textId="77777777" w:rsidR="00271E37" w:rsidRPr="00B609D4" w:rsidRDefault="00271E37">
            <w:pPr>
              <w:rPr>
                <w:b/>
                <w:bCs/>
              </w:rPr>
            </w:pPr>
            <w:r w:rsidRPr="00B609D4">
              <w:rPr>
                <w:rFonts w:cs="Arial"/>
                <w:b/>
                <w:bCs/>
                <w:color w:val="000000"/>
                <w:szCs w:val="16"/>
              </w:rPr>
              <w:t xml:space="preserve">4,940 </w:t>
            </w:r>
          </w:p>
        </w:tc>
        <w:tc>
          <w:tcPr>
            <w:tcW w:w="1134" w:type="dxa"/>
            <w:vAlign w:val="center"/>
          </w:tcPr>
          <w:p w14:paraId="7FAD93FF" w14:textId="77777777" w:rsidR="00271E37" w:rsidRPr="008424B2" w:rsidRDefault="00271E37">
            <w:r>
              <w:rPr>
                <w:rFonts w:cs="Arial"/>
                <w:color w:val="000000"/>
                <w:szCs w:val="16"/>
              </w:rPr>
              <w:t xml:space="preserve">6,931 </w:t>
            </w:r>
          </w:p>
        </w:tc>
      </w:tr>
      <w:tr w:rsidR="00271E37" w:rsidRPr="00022AA5" w14:paraId="50D88DCD" w14:textId="77777777">
        <w:tc>
          <w:tcPr>
            <w:tcW w:w="6237" w:type="dxa"/>
          </w:tcPr>
          <w:p w14:paraId="26F485CA" w14:textId="77777777" w:rsidR="00271E37" w:rsidRPr="00022AA5" w:rsidRDefault="00271E37">
            <w:pPr>
              <w:jc w:val="left"/>
            </w:pPr>
            <w:r>
              <w:t>Proceeds from sale of division, net of cash</w:t>
            </w:r>
          </w:p>
        </w:tc>
        <w:tc>
          <w:tcPr>
            <w:tcW w:w="1134" w:type="dxa"/>
          </w:tcPr>
          <w:p w14:paraId="0DBD67C2" w14:textId="77777777" w:rsidR="00271E37" w:rsidRPr="00022AA5" w:rsidRDefault="00271E37">
            <w:r>
              <w:t>4</w:t>
            </w:r>
          </w:p>
        </w:tc>
        <w:tc>
          <w:tcPr>
            <w:tcW w:w="1134" w:type="dxa"/>
            <w:vAlign w:val="center"/>
          </w:tcPr>
          <w:p w14:paraId="36423AFE" w14:textId="77777777" w:rsidR="00271E37" w:rsidRPr="00B609D4" w:rsidRDefault="00271E37">
            <w:pPr>
              <w:rPr>
                <w:b/>
                <w:bCs/>
              </w:rPr>
            </w:pPr>
            <w:r w:rsidRPr="00B609D4">
              <w:rPr>
                <w:rFonts w:cs="Arial"/>
                <w:b/>
                <w:bCs/>
                <w:color w:val="000000"/>
                <w:szCs w:val="16"/>
              </w:rPr>
              <w:t>(7,899)</w:t>
            </w:r>
          </w:p>
        </w:tc>
        <w:tc>
          <w:tcPr>
            <w:tcW w:w="1134" w:type="dxa"/>
            <w:vAlign w:val="center"/>
          </w:tcPr>
          <w:p w14:paraId="25DE00FC" w14:textId="77777777" w:rsidR="00271E37" w:rsidRPr="008424B2" w:rsidRDefault="00271E37">
            <w:r>
              <w:rPr>
                <w:rFonts w:cs="Arial"/>
                <w:color w:val="000000"/>
                <w:szCs w:val="16"/>
              </w:rPr>
              <w:t xml:space="preserve"> - </w:t>
            </w:r>
          </w:p>
        </w:tc>
      </w:tr>
      <w:tr w:rsidR="00271E37" w:rsidRPr="00022AA5" w14:paraId="12AE011F" w14:textId="77777777">
        <w:tc>
          <w:tcPr>
            <w:tcW w:w="6237" w:type="dxa"/>
          </w:tcPr>
          <w:p w14:paraId="1EC4CB8A" w14:textId="77777777" w:rsidR="00271E37" w:rsidRPr="00022AA5" w:rsidRDefault="00271E37">
            <w:pPr>
              <w:jc w:val="left"/>
            </w:pPr>
            <w:r w:rsidRPr="00022AA5">
              <w:t>Acquisition of intangible assets</w:t>
            </w:r>
          </w:p>
        </w:tc>
        <w:tc>
          <w:tcPr>
            <w:tcW w:w="1134" w:type="dxa"/>
          </w:tcPr>
          <w:p w14:paraId="7EC12D58" w14:textId="77777777" w:rsidR="00271E37" w:rsidRPr="00022AA5" w:rsidRDefault="00271E37">
            <w:r w:rsidRPr="00022AA5">
              <w:t>9</w:t>
            </w:r>
          </w:p>
        </w:tc>
        <w:tc>
          <w:tcPr>
            <w:tcW w:w="1134" w:type="dxa"/>
            <w:vAlign w:val="center"/>
          </w:tcPr>
          <w:p w14:paraId="53F57C5C" w14:textId="77777777" w:rsidR="00271E37" w:rsidRPr="00B609D4" w:rsidRDefault="00271E37">
            <w:pPr>
              <w:rPr>
                <w:b/>
                <w:bCs/>
              </w:rPr>
            </w:pPr>
            <w:r w:rsidRPr="00B609D4">
              <w:rPr>
                <w:rFonts w:cs="Arial"/>
                <w:b/>
                <w:bCs/>
                <w:color w:val="000000"/>
                <w:szCs w:val="16"/>
              </w:rPr>
              <w:t>(196)</w:t>
            </w:r>
          </w:p>
        </w:tc>
        <w:tc>
          <w:tcPr>
            <w:tcW w:w="1134" w:type="dxa"/>
            <w:vAlign w:val="center"/>
          </w:tcPr>
          <w:p w14:paraId="0BB0A4C6" w14:textId="3FC94F02" w:rsidR="00271E37" w:rsidRPr="008424B2" w:rsidRDefault="00271E37">
            <w:r>
              <w:rPr>
                <w:rFonts w:cs="Arial"/>
                <w:color w:val="000000"/>
                <w:szCs w:val="16"/>
              </w:rPr>
              <w:t>(4</w:t>
            </w:r>
            <w:r w:rsidR="00995F8F">
              <w:rPr>
                <w:rFonts w:cs="Arial"/>
                <w:color w:val="000000"/>
                <w:szCs w:val="16"/>
              </w:rPr>
              <w:t>86</w:t>
            </w:r>
            <w:r>
              <w:rPr>
                <w:rFonts w:cs="Arial"/>
                <w:color w:val="000000"/>
                <w:szCs w:val="16"/>
              </w:rPr>
              <w:t>)</w:t>
            </w:r>
          </w:p>
        </w:tc>
      </w:tr>
      <w:tr w:rsidR="00271E37" w:rsidRPr="00022AA5" w14:paraId="00F08052" w14:textId="77777777">
        <w:tc>
          <w:tcPr>
            <w:tcW w:w="6237" w:type="dxa"/>
          </w:tcPr>
          <w:p w14:paraId="386DB6CA" w14:textId="77777777" w:rsidR="00271E37" w:rsidRPr="00022AA5" w:rsidRDefault="00271E37">
            <w:pPr>
              <w:jc w:val="left"/>
            </w:pPr>
            <w:r w:rsidRPr="00022AA5">
              <w:t>Acquisition of property, plant and equipment</w:t>
            </w:r>
          </w:p>
        </w:tc>
        <w:tc>
          <w:tcPr>
            <w:tcW w:w="1134" w:type="dxa"/>
          </w:tcPr>
          <w:p w14:paraId="640A2385" w14:textId="77777777" w:rsidR="00271E37" w:rsidRPr="00022AA5" w:rsidRDefault="00271E37">
            <w:r w:rsidRPr="00022AA5">
              <w:t>8</w:t>
            </w:r>
          </w:p>
        </w:tc>
        <w:tc>
          <w:tcPr>
            <w:tcW w:w="1134" w:type="dxa"/>
            <w:vAlign w:val="center"/>
          </w:tcPr>
          <w:p w14:paraId="740191BC" w14:textId="77777777" w:rsidR="00271E37" w:rsidRPr="00B609D4" w:rsidRDefault="00271E37">
            <w:pPr>
              <w:rPr>
                <w:b/>
                <w:bCs/>
              </w:rPr>
            </w:pPr>
            <w:r w:rsidRPr="00B609D4">
              <w:rPr>
                <w:rFonts w:cs="Arial"/>
                <w:b/>
                <w:bCs/>
                <w:color w:val="000000"/>
                <w:szCs w:val="16"/>
              </w:rPr>
              <w:t>(2,</w:t>
            </w:r>
            <w:r>
              <w:rPr>
                <w:rFonts w:cs="Arial"/>
                <w:b/>
                <w:bCs/>
                <w:color w:val="000000"/>
                <w:szCs w:val="16"/>
              </w:rPr>
              <w:t>672</w:t>
            </w:r>
            <w:r w:rsidRPr="00B609D4">
              <w:rPr>
                <w:rFonts w:cs="Arial"/>
                <w:b/>
                <w:bCs/>
                <w:color w:val="000000"/>
                <w:szCs w:val="16"/>
              </w:rPr>
              <w:t>)</w:t>
            </w:r>
          </w:p>
        </w:tc>
        <w:tc>
          <w:tcPr>
            <w:tcW w:w="1134" w:type="dxa"/>
            <w:vAlign w:val="center"/>
          </w:tcPr>
          <w:p w14:paraId="7B40D321" w14:textId="77777777" w:rsidR="00271E37" w:rsidRPr="008424B2" w:rsidRDefault="00271E37">
            <w:r>
              <w:rPr>
                <w:rFonts w:cs="Arial"/>
                <w:color w:val="000000"/>
                <w:szCs w:val="16"/>
              </w:rPr>
              <w:t>(4,845)</w:t>
            </w:r>
          </w:p>
        </w:tc>
      </w:tr>
      <w:tr w:rsidR="00271E37" w:rsidRPr="00022AA5" w14:paraId="3E26A3D2" w14:textId="77777777">
        <w:tc>
          <w:tcPr>
            <w:tcW w:w="6237" w:type="dxa"/>
            <w:tcBorders>
              <w:top w:val="single" w:sz="4" w:space="0" w:color="000000" w:themeColor="text1"/>
              <w:bottom w:val="single" w:sz="4" w:space="0" w:color="000000" w:themeColor="text1"/>
            </w:tcBorders>
          </w:tcPr>
          <w:p w14:paraId="2577697C" w14:textId="77777777" w:rsidR="00271E37" w:rsidRPr="00B51E97" w:rsidRDefault="00271E37">
            <w:pPr>
              <w:jc w:val="left"/>
              <w:rPr>
                <w:b/>
                <w:bCs/>
              </w:rPr>
            </w:pPr>
            <w:r w:rsidRPr="00B51E97">
              <w:rPr>
                <w:b/>
                <w:bCs/>
              </w:rPr>
              <w:t xml:space="preserve">Net cash </w:t>
            </w:r>
            <w:r>
              <w:rPr>
                <w:b/>
                <w:bCs/>
              </w:rPr>
              <w:t>(</w:t>
            </w:r>
            <w:r w:rsidRPr="00B51E97">
              <w:rPr>
                <w:b/>
                <w:bCs/>
              </w:rPr>
              <w:t>outflow)</w:t>
            </w:r>
            <w:r>
              <w:rPr>
                <w:b/>
                <w:bCs/>
              </w:rPr>
              <w:t>/inflow</w:t>
            </w:r>
            <w:r w:rsidRPr="00B51E97">
              <w:rPr>
                <w:b/>
                <w:bCs/>
              </w:rPr>
              <w:t xml:space="preserve"> from investing activities</w:t>
            </w:r>
          </w:p>
        </w:tc>
        <w:tc>
          <w:tcPr>
            <w:tcW w:w="1134" w:type="dxa"/>
            <w:tcBorders>
              <w:top w:val="single" w:sz="4" w:space="0" w:color="000000" w:themeColor="text1"/>
              <w:bottom w:val="single" w:sz="4" w:space="0" w:color="000000" w:themeColor="text1"/>
            </w:tcBorders>
          </w:tcPr>
          <w:p w14:paraId="71168D84" w14:textId="77777777" w:rsidR="00271E37" w:rsidRPr="00022AA5" w:rsidRDefault="00271E37"/>
        </w:tc>
        <w:tc>
          <w:tcPr>
            <w:tcW w:w="1134" w:type="dxa"/>
            <w:tcBorders>
              <w:top w:val="single" w:sz="4" w:space="0" w:color="000000" w:themeColor="text1"/>
              <w:bottom w:val="single" w:sz="4" w:space="0" w:color="000000" w:themeColor="text1"/>
            </w:tcBorders>
            <w:vAlign w:val="center"/>
          </w:tcPr>
          <w:p w14:paraId="093FF3A2" w14:textId="77777777" w:rsidR="00271E37" w:rsidRPr="00B609D4" w:rsidRDefault="00271E37">
            <w:pPr>
              <w:rPr>
                <w:b/>
                <w:bCs/>
              </w:rPr>
            </w:pPr>
            <w:r w:rsidRPr="00B609D4">
              <w:rPr>
                <w:rFonts w:cs="Arial"/>
                <w:b/>
                <w:bCs/>
                <w:color w:val="000000"/>
                <w:szCs w:val="16"/>
              </w:rPr>
              <w:t>(</w:t>
            </w:r>
            <w:r>
              <w:rPr>
                <w:rFonts w:cs="Arial"/>
                <w:b/>
                <w:bCs/>
                <w:color w:val="000000"/>
                <w:szCs w:val="16"/>
              </w:rPr>
              <w:t>5,827</w:t>
            </w:r>
            <w:r w:rsidRPr="00B609D4">
              <w:rPr>
                <w:rFonts w:cs="Arial"/>
                <w:b/>
                <w:bCs/>
                <w:color w:val="000000"/>
                <w:szCs w:val="16"/>
              </w:rPr>
              <w:t>)</w:t>
            </w:r>
          </w:p>
        </w:tc>
        <w:tc>
          <w:tcPr>
            <w:tcW w:w="1134" w:type="dxa"/>
            <w:tcBorders>
              <w:top w:val="single" w:sz="4" w:space="0" w:color="000000" w:themeColor="text1"/>
              <w:bottom w:val="single" w:sz="4" w:space="0" w:color="000000" w:themeColor="text1"/>
            </w:tcBorders>
            <w:vAlign w:val="center"/>
          </w:tcPr>
          <w:p w14:paraId="757254A8" w14:textId="28E8D260" w:rsidR="00271E37" w:rsidRPr="008424B2" w:rsidRDefault="00271E37">
            <w:r>
              <w:rPr>
                <w:rFonts w:cs="Arial"/>
                <w:color w:val="000000"/>
                <w:szCs w:val="16"/>
              </w:rPr>
              <w:t>1,</w:t>
            </w:r>
            <w:r w:rsidR="00995F8F">
              <w:rPr>
                <w:rFonts w:cs="Arial"/>
                <w:color w:val="000000"/>
                <w:szCs w:val="16"/>
              </w:rPr>
              <w:t>600</w:t>
            </w:r>
            <w:r>
              <w:rPr>
                <w:rFonts w:cs="Arial"/>
                <w:color w:val="000000"/>
                <w:szCs w:val="16"/>
              </w:rPr>
              <w:t xml:space="preserve"> </w:t>
            </w:r>
          </w:p>
        </w:tc>
      </w:tr>
      <w:tr w:rsidR="00271E37" w:rsidRPr="00022AA5" w14:paraId="412D04F3" w14:textId="77777777">
        <w:tc>
          <w:tcPr>
            <w:tcW w:w="6237" w:type="dxa"/>
            <w:tcBorders>
              <w:top w:val="single" w:sz="4" w:space="0" w:color="000000" w:themeColor="text1"/>
            </w:tcBorders>
          </w:tcPr>
          <w:p w14:paraId="6B67939E" w14:textId="77777777" w:rsidR="00271E37" w:rsidRPr="00B51E97" w:rsidRDefault="00271E37">
            <w:pPr>
              <w:jc w:val="left"/>
              <w:rPr>
                <w:b/>
                <w:bCs/>
              </w:rPr>
            </w:pPr>
            <w:r w:rsidRPr="00B51E97">
              <w:rPr>
                <w:b/>
                <w:bCs/>
              </w:rPr>
              <w:t>Cash flows from financing activities</w:t>
            </w:r>
          </w:p>
        </w:tc>
        <w:tc>
          <w:tcPr>
            <w:tcW w:w="1134" w:type="dxa"/>
            <w:tcBorders>
              <w:top w:val="single" w:sz="4" w:space="0" w:color="000000" w:themeColor="text1"/>
            </w:tcBorders>
          </w:tcPr>
          <w:p w14:paraId="7F96F68D" w14:textId="77777777" w:rsidR="00271E37" w:rsidRPr="00022AA5" w:rsidRDefault="00271E37"/>
        </w:tc>
        <w:tc>
          <w:tcPr>
            <w:tcW w:w="1134" w:type="dxa"/>
            <w:tcBorders>
              <w:top w:val="single" w:sz="4" w:space="0" w:color="000000" w:themeColor="text1"/>
            </w:tcBorders>
          </w:tcPr>
          <w:p w14:paraId="5D7D7DA0" w14:textId="77777777" w:rsidR="00271E37" w:rsidRPr="00B609D4" w:rsidRDefault="00271E37">
            <w:pPr>
              <w:rPr>
                <w:b/>
                <w:bCs/>
              </w:rPr>
            </w:pPr>
          </w:p>
        </w:tc>
        <w:tc>
          <w:tcPr>
            <w:tcW w:w="1134" w:type="dxa"/>
            <w:tcBorders>
              <w:top w:val="single" w:sz="4" w:space="0" w:color="000000" w:themeColor="text1"/>
            </w:tcBorders>
          </w:tcPr>
          <w:p w14:paraId="32494D73" w14:textId="77777777" w:rsidR="00271E37" w:rsidRPr="00022AA5" w:rsidRDefault="00271E37"/>
        </w:tc>
      </w:tr>
      <w:tr w:rsidR="00271E37" w:rsidRPr="00022AA5" w14:paraId="5CAACE59" w14:textId="77777777">
        <w:tc>
          <w:tcPr>
            <w:tcW w:w="6237" w:type="dxa"/>
          </w:tcPr>
          <w:p w14:paraId="7723C5C0" w14:textId="77777777" w:rsidR="00271E37" w:rsidRPr="00022AA5" w:rsidRDefault="00271E37">
            <w:pPr>
              <w:jc w:val="left"/>
            </w:pPr>
            <w:r w:rsidRPr="00022AA5">
              <w:t>Lease liabilities principal repayments</w:t>
            </w:r>
          </w:p>
        </w:tc>
        <w:tc>
          <w:tcPr>
            <w:tcW w:w="1134" w:type="dxa"/>
          </w:tcPr>
          <w:p w14:paraId="32665109" w14:textId="77777777" w:rsidR="00271E37" w:rsidRPr="00022AA5" w:rsidRDefault="00271E37">
            <w:r w:rsidRPr="00022AA5">
              <w:t>10</w:t>
            </w:r>
          </w:p>
        </w:tc>
        <w:tc>
          <w:tcPr>
            <w:tcW w:w="1134" w:type="dxa"/>
            <w:vAlign w:val="center"/>
          </w:tcPr>
          <w:p w14:paraId="1A3F8A88" w14:textId="77777777" w:rsidR="00271E37" w:rsidRPr="00B609D4" w:rsidRDefault="00271E37">
            <w:pPr>
              <w:rPr>
                <w:b/>
                <w:bCs/>
              </w:rPr>
            </w:pPr>
            <w:r w:rsidRPr="00B609D4">
              <w:rPr>
                <w:rFonts w:cs="Arial"/>
                <w:b/>
                <w:bCs/>
                <w:color w:val="000000"/>
                <w:szCs w:val="16"/>
              </w:rPr>
              <w:t>(4,580)</w:t>
            </w:r>
          </w:p>
        </w:tc>
        <w:tc>
          <w:tcPr>
            <w:tcW w:w="1134" w:type="dxa"/>
            <w:vAlign w:val="center"/>
          </w:tcPr>
          <w:p w14:paraId="12B24918" w14:textId="77777777" w:rsidR="00271E37" w:rsidRPr="008424B2" w:rsidRDefault="00271E37">
            <w:r>
              <w:rPr>
                <w:rFonts w:cs="Arial"/>
                <w:b/>
                <w:bCs/>
                <w:color w:val="000000"/>
                <w:szCs w:val="16"/>
              </w:rPr>
              <w:t>(12,935)</w:t>
            </w:r>
          </w:p>
        </w:tc>
      </w:tr>
      <w:tr w:rsidR="00271E37" w:rsidRPr="00022AA5" w14:paraId="3BEE69D9" w14:textId="77777777">
        <w:tc>
          <w:tcPr>
            <w:tcW w:w="6237" w:type="dxa"/>
          </w:tcPr>
          <w:p w14:paraId="1FBB01C1" w14:textId="77777777" w:rsidR="00271E37" w:rsidRPr="00022AA5" w:rsidRDefault="00271E37">
            <w:pPr>
              <w:jc w:val="left"/>
            </w:pPr>
            <w:r w:rsidRPr="00022AA5">
              <w:t>Loan arrangement fees</w:t>
            </w:r>
          </w:p>
        </w:tc>
        <w:tc>
          <w:tcPr>
            <w:tcW w:w="1134" w:type="dxa"/>
          </w:tcPr>
          <w:p w14:paraId="643EFF49" w14:textId="77777777" w:rsidR="00271E37" w:rsidRPr="00022AA5" w:rsidRDefault="00271E37">
            <w:r w:rsidRPr="00022AA5">
              <w:t>14</w:t>
            </w:r>
          </w:p>
        </w:tc>
        <w:tc>
          <w:tcPr>
            <w:tcW w:w="1134" w:type="dxa"/>
            <w:vAlign w:val="center"/>
          </w:tcPr>
          <w:p w14:paraId="5FD479DF" w14:textId="77777777" w:rsidR="00271E37" w:rsidRPr="00123570" w:rsidRDefault="00271E37">
            <w:pPr>
              <w:rPr>
                <w:b/>
                <w:bCs/>
              </w:rPr>
            </w:pPr>
            <w:r w:rsidRPr="00B609D4">
              <w:rPr>
                <w:rFonts w:cs="Arial"/>
                <w:b/>
                <w:bCs/>
                <w:color w:val="000000"/>
                <w:szCs w:val="16"/>
              </w:rPr>
              <w:t>(880)</w:t>
            </w:r>
          </w:p>
        </w:tc>
        <w:tc>
          <w:tcPr>
            <w:tcW w:w="1134" w:type="dxa"/>
            <w:vAlign w:val="center"/>
          </w:tcPr>
          <w:p w14:paraId="75543E7E" w14:textId="77777777" w:rsidR="00271E37" w:rsidRPr="008424B2" w:rsidRDefault="00271E37">
            <w:r>
              <w:rPr>
                <w:rFonts w:cs="Arial"/>
                <w:color w:val="000000"/>
                <w:szCs w:val="16"/>
              </w:rPr>
              <w:t xml:space="preserve"> - </w:t>
            </w:r>
          </w:p>
        </w:tc>
      </w:tr>
      <w:tr w:rsidR="00271E37" w:rsidRPr="00022AA5" w14:paraId="2556581D" w14:textId="77777777">
        <w:tc>
          <w:tcPr>
            <w:tcW w:w="6237" w:type="dxa"/>
            <w:tcBorders>
              <w:bottom w:val="single" w:sz="4" w:space="0" w:color="000000" w:themeColor="text1"/>
            </w:tcBorders>
          </w:tcPr>
          <w:p w14:paraId="445F9042" w14:textId="77777777" w:rsidR="00271E37" w:rsidRPr="00022AA5" w:rsidRDefault="00271E37">
            <w:pPr>
              <w:jc w:val="left"/>
            </w:pPr>
            <w:r w:rsidRPr="00022AA5">
              <w:t>Dividends paid to non-controlling interests</w:t>
            </w:r>
          </w:p>
        </w:tc>
        <w:tc>
          <w:tcPr>
            <w:tcW w:w="1134" w:type="dxa"/>
            <w:tcBorders>
              <w:bottom w:val="single" w:sz="4" w:space="0" w:color="000000" w:themeColor="text1"/>
            </w:tcBorders>
          </w:tcPr>
          <w:p w14:paraId="212E196F" w14:textId="77777777" w:rsidR="00271E37" w:rsidRPr="00022AA5" w:rsidRDefault="00271E37"/>
        </w:tc>
        <w:tc>
          <w:tcPr>
            <w:tcW w:w="1134" w:type="dxa"/>
            <w:tcBorders>
              <w:bottom w:val="single" w:sz="4" w:space="0" w:color="000000" w:themeColor="text1"/>
            </w:tcBorders>
            <w:vAlign w:val="center"/>
          </w:tcPr>
          <w:p w14:paraId="0092688E" w14:textId="77777777" w:rsidR="00271E37" w:rsidRPr="00B609D4" w:rsidRDefault="00271E37">
            <w:pPr>
              <w:rPr>
                <w:b/>
                <w:bCs/>
              </w:rPr>
            </w:pPr>
            <w:r w:rsidRPr="00B609D4">
              <w:rPr>
                <w:rFonts w:cs="Arial"/>
                <w:b/>
                <w:bCs/>
                <w:color w:val="000000"/>
                <w:szCs w:val="16"/>
              </w:rPr>
              <w:t xml:space="preserve"> - </w:t>
            </w:r>
          </w:p>
        </w:tc>
        <w:tc>
          <w:tcPr>
            <w:tcW w:w="1134" w:type="dxa"/>
            <w:tcBorders>
              <w:bottom w:val="single" w:sz="4" w:space="0" w:color="000000" w:themeColor="text1"/>
            </w:tcBorders>
            <w:vAlign w:val="center"/>
          </w:tcPr>
          <w:p w14:paraId="0BC1D007" w14:textId="77777777" w:rsidR="00271E37" w:rsidRPr="008424B2" w:rsidRDefault="00271E37">
            <w:r>
              <w:rPr>
                <w:rFonts w:cs="Arial"/>
                <w:color w:val="000000"/>
                <w:szCs w:val="16"/>
              </w:rPr>
              <w:t>(519)</w:t>
            </w:r>
          </w:p>
        </w:tc>
      </w:tr>
      <w:tr w:rsidR="00271E37" w:rsidRPr="00022AA5" w14:paraId="236CB182" w14:textId="77777777">
        <w:tc>
          <w:tcPr>
            <w:tcW w:w="6237" w:type="dxa"/>
            <w:tcBorders>
              <w:top w:val="single" w:sz="4" w:space="0" w:color="000000" w:themeColor="text1"/>
              <w:bottom w:val="single" w:sz="4" w:space="0" w:color="000000" w:themeColor="text1"/>
            </w:tcBorders>
          </w:tcPr>
          <w:p w14:paraId="7C7F1F05" w14:textId="77777777" w:rsidR="00271E37" w:rsidRPr="00B51E97" w:rsidRDefault="00271E37">
            <w:pPr>
              <w:jc w:val="left"/>
              <w:rPr>
                <w:b/>
                <w:bCs/>
              </w:rPr>
            </w:pPr>
            <w:r w:rsidRPr="00B51E97">
              <w:rPr>
                <w:b/>
                <w:bCs/>
              </w:rPr>
              <w:t>Net cash outflow from financing activities</w:t>
            </w:r>
          </w:p>
        </w:tc>
        <w:tc>
          <w:tcPr>
            <w:tcW w:w="1134" w:type="dxa"/>
            <w:tcBorders>
              <w:top w:val="single" w:sz="4" w:space="0" w:color="000000" w:themeColor="text1"/>
              <w:bottom w:val="single" w:sz="4" w:space="0" w:color="000000" w:themeColor="text1"/>
            </w:tcBorders>
          </w:tcPr>
          <w:p w14:paraId="33D5FA24" w14:textId="77777777" w:rsidR="00271E37" w:rsidRPr="00022AA5" w:rsidRDefault="00271E37"/>
        </w:tc>
        <w:tc>
          <w:tcPr>
            <w:tcW w:w="1134" w:type="dxa"/>
            <w:tcBorders>
              <w:top w:val="single" w:sz="4" w:space="0" w:color="000000" w:themeColor="text1"/>
              <w:bottom w:val="single" w:sz="4" w:space="0" w:color="000000" w:themeColor="text1"/>
            </w:tcBorders>
            <w:vAlign w:val="center"/>
          </w:tcPr>
          <w:p w14:paraId="32EA07ED" w14:textId="77777777" w:rsidR="00271E37" w:rsidRPr="00B609D4" w:rsidRDefault="00271E37">
            <w:pPr>
              <w:rPr>
                <w:b/>
                <w:bCs/>
              </w:rPr>
            </w:pPr>
            <w:r w:rsidRPr="00B609D4">
              <w:rPr>
                <w:rFonts w:cs="Arial"/>
                <w:b/>
                <w:bCs/>
                <w:color w:val="000000"/>
                <w:szCs w:val="16"/>
              </w:rPr>
              <w:t>(5,460)</w:t>
            </w:r>
          </w:p>
        </w:tc>
        <w:tc>
          <w:tcPr>
            <w:tcW w:w="1134" w:type="dxa"/>
            <w:tcBorders>
              <w:top w:val="single" w:sz="4" w:space="0" w:color="000000" w:themeColor="text1"/>
              <w:bottom w:val="single" w:sz="4" w:space="0" w:color="000000" w:themeColor="text1"/>
            </w:tcBorders>
            <w:vAlign w:val="center"/>
          </w:tcPr>
          <w:p w14:paraId="573EE890" w14:textId="77777777" w:rsidR="00271E37" w:rsidRPr="008424B2" w:rsidRDefault="00271E37">
            <w:r>
              <w:rPr>
                <w:rFonts w:cs="Arial"/>
                <w:color w:val="000000"/>
                <w:szCs w:val="16"/>
              </w:rPr>
              <w:t>(13,454)</w:t>
            </w:r>
          </w:p>
        </w:tc>
      </w:tr>
      <w:tr w:rsidR="00271E37" w:rsidRPr="00022AA5" w14:paraId="2B8306EA" w14:textId="77777777">
        <w:tc>
          <w:tcPr>
            <w:tcW w:w="6237" w:type="dxa"/>
            <w:tcBorders>
              <w:top w:val="single" w:sz="4" w:space="0" w:color="000000" w:themeColor="text1"/>
            </w:tcBorders>
          </w:tcPr>
          <w:p w14:paraId="1BE28FDC" w14:textId="77777777" w:rsidR="00271E37" w:rsidRPr="00B51E97" w:rsidRDefault="00271E37">
            <w:pPr>
              <w:jc w:val="left"/>
              <w:rPr>
                <w:b/>
                <w:bCs/>
              </w:rPr>
            </w:pPr>
            <w:r w:rsidRPr="00B51E97">
              <w:rPr>
                <w:b/>
                <w:bCs/>
              </w:rPr>
              <w:t xml:space="preserve">Net </w:t>
            </w:r>
            <w:r>
              <w:rPr>
                <w:b/>
                <w:bCs/>
              </w:rPr>
              <w:t>decrease</w:t>
            </w:r>
            <w:r w:rsidRPr="00B51E97">
              <w:rPr>
                <w:b/>
                <w:bCs/>
              </w:rPr>
              <w:t xml:space="preserve"> in cash and cash equivalents</w:t>
            </w:r>
          </w:p>
        </w:tc>
        <w:tc>
          <w:tcPr>
            <w:tcW w:w="1134" w:type="dxa"/>
            <w:tcBorders>
              <w:top w:val="single" w:sz="4" w:space="0" w:color="000000" w:themeColor="text1"/>
            </w:tcBorders>
          </w:tcPr>
          <w:p w14:paraId="5DB5B746" w14:textId="77777777" w:rsidR="00271E37" w:rsidRPr="00022AA5" w:rsidRDefault="00271E37"/>
        </w:tc>
        <w:tc>
          <w:tcPr>
            <w:tcW w:w="1134" w:type="dxa"/>
            <w:tcBorders>
              <w:top w:val="single" w:sz="4" w:space="0" w:color="000000" w:themeColor="text1"/>
            </w:tcBorders>
          </w:tcPr>
          <w:p w14:paraId="1F44D5CB" w14:textId="77777777" w:rsidR="00271E37" w:rsidRPr="00B609D4" w:rsidRDefault="00271E37">
            <w:pPr>
              <w:rPr>
                <w:b/>
                <w:bCs/>
              </w:rPr>
            </w:pPr>
            <w:r w:rsidRPr="00123570">
              <w:rPr>
                <w:b/>
                <w:bCs/>
              </w:rPr>
              <w:t>(9,570)</w:t>
            </w:r>
          </w:p>
        </w:tc>
        <w:tc>
          <w:tcPr>
            <w:tcW w:w="1134" w:type="dxa"/>
            <w:tcBorders>
              <w:top w:val="single" w:sz="4" w:space="0" w:color="000000" w:themeColor="text1"/>
            </w:tcBorders>
          </w:tcPr>
          <w:p w14:paraId="2ECA8CA9" w14:textId="06DB6DC4" w:rsidR="00271E37" w:rsidRPr="008424B2" w:rsidRDefault="00271E37">
            <w:r w:rsidRPr="00A36087">
              <w:t>(10,0</w:t>
            </w:r>
            <w:r w:rsidR="00C87E57">
              <w:t>10</w:t>
            </w:r>
            <w:r w:rsidRPr="00A36087">
              <w:t>)</w:t>
            </w:r>
          </w:p>
        </w:tc>
      </w:tr>
      <w:tr w:rsidR="00271E37" w:rsidRPr="0044652F" w14:paraId="1EDC5753" w14:textId="77777777">
        <w:tc>
          <w:tcPr>
            <w:tcW w:w="6237" w:type="dxa"/>
          </w:tcPr>
          <w:p w14:paraId="5CACF87A" w14:textId="77777777" w:rsidR="00271E37" w:rsidRPr="00022AA5" w:rsidRDefault="00271E37">
            <w:pPr>
              <w:jc w:val="left"/>
            </w:pPr>
            <w:r w:rsidRPr="00022AA5">
              <w:t>Cash and cash equivalents and bank overdrafts at beginning of the year</w:t>
            </w:r>
          </w:p>
        </w:tc>
        <w:tc>
          <w:tcPr>
            <w:tcW w:w="1134" w:type="dxa"/>
          </w:tcPr>
          <w:p w14:paraId="72C5465F" w14:textId="77777777" w:rsidR="00271E37" w:rsidRPr="00022AA5" w:rsidRDefault="00271E37">
            <w:r w:rsidRPr="00022AA5">
              <w:t>14</w:t>
            </w:r>
          </w:p>
        </w:tc>
        <w:tc>
          <w:tcPr>
            <w:tcW w:w="1134" w:type="dxa"/>
            <w:vAlign w:val="center"/>
          </w:tcPr>
          <w:p w14:paraId="1529937D" w14:textId="77777777" w:rsidR="00271E37" w:rsidRPr="00B609D4" w:rsidRDefault="00271E37">
            <w:pPr>
              <w:rPr>
                <w:b/>
                <w:bCs/>
              </w:rPr>
            </w:pPr>
            <w:r w:rsidRPr="00B609D4">
              <w:rPr>
                <w:rFonts w:cs="Arial"/>
                <w:b/>
                <w:bCs/>
                <w:color w:val="000000"/>
                <w:szCs w:val="16"/>
              </w:rPr>
              <w:t xml:space="preserve">64,908 </w:t>
            </w:r>
          </w:p>
        </w:tc>
        <w:tc>
          <w:tcPr>
            <w:tcW w:w="1134" w:type="dxa"/>
            <w:vAlign w:val="center"/>
          </w:tcPr>
          <w:p w14:paraId="770BE851" w14:textId="77777777" w:rsidR="00271E37" w:rsidRPr="0044652F" w:rsidRDefault="00271E37">
            <w:r>
              <w:rPr>
                <w:rFonts w:cs="Arial"/>
                <w:color w:val="000000"/>
                <w:szCs w:val="16"/>
              </w:rPr>
              <w:t xml:space="preserve">74,265 </w:t>
            </w:r>
          </w:p>
        </w:tc>
      </w:tr>
      <w:tr w:rsidR="00271E37" w:rsidRPr="0044652F" w14:paraId="32A3186A" w14:textId="77777777">
        <w:tc>
          <w:tcPr>
            <w:tcW w:w="6237" w:type="dxa"/>
            <w:tcBorders>
              <w:bottom w:val="single" w:sz="4" w:space="0" w:color="000000" w:themeColor="text1"/>
            </w:tcBorders>
          </w:tcPr>
          <w:p w14:paraId="060ED436" w14:textId="77777777" w:rsidR="00271E37" w:rsidRPr="00022AA5" w:rsidRDefault="00271E37">
            <w:pPr>
              <w:jc w:val="left"/>
            </w:pPr>
            <w:r w:rsidRPr="00022AA5">
              <w:t>Effect of exchange rate fluctuations on cash held</w:t>
            </w:r>
          </w:p>
        </w:tc>
        <w:tc>
          <w:tcPr>
            <w:tcW w:w="1134" w:type="dxa"/>
            <w:tcBorders>
              <w:bottom w:val="single" w:sz="4" w:space="0" w:color="000000" w:themeColor="text1"/>
            </w:tcBorders>
          </w:tcPr>
          <w:p w14:paraId="01EFD2EB" w14:textId="77777777" w:rsidR="00271E37" w:rsidRPr="00022AA5" w:rsidRDefault="00271E37"/>
        </w:tc>
        <w:tc>
          <w:tcPr>
            <w:tcW w:w="1134" w:type="dxa"/>
            <w:tcBorders>
              <w:bottom w:val="single" w:sz="4" w:space="0" w:color="000000" w:themeColor="text1"/>
            </w:tcBorders>
            <w:vAlign w:val="center"/>
          </w:tcPr>
          <w:p w14:paraId="687B36CB" w14:textId="77777777" w:rsidR="00271E37" w:rsidRPr="00B609D4" w:rsidRDefault="00271E37">
            <w:pPr>
              <w:rPr>
                <w:b/>
                <w:bCs/>
              </w:rPr>
            </w:pPr>
            <w:r w:rsidRPr="00B609D4">
              <w:rPr>
                <w:rFonts w:cs="Arial"/>
                <w:b/>
                <w:bCs/>
                <w:color w:val="000000"/>
                <w:szCs w:val="16"/>
              </w:rPr>
              <w:t>(1,141)</w:t>
            </w:r>
          </w:p>
        </w:tc>
        <w:tc>
          <w:tcPr>
            <w:tcW w:w="1134" w:type="dxa"/>
            <w:tcBorders>
              <w:bottom w:val="single" w:sz="4" w:space="0" w:color="000000" w:themeColor="text1"/>
            </w:tcBorders>
            <w:vAlign w:val="center"/>
          </w:tcPr>
          <w:p w14:paraId="59F1F724" w14:textId="2B0EB738" w:rsidR="00271E37" w:rsidRPr="0044652F" w:rsidRDefault="00D03D71">
            <w:r>
              <w:rPr>
                <w:rFonts w:cs="Arial"/>
                <w:color w:val="000000"/>
                <w:szCs w:val="16"/>
              </w:rPr>
              <w:t>653</w:t>
            </w:r>
            <w:r w:rsidR="00271E37">
              <w:rPr>
                <w:rFonts w:cs="Arial"/>
                <w:color w:val="000000"/>
                <w:szCs w:val="16"/>
              </w:rPr>
              <w:t xml:space="preserve"> </w:t>
            </w:r>
          </w:p>
        </w:tc>
      </w:tr>
      <w:tr w:rsidR="00271E37" w:rsidRPr="0044652F" w14:paraId="1114467D" w14:textId="77777777">
        <w:tc>
          <w:tcPr>
            <w:tcW w:w="6237" w:type="dxa"/>
            <w:tcBorders>
              <w:top w:val="single" w:sz="4" w:space="0" w:color="000000" w:themeColor="text1"/>
            </w:tcBorders>
          </w:tcPr>
          <w:p w14:paraId="35EC6969" w14:textId="77777777" w:rsidR="00271E37" w:rsidRPr="00B51E97" w:rsidRDefault="00271E37">
            <w:pPr>
              <w:jc w:val="left"/>
              <w:rPr>
                <w:b/>
                <w:bCs/>
              </w:rPr>
            </w:pPr>
            <w:r w:rsidRPr="00B51E97">
              <w:rPr>
                <w:b/>
                <w:bCs/>
              </w:rPr>
              <w:t>Cash and cash equivalents and bank overdrafts at end of the year</w:t>
            </w:r>
          </w:p>
        </w:tc>
        <w:tc>
          <w:tcPr>
            <w:tcW w:w="1134" w:type="dxa"/>
            <w:tcBorders>
              <w:top w:val="single" w:sz="4" w:space="0" w:color="000000" w:themeColor="text1"/>
            </w:tcBorders>
          </w:tcPr>
          <w:p w14:paraId="49949EE3" w14:textId="77777777" w:rsidR="00271E37" w:rsidRPr="00022AA5" w:rsidRDefault="00271E37">
            <w:r w:rsidRPr="00022AA5">
              <w:t>14</w:t>
            </w:r>
          </w:p>
        </w:tc>
        <w:tc>
          <w:tcPr>
            <w:tcW w:w="1134" w:type="dxa"/>
            <w:tcBorders>
              <w:top w:val="single" w:sz="4" w:space="0" w:color="000000" w:themeColor="text1"/>
            </w:tcBorders>
            <w:vAlign w:val="center"/>
          </w:tcPr>
          <w:p w14:paraId="65A037B7" w14:textId="77777777" w:rsidR="00271E37" w:rsidRPr="008424B2" w:rsidRDefault="00271E37">
            <w:pPr>
              <w:rPr>
                <w:b/>
                <w:bCs/>
              </w:rPr>
            </w:pPr>
            <w:r>
              <w:rPr>
                <w:rFonts w:cs="Arial"/>
                <w:b/>
                <w:bCs/>
                <w:color w:val="000000"/>
                <w:szCs w:val="16"/>
              </w:rPr>
              <w:t xml:space="preserve">54,197 </w:t>
            </w:r>
          </w:p>
        </w:tc>
        <w:tc>
          <w:tcPr>
            <w:tcW w:w="1134" w:type="dxa"/>
            <w:tcBorders>
              <w:top w:val="single" w:sz="4" w:space="0" w:color="000000" w:themeColor="text1"/>
            </w:tcBorders>
            <w:vAlign w:val="center"/>
          </w:tcPr>
          <w:p w14:paraId="4E864BBC" w14:textId="77777777" w:rsidR="00271E37" w:rsidRPr="0044652F" w:rsidRDefault="00271E37">
            <w:r>
              <w:rPr>
                <w:rFonts w:cs="Arial"/>
                <w:color w:val="000000"/>
                <w:szCs w:val="16"/>
              </w:rPr>
              <w:t xml:space="preserve">64,908 </w:t>
            </w:r>
          </w:p>
        </w:tc>
      </w:tr>
      <w:bookmarkEnd w:id="29"/>
    </w:tbl>
    <w:p w14:paraId="51E0DF0F" w14:textId="77777777" w:rsidR="00271E37" w:rsidRDefault="00271E37"/>
    <w:p w14:paraId="3ADA1E63" w14:textId="77777777" w:rsidR="00271E37" w:rsidRDefault="00271E37">
      <w:r>
        <w:br w:type="page"/>
      </w:r>
    </w:p>
    <w:p w14:paraId="5CCC90EF" w14:textId="77777777" w:rsidR="00271E37" w:rsidRPr="00B51E97" w:rsidRDefault="00271E37">
      <w:pPr>
        <w:pStyle w:val="Heading1"/>
      </w:pPr>
      <w:r w:rsidRPr="00B51E97">
        <w:lastRenderedPageBreak/>
        <w:t xml:space="preserve">Notes to the consolidated financial statements </w:t>
      </w:r>
    </w:p>
    <w:p w14:paraId="2EE0F9EA" w14:textId="77777777" w:rsidR="00271E37" w:rsidRPr="00B51E97" w:rsidRDefault="00271E37" w:rsidP="00B51E97">
      <w:pPr>
        <w:rPr>
          <w:b/>
          <w:bCs/>
        </w:rPr>
      </w:pPr>
      <w:r w:rsidRPr="00B51E97">
        <w:rPr>
          <w:b/>
          <w:bCs/>
        </w:rPr>
        <w:t>Year ended 31 March 20</w:t>
      </w:r>
      <w:r>
        <w:rPr>
          <w:b/>
          <w:bCs/>
        </w:rPr>
        <w:t>26</w:t>
      </w:r>
    </w:p>
    <w:p w14:paraId="07E05EBA" w14:textId="77777777" w:rsidR="00271E37" w:rsidRDefault="00271E37" w:rsidP="002E39D4"/>
    <w:p w14:paraId="459EBB72" w14:textId="77777777" w:rsidR="00271E37" w:rsidRPr="00AA7A2D" w:rsidRDefault="00271E37">
      <w:pPr>
        <w:pStyle w:val="Heading2"/>
      </w:pPr>
      <w:r w:rsidRPr="00AA7A2D">
        <w:t>1 Accounting policies</w:t>
      </w:r>
    </w:p>
    <w:p w14:paraId="7589CEE4" w14:textId="77777777" w:rsidR="00271E37" w:rsidRPr="00AA7A2D" w:rsidRDefault="00271E37">
      <w:pPr>
        <w:pStyle w:val="Heading3"/>
      </w:pPr>
      <w:r w:rsidRPr="00AA7A2D">
        <w:t>Basis of preparation</w:t>
      </w:r>
    </w:p>
    <w:p w14:paraId="79C572A7" w14:textId="77777777" w:rsidR="0048698D" w:rsidRPr="0048698D" w:rsidRDefault="0048698D" w:rsidP="0048698D">
      <w:r w:rsidRPr="0048698D">
        <w:t>The principal activities of the Group are the design, manufacture and distribution of creative consumer products, including celebration goods, stationery, gift packaging and craft items, supplied to major retailers and distributors globally.</w:t>
      </w:r>
    </w:p>
    <w:p w14:paraId="2B99BB2F" w14:textId="77777777" w:rsidR="00852735" w:rsidRDefault="00852735" w:rsidP="00810F81"/>
    <w:p w14:paraId="31463F66" w14:textId="565F9310" w:rsidR="00271E37" w:rsidRDefault="00271E37" w:rsidP="00810F81">
      <w:r>
        <w:t>The consolidated financial statements of</w:t>
      </w:r>
      <w:r w:rsidRPr="005718D2">
        <w:t xml:space="preserve"> IG Design Group plc</w:t>
      </w:r>
      <w:r>
        <w:t xml:space="preserve"> have been prepared in accordance with UK-adopted International Accounting Standards and with the requirements of the Companies Act 2006 applicable to companies reporting under those standards.</w:t>
      </w:r>
    </w:p>
    <w:p w14:paraId="6EFB012C" w14:textId="77777777" w:rsidR="00271E37" w:rsidRDefault="00271E37" w:rsidP="00810F81">
      <w:r>
        <w:t xml:space="preserve">The financial statements have been prepared under the historical cost convention, except for certain financial instruments that are measured at fair value, as explained in the accounting policies below. The Group financial statements are presented in pound sterling, and all values are rounded to the </w:t>
      </w:r>
      <w:r w:rsidRPr="002E2020">
        <w:t xml:space="preserve">nearest thousand, unless otherwise </w:t>
      </w:r>
      <w:r>
        <w:t>stated.</w:t>
      </w:r>
      <w:r w:rsidRPr="007C5621">
        <w:t xml:space="preserve"> </w:t>
      </w:r>
    </w:p>
    <w:p w14:paraId="2E68DC03" w14:textId="77777777" w:rsidR="00271E37" w:rsidRDefault="00271E37" w:rsidP="002E39D4"/>
    <w:p w14:paraId="07CD2FA4" w14:textId="77777777" w:rsidR="00271E37" w:rsidRDefault="00271E37" w:rsidP="002E39D4">
      <w:r>
        <w:t>The preparation of financial statements requires the use of estimates and assumptions that affect the reported amounts of assets and liabilities at the date of the financial statements and the reported amounts of income and expense during the reporting period. Although these estimates are based on management’s best knowledge of the amount, event or actions, actual results may ultimately differ from those estimates. The estimates and underlying assumptions are reviewed on an ongoing basis (see critical accounting judgements and estimates section below). Revisions to accounting estimates are recognised in the period in which the estimate is revised and future periods if relevant.</w:t>
      </w:r>
    </w:p>
    <w:p w14:paraId="65A9642B" w14:textId="77777777" w:rsidR="00271E37" w:rsidRDefault="00271E37" w:rsidP="002E39D4"/>
    <w:p w14:paraId="2E74AB4D" w14:textId="5957111C" w:rsidR="00271E37" w:rsidRDefault="00271E37" w:rsidP="002E39D4">
      <w:r>
        <w:t>For the purposes of these financial statements</w:t>
      </w:r>
      <w:r w:rsidR="00E75829">
        <w:t>,</w:t>
      </w:r>
      <w:r>
        <w:t xml:space="preserve"> ‘Design Group’ or ‘the Group’ means IG Design Group plc (‘the Company’) and its subsidiaries. The Company’s ordinary shares are listed on the Alternative Investment Market (AIM). </w:t>
      </w:r>
    </w:p>
    <w:p w14:paraId="4CDC6F1B" w14:textId="77777777" w:rsidR="00271E37" w:rsidRDefault="00271E37" w:rsidP="002E39D4"/>
    <w:p w14:paraId="3F9F393F" w14:textId="77777777" w:rsidR="00271E37" w:rsidRDefault="00271E37" w:rsidP="002E39D4">
      <w:r>
        <w:t>The financial statements are prepared under the historical cost convention except for derivative financial instruments which are measured at fair value and defined benefit pension plans where plan assets are measured at fair value and obligations are valued in accordance with IAS 19 Employee Benefits.</w:t>
      </w:r>
    </w:p>
    <w:p w14:paraId="5A6408F1" w14:textId="77777777" w:rsidR="00271E37" w:rsidRDefault="00271E37" w:rsidP="002E39D4"/>
    <w:p w14:paraId="4AB7E456" w14:textId="77777777" w:rsidR="00271E37" w:rsidRDefault="00271E37" w:rsidP="002E39D4">
      <w:r>
        <w:t xml:space="preserve">The accounting policies used in the preparation of these financial statements are detailed below. These policies have been consistently applied to all financial years presented. </w:t>
      </w:r>
    </w:p>
    <w:p w14:paraId="0BBF8878" w14:textId="77777777" w:rsidR="00271E37" w:rsidRDefault="00271E37" w:rsidP="002E39D4"/>
    <w:p w14:paraId="4DE3132C" w14:textId="77777777" w:rsidR="00271E37" w:rsidRPr="00DD777C" w:rsidRDefault="00271E37" w:rsidP="002E39D4">
      <w:pPr>
        <w:rPr>
          <w:i/>
          <w:iCs/>
        </w:rPr>
      </w:pPr>
      <w:r w:rsidRPr="00DD777C">
        <w:rPr>
          <w:i/>
          <w:iCs/>
        </w:rPr>
        <w:t>Presentation currency</w:t>
      </w:r>
    </w:p>
    <w:p w14:paraId="1B6365F0" w14:textId="77777777" w:rsidR="00271E37" w:rsidRDefault="00271E37" w:rsidP="002E39D4">
      <w:r>
        <w:t xml:space="preserve">The presentation currency of the Group is pound sterling (previously US dollars). </w:t>
      </w:r>
    </w:p>
    <w:p w14:paraId="4F4A71B1" w14:textId="77777777" w:rsidR="00271E37" w:rsidRDefault="00271E37" w:rsidP="002E39D4"/>
    <w:p w14:paraId="75F87468" w14:textId="77777777" w:rsidR="00271E37" w:rsidRDefault="00271E37" w:rsidP="002E39D4">
      <w:r>
        <w:t>The functional currency of the Parent Company is pound sterling as it is located in the United Kingdom and substantially all of its cash flows, assets and liabilities are denominated in pound sterling, as well as its share capital.</w:t>
      </w:r>
    </w:p>
    <w:p w14:paraId="5796A334" w14:textId="77777777" w:rsidR="00271E37" w:rsidRDefault="00271E37" w:rsidP="002E39D4"/>
    <w:p w14:paraId="48FFF19C" w14:textId="77777777" w:rsidR="00271E37" w:rsidRPr="00DD777C" w:rsidRDefault="00271E37" w:rsidP="002E39D4">
      <w:pPr>
        <w:rPr>
          <w:i/>
          <w:iCs/>
        </w:rPr>
      </w:pPr>
      <w:r w:rsidRPr="00DD777C">
        <w:rPr>
          <w:i/>
          <w:iCs/>
        </w:rPr>
        <w:t xml:space="preserve">Seasonality of the business </w:t>
      </w:r>
    </w:p>
    <w:p w14:paraId="1DE4C0D8" w14:textId="77777777" w:rsidR="00271E37" w:rsidRDefault="00271E37" w:rsidP="002E39D4">
      <w:r>
        <w:t xml:space="preserve">The business of the Group is seasonal and although revenues accrue relatively evenly in both halves of the year, working capital requirements including inventory levels increase steadily in the first half from July and peak in October as manufacturing and distribution of Christmas products builds ahead of distribution. The second half of the year sees the borrowing of the Group decline and move to typically a cash positive position as the Group collects its receivables through January to March. </w:t>
      </w:r>
    </w:p>
    <w:p w14:paraId="6BC6E9C5" w14:textId="77777777" w:rsidR="00271E37" w:rsidRDefault="00271E37" w:rsidP="002E39D4"/>
    <w:p w14:paraId="49031976" w14:textId="77777777" w:rsidR="00271E37" w:rsidRPr="00DD777C" w:rsidRDefault="00271E37" w:rsidP="002E39D4">
      <w:pPr>
        <w:rPr>
          <w:i/>
          <w:iCs/>
        </w:rPr>
      </w:pPr>
      <w:r w:rsidRPr="00DD777C">
        <w:rPr>
          <w:i/>
          <w:iCs/>
        </w:rPr>
        <w:t>Going concern</w:t>
      </w:r>
    </w:p>
    <w:p w14:paraId="16F4971E" w14:textId="77777777" w:rsidR="00271E37" w:rsidRPr="00A901B7" w:rsidRDefault="00271E37" w:rsidP="00A901B7">
      <w:r w:rsidRPr="00DB00B7">
        <w:t>The Group financial statements have been prepared on a going concern basis as the Directors have a reasonable expectation that the Group has adequate resources to continue trading for a period of at least twelve months from the date of this report</w:t>
      </w:r>
      <w:r>
        <w:t xml:space="preserve">. </w:t>
      </w:r>
      <w:r w:rsidRPr="00A901B7">
        <w:t xml:space="preserve">This expectation is based on the Directors’ assessment of the Group’s current financial position and future cash flow forecasts over the going concern period. The assessment also considers the structure of the Group’s </w:t>
      </w:r>
      <w:r>
        <w:t xml:space="preserve">current </w:t>
      </w:r>
      <w:r w:rsidRPr="00A901B7">
        <w:t>borrowing facilities</w:t>
      </w:r>
      <w:r>
        <w:t xml:space="preserve">. </w:t>
      </w:r>
      <w:r w:rsidRPr="00A901B7">
        <w:t>In forming this view, the Directors have also considered the Group’s liquidity headroom, its ability to adapt to changes in market conditions, and its capacity to manage principal business risks over the forecast period.</w:t>
      </w:r>
    </w:p>
    <w:p w14:paraId="405605CF" w14:textId="77777777" w:rsidR="00271E37" w:rsidRPr="00B8452B" w:rsidRDefault="00271E37" w:rsidP="002E39D4"/>
    <w:p w14:paraId="3F299A9C" w14:textId="77777777" w:rsidR="00271E37" w:rsidRPr="00A901B7" w:rsidRDefault="00271E37" w:rsidP="005A0587">
      <w:r w:rsidRPr="00BC4B4D">
        <w:t>On 1</w:t>
      </w:r>
      <w:r>
        <w:t>1</w:t>
      </w:r>
      <w:r w:rsidRPr="00BC4B4D">
        <w:t xml:space="preserve"> July 2025, the Group entered into a new Receivables Finance facility with HSBC and </w:t>
      </w:r>
      <w:r>
        <w:t>NatWest</w:t>
      </w:r>
      <w:r w:rsidRPr="00BC4B4D">
        <w:t>, replacing its previous Asset Backed Lending (ABL) arrangement. The new facility</w:t>
      </w:r>
      <w:r>
        <w:t xml:space="preserve"> is </w:t>
      </w:r>
      <w:r w:rsidRPr="00BC4B4D">
        <w:t>a</w:t>
      </w:r>
      <w:r>
        <w:t xml:space="preserve"> minimum</w:t>
      </w:r>
      <w:r w:rsidRPr="00BC4B4D">
        <w:t xml:space="preserve"> three-year agreement and provides funding capacity based on the level of eligible receivables across participating Group companies. The facility </w:t>
      </w:r>
      <w:r>
        <w:t>is subject to certain operational covenants but not financial covenants.</w:t>
      </w:r>
    </w:p>
    <w:p w14:paraId="3A1D264B" w14:textId="77777777" w:rsidR="00271E37" w:rsidRPr="00BC4B4D" w:rsidRDefault="00271E37" w:rsidP="005A0587"/>
    <w:p w14:paraId="0B52DA00" w14:textId="77777777" w:rsidR="00271E37" w:rsidRPr="00BC4B4D" w:rsidRDefault="00271E37" w:rsidP="005A0587">
      <w:r w:rsidRPr="00BC4B4D">
        <w:t>In connection with the implementation of this new facility, the Group's existing £15.0 million overdraft facility was cancelled.</w:t>
      </w:r>
    </w:p>
    <w:p w14:paraId="0481E1CF" w14:textId="77777777" w:rsidR="00271E37" w:rsidRDefault="00271E37" w:rsidP="005A0587"/>
    <w:p w14:paraId="05C07155" w14:textId="5E488868" w:rsidR="00271E37" w:rsidRPr="00BC4B4D" w:rsidRDefault="00271E37" w:rsidP="005A0587">
      <w:r w:rsidRPr="00BC4B4D">
        <w:t>Further details of the facility, including cash balances</w:t>
      </w:r>
      <w:r>
        <w:t xml:space="preserve"> and</w:t>
      </w:r>
      <w:r w:rsidRPr="00BC4B4D">
        <w:t xml:space="preserve"> borrowings</w:t>
      </w:r>
      <w:r w:rsidR="00AC6E57">
        <w:t>,</w:t>
      </w:r>
      <w:r w:rsidRPr="00BC4B4D">
        <w:t xml:space="preserve"> are provided in notes 14 and 15.</w:t>
      </w:r>
    </w:p>
    <w:p w14:paraId="42C88705" w14:textId="77777777" w:rsidR="00271E37" w:rsidRPr="00B8452B" w:rsidRDefault="00271E37" w:rsidP="002E39D4"/>
    <w:p w14:paraId="21F0AD0D" w14:textId="77777777" w:rsidR="00271E37" w:rsidRDefault="00271E37" w:rsidP="002E39D4">
      <w:r w:rsidRPr="006971B4">
        <w:t>The Group also has access to supplier financing arrangements offered by certain customers, which it may utilise at specific times of the year. These arrangements are subject to the continuing support of the customers’ banking partners and could therefore be withdrawn at short notice. Under the terms of the Group’s Receivables Finance facility, the use of such supplier financing arrangements requires prior written consent from the facility lenders.</w:t>
      </w:r>
    </w:p>
    <w:p w14:paraId="292B8438" w14:textId="77777777" w:rsidR="00271E37" w:rsidRPr="00B8452B" w:rsidRDefault="00271E37" w:rsidP="002E39D4"/>
    <w:p w14:paraId="057C308A" w14:textId="42FEDC75" w:rsidR="00271E37" w:rsidRDefault="00271E37" w:rsidP="002E39D4">
      <w:r w:rsidRPr="00FE4DEC">
        <w:t>The Directors have assessed detailed forecasts through to 30 September 202</w:t>
      </w:r>
      <w:r>
        <w:t>7</w:t>
      </w:r>
      <w:r w:rsidRPr="00FE4DEC">
        <w:t>.</w:t>
      </w:r>
      <w:r w:rsidRPr="00F86C27">
        <w:t xml:space="preserve"> </w:t>
      </w:r>
      <w:r>
        <w:t xml:space="preserve">Following the disposal of </w:t>
      </w:r>
      <w:r w:rsidR="00085CA6">
        <w:t>the</w:t>
      </w:r>
      <w:r>
        <w:t xml:space="preserve"> DG Americas division, t</w:t>
      </w:r>
      <w:r w:rsidRPr="00F86C27">
        <w:t>hese reflect reduced volatility in profitability and cash generation across the remaining Group, and continued progress towards more consistent and robust financial performance. The forecasts also take into account the seasonal nature of the Group’s operations</w:t>
      </w:r>
      <w:r>
        <w:t xml:space="preserve"> and working capital cycle</w:t>
      </w:r>
      <w:r w:rsidRPr="00F86C27">
        <w:t>.</w:t>
      </w:r>
    </w:p>
    <w:p w14:paraId="085EC998" w14:textId="77777777" w:rsidR="00271E37" w:rsidRPr="00B8452B" w:rsidRDefault="00271E37" w:rsidP="002E39D4"/>
    <w:p w14:paraId="37688D2F" w14:textId="77777777" w:rsidR="00271E37" w:rsidRPr="009B26F0" w:rsidRDefault="00271E37" w:rsidP="002E39D4">
      <w:r w:rsidRPr="009B26F0">
        <w:t xml:space="preserve">These forecasts have been sensitised to reflect severe but plausible adverse </w:t>
      </w:r>
      <w:r>
        <w:t>scenarios</w:t>
      </w:r>
      <w:r w:rsidRPr="009B26F0">
        <w:t xml:space="preserve">. Specifically, </w:t>
      </w:r>
      <w:r>
        <w:t xml:space="preserve">the </w:t>
      </w:r>
      <w:r w:rsidRPr="009B26F0">
        <w:t>scenario</w:t>
      </w:r>
      <w:r>
        <w:t>s</w:t>
      </w:r>
      <w:r w:rsidRPr="009B26F0">
        <w:t xml:space="preserve"> </w:t>
      </w:r>
      <w:r>
        <w:t>considered</w:t>
      </w:r>
      <w:r w:rsidRPr="009B26F0">
        <w:t xml:space="preserve"> the following risks:</w:t>
      </w:r>
    </w:p>
    <w:p w14:paraId="40FD0A0F" w14:textId="60A00656" w:rsidR="00271E37" w:rsidRPr="00780315" w:rsidRDefault="00271E37" w:rsidP="008931C5">
      <w:pPr>
        <w:pStyle w:val="LBbullets"/>
      </w:pPr>
      <w:r>
        <w:t>a</w:t>
      </w:r>
      <w:r w:rsidRPr="006E5B5C">
        <w:t xml:space="preserve"> potential loss of </w:t>
      </w:r>
      <w:r>
        <w:t xml:space="preserve">significant trading with a </w:t>
      </w:r>
      <w:r w:rsidRPr="006E5B5C">
        <w:t xml:space="preserve">major customer, modelled as an </w:t>
      </w:r>
      <w:r w:rsidRPr="00780315">
        <w:t xml:space="preserve">estimated £27 million reduction in sales, with associated impacts on cash flow, facility availability and working capital; </w:t>
      </w:r>
    </w:p>
    <w:p w14:paraId="4677ADF3" w14:textId="77777777" w:rsidR="00271E37" w:rsidRPr="00780315" w:rsidRDefault="00271E37" w:rsidP="008931C5">
      <w:pPr>
        <w:pStyle w:val="LBbullets"/>
      </w:pPr>
      <w:r w:rsidRPr="00780315">
        <w:t>a sustained period of inflation in freight rates, resulting in approximately £5.6 million of additional costs and related cash outflows; and</w:t>
      </w:r>
    </w:p>
    <w:p w14:paraId="78592E92" w14:textId="77777777" w:rsidR="00271E37" w:rsidRPr="009B26F0" w:rsidRDefault="00271E37" w:rsidP="008931C5">
      <w:pPr>
        <w:pStyle w:val="LBbullets"/>
      </w:pPr>
      <w:r>
        <w:t>t</w:t>
      </w:r>
      <w:r w:rsidRPr="009E307C">
        <w:t xml:space="preserve">he occurrence of a cyber security incident during peak trading periods, modelled as a </w:t>
      </w:r>
      <w:r w:rsidRPr="00780315">
        <w:t>temporary £16 million reduction</w:t>
      </w:r>
      <w:r w:rsidRPr="009E307C">
        <w:t xml:space="preserve"> in receivables, affecting both liquidity and availability under the Group’s receivables-based facility</w:t>
      </w:r>
      <w:r w:rsidRPr="009B26F0">
        <w:t>.</w:t>
      </w:r>
    </w:p>
    <w:p w14:paraId="105C9B71" w14:textId="77777777" w:rsidR="00271E37" w:rsidRPr="00B8452B" w:rsidRDefault="00271E37" w:rsidP="002E39D4"/>
    <w:p w14:paraId="4BC3F007" w14:textId="77777777" w:rsidR="00271E37" w:rsidRPr="00A37CA1" w:rsidRDefault="00271E37">
      <w:r w:rsidRPr="00A37CA1">
        <w:t>In the severe but plausible combined scenarios modelled, and before considering any mitigating actions, our forecast shows sufficient liquidity headroom.</w:t>
      </w:r>
    </w:p>
    <w:p w14:paraId="36DC1C4D" w14:textId="77777777" w:rsidR="00271E37" w:rsidRPr="00B8452B" w:rsidRDefault="00271E37" w:rsidP="002E39D4"/>
    <w:p w14:paraId="3536950F" w14:textId="77777777" w:rsidR="00271E37" w:rsidRDefault="00271E37" w:rsidP="002E39D4">
      <w:r w:rsidRPr="00AE2814">
        <w:t>Based on this assessment, the Directors have formed a judgement that there is a reasonable expectation the Group will have adequate resources to continue in operational existence for the foreseeable future.</w:t>
      </w:r>
    </w:p>
    <w:p w14:paraId="0A01272F" w14:textId="77777777" w:rsidR="00271E37" w:rsidRDefault="00271E37" w:rsidP="002E39D4"/>
    <w:p w14:paraId="6948FB88" w14:textId="77777777" w:rsidR="00271E37" w:rsidRPr="00DD777C" w:rsidRDefault="00271E37" w:rsidP="002E39D4">
      <w:pPr>
        <w:rPr>
          <w:i/>
          <w:iCs/>
        </w:rPr>
      </w:pPr>
      <w:r w:rsidRPr="00DD777C">
        <w:rPr>
          <w:i/>
          <w:iCs/>
        </w:rPr>
        <w:t>Changes in accounting policies</w:t>
      </w:r>
    </w:p>
    <w:p w14:paraId="2FE678DC" w14:textId="77777777" w:rsidR="00271E37" w:rsidRDefault="00271E37" w:rsidP="002E39D4">
      <w:r>
        <w:t xml:space="preserve">There have been no changes to accounting policies during the year. </w:t>
      </w:r>
    </w:p>
    <w:p w14:paraId="37B74B57" w14:textId="77777777" w:rsidR="00271E37" w:rsidRDefault="00271E37" w:rsidP="002E39D4"/>
    <w:p w14:paraId="0DD22405" w14:textId="77777777" w:rsidR="00271E37" w:rsidRPr="00DD777C" w:rsidRDefault="00271E37" w:rsidP="002E39D4">
      <w:pPr>
        <w:rPr>
          <w:i/>
          <w:iCs/>
        </w:rPr>
      </w:pPr>
      <w:r w:rsidRPr="00DD777C">
        <w:rPr>
          <w:i/>
          <w:iCs/>
        </w:rPr>
        <w:t xml:space="preserve">Other standards and interpretations </w:t>
      </w:r>
    </w:p>
    <w:p w14:paraId="51BC9E5F" w14:textId="77777777" w:rsidR="00271E37" w:rsidRDefault="00271E37" w:rsidP="002E39D4">
      <w:r>
        <w:t>The Group adopted the following new standards and amendments at the start of the year, which did not have any material impact on the Group’s financial statements:</w:t>
      </w:r>
    </w:p>
    <w:p w14:paraId="4C147216" w14:textId="77777777" w:rsidR="00271E37" w:rsidRPr="008E0217" w:rsidRDefault="00271E37" w:rsidP="00450CB6"/>
    <w:p w14:paraId="47698C16" w14:textId="564B4393" w:rsidR="00271E37" w:rsidRPr="008E0217" w:rsidRDefault="00271E37" w:rsidP="005B0EAC">
      <w:pPr>
        <w:pStyle w:val="Default"/>
        <w:numPr>
          <w:ilvl w:val="0"/>
          <w:numId w:val="13"/>
        </w:numPr>
        <w:ind w:left="284" w:hanging="284"/>
        <w:rPr>
          <w:bCs/>
          <w:iCs/>
          <w:sz w:val="16"/>
          <w:szCs w:val="16"/>
        </w:rPr>
      </w:pPr>
      <w:r w:rsidRPr="008E0217">
        <w:rPr>
          <w:bCs/>
          <w:iCs/>
          <w:sz w:val="16"/>
          <w:szCs w:val="16"/>
        </w:rPr>
        <w:t>Lack of Exchangeability</w:t>
      </w:r>
      <w:r>
        <w:rPr>
          <w:bCs/>
          <w:iCs/>
          <w:sz w:val="16"/>
          <w:szCs w:val="16"/>
        </w:rPr>
        <w:t xml:space="preserve"> - Amendments to IAS 21 </w:t>
      </w:r>
      <w:r w:rsidRPr="00C951FF">
        <w:rPr>
          <w:sz w:val="16"/>
          <w:szCs w:val="16"/>
        </w:rPr>
        <w:t>(effective for annual periods beginning on or after 1 January 202</w:t>
      </w:r>
      <w:r>
        <w:rPr>
          <w:sz w:val="16"/>
          <w:szCs w:val="16"/>
        </w:rPr>
        <w:t>5</w:t>
      </w:r>
      <w:r w:rsidRPr="00C951FF">
        <w:rPr>
          <w:sz w:val="16"/>
          <w:szCs w:val="16"/>
        </w:rPr>
        <w:t>)</w:t>
      </w:r>
      <w:r w:rsidR="00292486">
        <w:rPr>
          <w:sz w:val="16"/>
          <w:szCs w:val="16"/>
        </w:rPr>
        <w:t>.</w:t>
      </w:r>
    </w:p>
    <w:p w14:paraId="372FF685" w14:textId="77777777" w:rsidR="00271E37" w:rsidRDefault="00271E37" w:rsidP="002E39D4"/>
    <w:p w14:paraId="46110D94" w14:textId="77777777" w:rsidR="00271E37" w:rsidRDefault="00271E37" w:rsidP="002E39D4">
      <w:r>
        <w:t>Certain new accounting standards and interpretations have been published that are not yet effective and have not been early adopted by the Group. These standards are not expected to have a material impact on the entity in the current or future reporting periods and on foreseeable future transactions:</w:t>
      </w:r>
    </w:p>
    <w:p w14:paraId="1742C8A0" w14:textId="77777777" w:rsidR="00271E37" w:rsidRDefault="00271E37" w:rsidP="009D36D4">
      <w:pPr>
        <w:pStyle w:val="Default"/>
        <w:rPr>
          <w:color w:val="auto"/>
        </w:rPr>
      </w:pPr>
    </w:p>
    <w:p w14:paraId="78175E24" w14:textId="77777777" w:rsidR="00271E37" w:rsidRDefault="00271E37" w:rsidP="005B0EAC">
      <w:pPr>
        <w:pStyle w:val="Default"/>
        <w:numPr>
          <w:ilvl w:val="0"/>
          <w:numId w:val="13"/>
        </w:numPr>
        <w:ind w:left="284" w:hanging="284"/>
        <w:rPr>
          <w:sz w:val="16"/>
          <w:szCs w:val="16"/>
        </w:rPr>
      </w:pPr>
      <w:r w:rsidRPr="00BD0DBC">
        <w:rPr>
          <w:sz w:val="16"/>
          <w:szCs w:val="16"/>
        </w:rPr>
        <w:t xml:space="preserve">Amendments to IFRS 9 and IFRS 7 </w:t>
      </w:r>
      <w:r>
        <w:rPr>
          <w:sz w:val="16"/>
          <w:szCs w:val="16"/>
        </w:rPr>
        <w:t xml:space="preserve">- </w:t>
      </w:r>
      <w:r w:rsidRPr="00BD0DBC">
        <w:rPr>
          <w:sz w:val="16"/>
          <w:szCs w:val="16"/>
        </w:rPr>
        <w:t xml:space="preserve">Classification and Measurement of Financial Instruments (effective </w:t>
      </w:r>
      <w:r w:rsidRPr="00C951FF">
        <w:rPr>
          <w:sz w:val="16"/>
          <w:szCs w:val="16"/>
        </w:rPr>
        <w:t>for annual periods beginning on or after 1 January 202</w:t>
      </w:r>
      <w:r>
        <w:rPr>
          <w:sz w:val="16"/>
          <w:szCs w:val="16"/>
        </w:rPr>
        <w:t>6</w:t>
      </w:r>
      <w:r w:rsidRPr="00BD0DBC">
        <w:rPr>
          <w:sz w:val="16"/>
          <w:szCs w:val="16"/>
        </w:rPr>
        <w:t>);</w:t>
      </w:r>
    </w:p>
    <w:p w14:paraId="338377E0" w14:textId="77777777" w:rsidR="00271E37" w:rsidRDefault="00271E37" w:rsidP="005B0EAC">
      <w:pPr>
        <w:pStyle w:val="Default"/>
        <w:numPr>
          <w:ilvl w:val="0"/>
          <w:numId w:val="13"/>
        </w:numPr>
        <w:ind w:left="284" w:hanging="284"/>
        <w:rPr>
          <w:sz w:val="16"/>
          <w:szCs w:val="16"/>
        </w:rPr>
      </w:pPr>
      <w:r w:rsidRPr="00BD0DBC">
        <w:rPr>
          <w:sz w:val="16"/>
          <w:szCs w:val="16"/>
        </w:rPr>
        <w:t xml:space="preserve">IFRS 19 ‘Subsidiaries without Public Accountability: Disclosures’ (effective for annual periods beginning on or after 1 January 2027); </w:t>
      </w:r>
    </w:p>
    <w:p w14:paraId="559A9C53" w14:textId="77777777" w:rsidR="00271E37" w:rsidRPr="00BD0DBC" w:rsidRDefault="00271E37" w:rsidP="005B0EAC">
      <w:pPr>
        <w:pStyle w:val="Default"/>
        <w:numPr>
          <w:ilvl w:val="0"/>
          <w:numId w:val="13"/>
        </w:numPr>
        <w:ind w:left="284" w:hanging="284"/>
        <w:rPr>
          <w:sz w:val="16"/>
          <w:szCs w:val="16"/>
        </w:rPr>
      </w:pPr>
      <w:r w:rsidRPr="00BD0DBC">
        <w:rPr>
          <w:sz w:val="16"/>
          <w:szCs w:val="16"/>
        </w:rPr>
        <w:t>IFRS 18 ‘Presentation and Disclosure in Financial Statements’ (effective for annual periods beginning on or after 1 January 2027)</w:t>
      </w:r>
      <w:r>
        <w:rPr>
          <w:sz w:val="16"/>
          <w:szCs w:val="16"/>
        </w:rPr>
        <w:t>;</w:t>
      </w:r>
    </w:p>
    <w:p w14:paraId="276BEEBA" w14:textId="77777777" w:rsidR="00271E37" w:rsidRDefault="00271E37">
      <w:pPr>
        <w:pStyle w:val="Default"/>
        <w:ind w:left="284"/>
        <w:rPr>
          <w:sz w:val="16"/>
          <w:szCs w:val="16"/>
        </w:rPr>
      </w:pPr>
      <w:r>
        <w:rPr>
          <w:sz w:val="16"/>
          <w:szCs w:val="16"/>
        </w:rPr>
        <w:t>and</w:t>
      </w:r>
    </w:p>
    <w:p w14:paraId="72B20F7D" w14:textId="26612D52" w:rsidR="00271E37" w:rsidRDefault="00271E37" w:rsidP="005B0EAC">
      <w:pPr>
        <w:pStyle w:val="Default"/>
        <w:numPr>
          <w:ilvl w:val="0"/>
          <w:numId w:val="13"/>
        </w:numPr>
        <w:ind w:left="284" w:hanging="284"/>
        <w:rPr>
          <w:sz w:val="16"/>
          <w:szCs w:val="16"/>
        </w:rPr>
      </w:pPr>
      <w:r w:rsidRPr="00A313A7">
        <w:rPr>
          <w:sz w:val="16"/>
          <w:szCs w:val="16"/>
        </w:rPr>
        <w:t>Amendments to IAS 21 - Translation to a Hyperinflationary Presentation Currency</w:t>
      </w:r>
      <w:r w:rsidRPr="00BD0DBC">
        <w:rPr>
          <w:sz w:val="16"/>
          <w:szCs w:val="16"/>
        </w:rPr>
        <w:t xml:space="preserve"> (effective for annual periods beginning on or after 1 January 2027)</w:t>
      </w:r>
      <w:r w:rsidR="00F30E62">
        <w:rPr>
          <w:sz w:val="16"/>
          <w:szCs w:val="16"/>
        </w:rPr>
        <w:t>.</w:t>
      </w:r>
    </w:p>
    <w:p w14:paraId="340917E9" w14:textId="77777777" w:rsidR="00271E37" w:rsidRPr="00BD0DBC" w:rsidRDefault="00271E37">
      <w:pPr>
        <w:pStyle w:val="Default"/>
        <w:rPr>
          <w:sz w:val="16"/>
          <w:szCs w:val="16"/>
        </w:rPr>
      </w:pPr>
    </w:p>
    <w:p w14:paraId="5BE715E4" w14:textId="77777777" w:rsidR="00271E37" w:rsidRDefault="00271E37">
      <w:pPr>
        <w:pStyle w:val="Heading3"/>
      </w:pPr>
      <w:r>
        <w:t>Restatement of comparative information</w:t>
      </w:r>
    </w:p>
    <w:p w14:paraId="4B3FBA46" w14:textId="761FEFB9" w:rsidR="00271E37" w:rsidRDefault="00271E37">
      <w:r w:rsidRPr="00D01B03">
        <w:t>In reporting its FY2026 results, the Group has adopted pound sterling as its presentation currency, replacing US dollars, and has applied this change retrospectively in accordance with IAS 8. The change follows a review of the Group’s reporting framework in light of its evolving structure, particularly the disposal of DG Americas, which has significantly reduced the proportion of US dollar</w:t>
      </w:r>
      <w:r w:rsidR="00C70F19">
        <w:t>-</w:t>
      </w:r>
      <w:r w:rsidRPr="00D01B03">
        <w:t>denominated revenues and profits.</w:t>
      </w:r>
    </w:p>
    <w:p w14:paraId="66D9DF3A" w14:textId="77777777" w:rsidR="00271E37" w:rsidRPr="00B931EC" w:rsidRDefault="00271E37">
      <w:pPr>
        <w:rPr>
          <w:i/>
        </w:rPr>
      </w:pPr>
    </w:p>
    <w:p w14:paraId="1A52F754" w14:textId="282B4696" w:rsidR="00712F0F" w:rsidRDefault="00D6088B">
      <w:r w:rsidRPr="00B931EC">
        <w:t>Comparative information throughout the annual report and financial statements has been translated into GBP using the same principles, and is therefore presented as if the financial statements had always been presented in GBP. As such, comparatives in the primary statements, the notes to the financial statements and where comparatives exist in narrative disclosure in the annual report and financial statements should be read as having been represented compared to those published in the prior year</w:t>
      </w:r>
      <w:r w:rsidR="00271E37" w:rsidRPr="00712F0F">
        <w:t>.</w:t>
      </w:r>
      <w:r w:rsidR="00271E37" w:rsidRPr="00D01B03">
        <w:t xml:space="preserve"> </w:t>
      </w:r>
    </w:p>
    <w:p w14:paraId="53346CA2" w14:textId="77777777" w:rsidR="00712F0F" w:rsidRDefault="00712F0F"/>
    <w:p w14:paraId="4F559F11" w14:textId="233F6C8F" w:rsidR="00271E37" w:rsidRDefault="00271E37">
      <w:r w:rsidRPr="00D01B03">
        <w:t xml:space="preserve">Assets and liabilities have been translated at the closing rate at each reporting date, income and expenses at the relevant average monthly exchange rates, and all resulting exchange differences have been recognised in the translation reserve. Equity components denominated in pound sterling remain at historical exchange rates. The currency translation reserve was set to the pound sterling value at 31 March 2020 (as disclosed in the FY2020 financial statements) and has then been recalculated each year as if the Group had reported in pound sterling since that </w:t>
      </w:r>
      <w:r w:rsidRPr="00DD406B">
        <w:t>date.</w:t>
      </w:r>
    </w:p>
    <w:p w14:paraId="22C437B4" w14:textId="77777777" w:rsidR="00271E37" w:rsidRDefault="00271E37" w:rsidP="002E39D4"/>
    <w:p w14:paraId="5C99B6C7" w14:textId="77777777" w:rsidR="00271E37" w:rsidRPr="00AA7A2D" w:rsidRDefault="00271E37">
      <w:pPr>
        <w:pStyle w:val="Heading3"/>
      </w:pPr>
      <w:r w:rsidRPr="00AA7A2D">
        <w:t>Basis of consolidation</w:t>
      </w:r>
    </w:p>
    <w:p w14:paraId="1005C796" w14:textId="77777777" w:rsidR="00271E37" w:rsidRPr="00AA7A2D" w:rsidRDefault="00271E37" w:rsidP="002E39D4">
      <w:pPr>
        <w:rPr>
          <w:i/>
          <w:iCs/>
        </w:rPr>
      </w:pPr>
      <w:r w:rsidRPr="00AA7A2D">
        <w:rPr>
          <w:i/>
          <w:iCs/>
        </w:rPr>
        <w:t>(i) Subsidiaries</w:t>
      </w:r>
    </w:p>
    <w:p w14:paraId="48C6906C" w14:textId="77777777" w:rsidR="00271E37" w:rsidRDefault="00271E37" w:rsidP="002E39D4">
      <w:r>
        <w:t xml:space="preserve">Subsidiaries are entities controlled by the Group. Control exists when the Group is exposed, or has rights, to variable returns from its involvement with the investee and has the ability to affect those returns through its power over the investee. </w:t>
      </w:r>
    </w:p>
    <w:p w14:paraId="049F4B4A" w14:textId="77777777" w:rsidR="00271E37" w:rsidRDefault="00271E37" w:rsidP="002E39D4"/>
    <w:p w14:paraId="6E18175E" w14:textId="77777777" w:rsidR="00271E37" w:rsidRDefault="00271E37" w:rsidP="002E39D4">
      <w:r>
        <w:lastRenderedPageBreak/>
        <w:t>Specifically, the Group controls an investee if, and only if, the Group has power over the investee (i.e. existing rights that give it the current ability to direct the relevant activities of the investee), exposure, or rights, to variable returns from its involvement with the investee and the ability to use its power over the investee to affect its returns. The financial statements of subsidiaries, which we consider the Group to have control, are included in the consolidated financial statements from the date that control commences until the date that control ceases.</w:t>
      </w:r>
    </w:p>
    <w:p w14:paraId="2D4567E9" w14:textId="77777777" w:rsidR="00271E37" w:rsidRDefault="00271E37" w:rsidP="002E39D4"/>
    <w:p w14:paraId="5AB02BBC" w14:textId="77777777" w:rsidR="00271E37" w:rsidRPr="00AA7A2D" w:rsidRDefault="00271E37" w:rsidP="002E39D4">
      <w:pPr>
        <w:rPr>
          <w:i/>
          <w:iCs/>
        </w:rPr>
      </w:pPr>
      <w:r w:rsidRPr="00AA7A2D">
        <w:rPr>
          <w:i/>
          <w:iCs/>
        </w:rPr>
        <w:t>(ii) Transactions eliminated on consolidation</w:t>
      </w:r>
    </w:p>
    <w:p w14:paraId="338AC030" w14:textId="77777777" w:rsidR="00271E37" w:rsidRDefault="00271E37" w:rsidP="002E39D4">
      <w:r>
        <w:t>Intragroup balances and any unrealised gains and losses or income and expense arising from intragroup transactions are eliminated in preparing the consolidated financial statements.</w:t>
      </w:r>
    </w:p>
    <w:p w14:paraId="6CFBB2B3" w14:textId="77777777" w:rsidR="00271E37" w:rsidRDefault="00271E37" w:rsidP="002E39D4"/>
    <w:p w14:paraId="0F035EE3" w14:textId="77777777" w:rsidR="00271E37" w:rsidRPr="00AA7A2D" w:rsidRDefault="00271E37" w:rsidP="002E39D4">
      <w:pPr>
        <w:rPr>
          <w:i/>
          <w:iCs/>
        </w:rPr>
      </w:pPr>
      <w:r w:rsidRPr="00AA7A2D">
        <w:rPr>
          <w:i/>
          <w:iCs/>
        </w:rPr>
        <w:t>(iii) Business combinations</w:t>
      </w:r>
    </w:p>
    <w:p w14:paraId="0F5BE6A3" w14:textId="77777777" w:rsidR="00271E37" w:rsidRDefault="00271E37" w:rsidP="002E39D4">
      <w:r>
        <w:t xml:space="preserve">Business combinations are accounted for using the acquisition method as at the date on which control is transferred to the Group. </w:t>
      </w:r>
    </w:p>
    <w:p w14:paraId="53ABA938" w14:textId="77777777" w:rsidR="00271E37" w:rsidRDefault="00271E37" w:rsidP="002E39D4"/>
    <w:p w14:paraId="7B87B769" w14:textId="77777777" w:rsidR="00271E37" w:rsidRDefault="00271E37" w:rsidP="002E39D4">
      <w:r>
        <w:t>The Group measures goodwill at the acquisition date as:</w:t>
      </w:r>
    </w:p>
    <w:p w14:paraId="209430D5" w14:textId="77777777" w:rsidR="00271E37" w:rsidRDefault="00271E37" w:rsidP="002E39D4"/>
    <w:p w14:paraId="70220E41" w14:textId="77777777" w:rsidR="00271E37" w:rsidRDefault="00271E37" w:rsidP="008931C5">
      <w:pPr>
        <w:pStyle w:val="LBbullets"/>
      </w:pPr>
      <w:r>
        <w:t>the fair value of the consideration transferred; plus</w:t>
      </w:r>
    </w:p>
    <w:p w14:paraId="6589BA43" w14:textId="77777777" w:rsidR="00271E37" w:rsidRDefault="00271E37" w:rsidP="008931C5">
      <w:pPr>
        <w:pStyle w:val="LBbullets"/>
      </w:pPr>
      <w:r>
        <w:t>the recognised amount of any non</w:t>
      </w:r>
      <w:r>
        <w:rPr>
          <w:rFonts w:ascii="Cambria Math" w:hAnsi="Cambria Math" w:cs="Cambria Math"/>
        </w:rPr>
        <w:t>‑</w:t>
      </w:r>
      <w:r>
        <w:t>controlling interests in the acquiree; plus</w:t>
      </w:r>
    </w:p>
    <w:p w14:paraId="6FBB96D8" w14:textId="77777777" w:rsidR="00271E37" w:rsidRDefault="00271E37" w:rsidP="008931C5">
      <w:pPr>
        <w:pStyle w:val="LBbullets"/>
      </w:pPr>
      <w:r>
        <w:t>if the business combination is achieved in stages, the fair value of the existing equity interest in the acquiree; less</w:t>
      </w:r>
    </w:p>
    <w:p w14:paraId="0A96DC00" w14:textId="77777777" w:rsidR="00271E37" w:rsidRDefault="00271E37" w:rsidP="008931C5">
      <w:pPr>
        <w:pStyle w:val="LBbullets"/>
      </w:pPr>
      <w:r>
        <w:t>the net recognised amount (generally fair value) of the identifiable assets acquired and liabilities assumed.</w:t>
      </w:r>
    </w:p>
    <w:p w14:paraId="5882A578" w14:textId="77777777" w:rsidR="00271E37" w:rsidRDefault="00271E37" w:rsidP="002E39D4"/>
    <w:p w14:paraId="2712D2A6" w14:textId="77777777" w:rsidR="00271E37" w:rsidRDefault="00271E37" w:rsidP="002E39D4">
      <w:r>
        <w:t>When the result is negative, a ‘bargain purchase’ gain is recognised immediately in the income statement.</w:t>
      </w:r>
    </w:p>
    <w:p w14:paraId="1827ECEB" w14:textId="77777777" w:rsidR="00271E37" w:rsidRDefault="00271E37" w:rsidP="002E39D4">
      <w:r>
        <w:t>Provisional fair values allocated at a reporting date are finalised within twelve months of the acquisition date.</w:t>
      </w:r>
    </w:p>
    <w:p w14:paraId="4EB8B934" w14:textId="77777777" w:rsidR="00271E37" w:rsidRDefault="00271E37"/>
    <w:p w14:paraId="1FA5E4D2" w14:textId="77777777" w:rsidR="00271E37" w:rsidRPr="00CB78B8" w:rsidRDefault="00271E37">
      <w:pPr>
        <w:pStyle w:val="Heading3"/>
      </w:pPr>
      <w:r w:rsidRPr="00CB78B8">
        <w:t>Discontinued operations</w:t>
      </w:r>
    </w:p>
    <w:p w14:paraId="3A481977" w14:textId="1F3FA796" w:rsidR="00271E37" w:rsidRPr="00CB78B8" w:rsidRDefault="00271E37">
      <w:r w:rsidRPr="00CB78B8">
        <w:t xml:space="preserve">A discontinued operation is a component of the Group’s business that represents a separate major line of business or geographical area of operations that has been disposed of or is held for sale or is a subsidiary acquired exclusively with a view to resale. Discontinued operations are presented separately from continuing operations in the consolidated income statement as a single amount comprising the post-tax results of the discontinued operation and the post-tax gain or loss recognised on its disposal. </w:t>
      </w:r>
    </w:p>
    <w:p w14:paraId="7B05C783" w14:textId="77777777" w:rsidR="00271E37" w:rsidRPr="00CB78B8" w:rsidRDefault="00271E37">
      <w:r w:rsidRPr="00CB78B8">
        <w:t xml:space="preserve">The assets and liabilities of a disposal group when classified as held for sale are measured at the lower of their carrying amount and fair value less costs to sell and are presented separately in the consolidated balance sheet. </w:t>
      </w:r>
    </w:p>
    <w:p w14:paraId="27C3F244" w14:textId="098F5E8D" w:rsidR="00271E37" w:rsidRDefault="00271E37" w:rsidP="002E39D4">
      <w:r w:rsidRPr="00CB78B8">
        <w:t>Comparative information for the prior period has been re</w:t>
      </w:r>
      <w:r w:rsidR="00124B73">
        <w:t>-</w:t>
      </w:r>
      <w:r w:rsidRPr="00CB78B8">
        <w:t>presented, where relevant, to reflect the classification of the disposed business as a discontinued operation, consistent with the current period presentation.</w:t>
      </w:r>
    </w:p>
    <w:p w14:paraId="2331CFFB" w14:textId="77777777" w:rsidR="00271E37" w:rsidRPr="00AA7A2D" w:rsidRDefault="00271E37">
      <w:pPr>
        <w:pStyle w:val="Heading3"/>
      </w:pPr>
      <w:r w:rsidRPr="00AA7A2D">
        <w:t>Foreign currency</w:t>
      </w:r>
    </w:p>
    <w:p w14:paraId="49048947" w14:textId="77777777" w:rsidR="00271E37" w:rsidRDefault="00271E37" w:rsidP="002E39D4">
      <w:r>
        <w:t xml:space="preserve">Items included in the financial statements of the Group’s subsidiaries are measured using the currency of the primary economic environment in which the subsidiary operates (‘functional currency’). </w:t>
      </w:r>
    </w:p>
    <w:p w14:paraId="4E13525E" w14:textId="77777777" w:rsidR="00271E37" w:rsidRDefault="00271E37" w:rsidP="002E39D4"/>
    <w:p w14:paraId="564BB75D" w14:textId="77777777" w:rsidR="00271E37" w:rsidRDefault="00271E37" w:rsidP="002E39D4">
      <w:r>
        <w:t>The consolidated financial statements are presented in pound sterling (previously US dollars).</w:t>
      </w:r>
    </w:p>
    <w:p w14:paraId="31C6551C" w14:textId="77777777" w:rsidR="00271E37" w:rsidRDefault="00271E37" w:rsidP="002E39D4"/>
    <w:p w14:paraId="20BBE359" w14:textId="77777777" w:rsidR="00271E37" w:rsidRPr="00AA7A2D" w:rsidRDefault="00271E37" w:rsidP="002E39D4">
      <w:pPr>
        <w:rPr>
          <w:i/>
          <w:iCs/>
        </w:rPr>
      </w:pPr>
      <w:r w:rsidRPr="00AA7A2D">
        <w:rPr>
          <w:i/>
          <w:iCs/>
        </w:rPr>
        <w:t>(i) Foreign currency transactions</w:t>
      </w:r>
    </w:p>
    <w:p w14:paraId="630D8E71" w14:textId="77777777" w:rsidR="00271E37" w:rsidRDefault="00271E37" w:rsidP="002E39D4">
      <w:r>
        <w:t>Transactions in foreign currencies are recorded at the rate of exchange at the date of the transaction. Monetary assets and liabilities denominated in foreign currencies at the balance sheet date are translated into the functional currency of the entity at the exchange rate prevailing at that date and recognised in the income statement unless hedge accounting criteria apply (see policy for financial instruments).</w:t>
      </w:r>
    </w:p>
    <w:p w14:paraId="1A1E7F56" w14:textId="77777777" w:rsidR="00271E37" w:rsidRDefault="00271E37" w:rsidP="002E39D4"/>
    <w:p w14:paraId="1F07CA81" w14:textId="77777777" w:rsidR="00271E37" w:rsidRPr="00AA7A2D" w:rsidRDefault="00271E37" w:rsidP="002E39D4">
      <w:pPr>
        <w:rPr>
          <w:i/>
          <w:iCs/>
        </w:rPr>
      </w:pPr>
      <w:r w:rsidRPr="00AA7A2D">
        <w:rPr>
          <w:i/>
          <w:iCs/>
        </w:rPr>
        <w:t>(ii) Financial statements of foreign operations</w:t>
      </w:r>
    </w:p>
    <w:p w14:paraId="08F07C8D" w14:textId="77777777" w:rsidR="00271E37" w:rsidRDefault="00271E37" w:rsidP="002E39D4">
      <w:r>
        <w:t>The assets and liabilities of foreign operations, including goodwill and fair value adjustments arising on consolidation, are translated into pound sterling at the exchange rate prevailing at the balance sheet date. The revenues and expenses of foreign operations are translated at an average rate for the period where this rate approximates to the foreign exchange rates prevailing at the dates of the transactions.</w:t>
      </w:r>
    </w:p>
    <w:p w14:paraId="0CE6DDDB" w14:textId="77777777" w:rsidR="00271E37" w:rsidRDefault="00271E37" w:rsidP="002E39D4"/>
    <w:p w14:paraId="0FD9C99E" w14:textId="77777777" w:rsidR="00271E37" w:rsidRDefault="00271E37" w:rsidP="002E39D4">
      <w:r>
        <w:t>Share capital, share premium, capital redemption reserve and merger reserve are denominated in pounds sterling, the Parent Company’s functional currency.</w:t>
      </w:r>
    </w:p>
    <w:p w14:paraId="31186893" w14:textId="77777777" w:rsidR="00271E37" w:rsidRDefault="00271E37" w:rsidP="002E39D4"/>
    <w:p w14:paraId="10708F65" w14:textId="77777777" w:rsidR="00271E37" w:rsidRPr="00AA7A2D" w:rsidRDefault="00271E37" w:rsidP="002E39D4">
      <w:pPr>
        <w:rPr>
          <w:i/>
          <w:iCs/>
        </w:rPr>
      </w:pPr>
      <w:r w:rsidRPr="00AA7A2D">
        <w:rPr>
          <w:i/>
          <w:iCs/>
        </w:rPr>
        <w:t>(iii) Net investment in foreign operations</w:t>
      </w:r>
    </w:p>
    <w:p w14:paraId="4939CDD0" w14:textId="77777777" w:rsidR="00271E37" w:rsidRDefault="00271E37" w:rsidP="002E39D4">
      <w:r>
        <w:t>Exchange differences on retranslation at the closing rate of the opening balances of overseas entities are taken to other comprehensive income. They are released into the income statement upon disposal of the entities.</w:t>
      </w:r>
    </w:p>
    <w:p w14:paraId="49998046" w14:textId="77777777" w:rsidR="00271E37" w:rsidRDefault="00271E37" w:rsidP="002E39D4"/>
    <w:p w14:paraId="20DAE3DC" w14:textId="77777777" w:rsidR="00271E37" w:rsidRDefault="00271E37" w:rsidP="002E39D4">
      <w:r>
        <w:t xml:space="preserve">Exchange differences arising on foreign currency borrowings and derivatives designated as qualifying hedges are taken to other comprehensive income to the extent that they are effective. They are released into the income statement on maturity or disposal of the hedge. </w:t>
      </w:r>
    </w:p>
    <w:p w14:paraId="08642E04" w14:textId="77777777" w:rsidR="00271E37" w:rsidRDefault="00271E37" w:rsidP="002E39D4"/>
    <w:p w14:paraId="064600AF" w14:textId="77777777" w:rsidR="00271E37" w:rsidRDefault="00271E37" w:rsidP="002E39D4">
      <w:r>
        <w:t xml:space="preserve">Exchange differences arising from a monetary item receivable from or payable to a foreign operation, the settlement of which is neither planned nor likely in the foreseeable future, are considered to form part of a net investment in a foreign operation and are recognised in other comprehensive income in the translation reserve. The cumulative translation differences previously recognised in other </w:t>
      </w:r>
      <w:r>
        <w:lastRenderedPageBreak/>
        <w:t xml:space="preserve">comprehensive income (or where the foreign operation is part of a subsidiary, the parent’s interest in the cumulative translation differences) are released into the income statement upon disposal of the foreign operation or on loss of control of the subsidiary that includes the foreign operation. Other exchange differences are taken to the income statement. </w:t>
      </w:r>
    </w:p>
    <w:p w14:paraId="4694FA03" w14:textId="77777777" w:rsidR="00271E37" w:rsidRDefault="00271E37" w:rsidP="002E39D4"/>
    <w:p w14:paraId="5C482705" w14:textId="77777777" w:rsidR="00271E37" w:rsidRPr="001F3486" w:rsidRDefault="00271E37">
      <w:pPr>
        <w:pStyle w:val="Heading3"/>
      </w:pPr>
      <w:r w:rsidRPr="001F3486">
        <w:t>Financial instruments</w:t>
      </w:r>
    </w:p>
    <w:p w14:paraId="570DD42A" w14:textId="77777777" w:rsidR="00271E37" w:rsidRDefault="00271E37" w:rsidP="002E39D4">
      <w:r>
        <w:t xml:space="preserve">Interest-bearing loans and borrowings and other financial liabilities (excluding derivatives and put options over non-controlling interests) are held at amortised cost, unless they are included in a hedge accounting relationship. </w:t>
      </w:r>
    </w:p>
    <w:p w14:paraId="489137EF" w14:textId="77777777" w:rsidR="00271E37" w:rsidRDefault="00271E37" w:rsidP="002E39D4"/>
    <w:p w14:paraId="061B9C27" w14:textId="77777777" w:rsidR="00271E37" w:rsidRDefault="00271E37" w:rsidP="002E39D4">
      <w:r>
        <w:t>Derivatives are measured initially at fair value. Subsequent measurement in the financial statements depends on the classification of the derivative as follows:</w:t>
      </w:r>
    </w:p>
    <w:p w14:paraId="6C422CDA" w14:textId="77777777" w:rsidR="00271E37" w:rsidRDefault="00271E37" w:rsidP="002E39D4"/>
    <w:p w14:paraId="41BF993D" w14:textId="77777777" w:rsidR="00271E37" w:rsidRPr="001F3486" w:rsidRDefault="00271E37" w:rsidP="002E39D4">
      <w:pPr>
        <w:rPr>
          <w:i/>
          <w:iCs/>
        </w:rPr>
      </w:pPr>
      <w:r w:rsidRPr="001F3486">
        <w:rPr>
          <w:i/>
          <w:iCs/>
        </w:rPr>
        <w:t>(i) Fair value hedges</w:t>
      </w:r>
    </w:p>
    <w:p w14:paraId="6E667E51" w14:textId="77777777" w:rsidR="00271E37" w:rsidRDefault="00271E37" w:rsidP="002E39D4">
      <w:r>
        <w:t>Where a derivative is used to hedge the foreign exchange exposure of a monetary asset or liability, any gain or loss on the derivative is recognised in the income statement.</w:t>
      </w:r>
    </w:p>
    <w:p w14:paraId="6D08DC5D" w14:textId="77777777" w:rsidR="00271E37" w:rsidRDefault="00271E37" w:rsidP="002E39D4"/>
    <w:p w14:paraId="07FACE34" w14:textId="77777777" w:rsidR="00271E37" w:rsidRPr="001F3486" w:rsidRDefault="00271E37" w:rsidP="002E39D4">
      <w:pPr>
        <w:rPr>
          <w:i/>
          <w:iCs/>
        </w:rPr>
      </w:pPr>
      <w:r w:rsidRPr="001F3486">
        <w:rPr>
          <w:i/>
          <w:iCs/>
        </w:rPr>
        <w:t>(ii) Cash flow hedges</w:t>
      </w:r>
    </w:p>
    <w:p w14:paraId="3BC56274" w14:textId="77777777" w:rsidR="00271E37" w:rsidRDefault="00271E37" w:rsidP="002E39D4">
      <w:r>
        <w:t xml:space="preserve">Where a derivative is designated as a hedging instrument in a cash flow hedge, the change in fair value is recognised in other comprehensive income to the extent that it is effective and any ineffective portion is recognised in the income statement. Where the underlying transaction results in a financial asset, accumulated gains and losses are recognised in the income statement in the same period as the hedged item affects profit or loss. </w:t>
      </w:r>
    </w:p>
    <w:p w14:paraId="1E5ED382" w14:textId="77777777" w:rsidR="00271E37" w:rsidRDefault="00271E37" w:rsidP="002E39D4"/>
    <w:p w14:paraId="36E4F420" w14:textId="77777777" w:rsidR="00271E37" w:rsidRDefault="00271E37" w:rsidP="002E39D4">
      <w:r>
        <w:t>Where the hedged item results in a non-financial asset, the accumulated gains and losses previously recognised in other comprehensive income are included in the initial carrying value of the asset.</w:t>
      </w:r>
    </w:p>
    <w:p w14:paraId="0876378F" w14:textId="77777777" w:rsidR="00271E37" w:rsidRDefault="00271E37" w:rsidP="002E39D4"/>
    <w:p w14:paraId="3A3E2AD0" w14:textId="77777777" w:rsidR="00271E37" w:rsidRPr="001F3486" w:rsidRDefault="00271E37" w:rsidP="002E39D4">
      <w:pPr>
        <w:rPr>
          <w:i/>
          <w:iCs/>
        </w:rPr>
      </w:pPr>
      <w:r w:rsidRPr="001F3486">
        <w:rPr>
          <w:i/>
          <w:iCs/>
        </w:rPr>
        <w:t>(iii) Unhedged derivatives</w:t>
      </w:r>
    </w:p>
    <w:p w14:paraId="7DFD3A6F" w14:textId="77777777" w:rsidR="00271E37" w:rsidRDefault="00271E37" w:rsidP="002E39D4">
      <w:r>
        <w:t>The movements in the fair value of unhedged derivatives are charged/credited to the income statement.</w:t>
      </w:r>
    </w:p>
    <w:p w14:paraId="76B7C276" w14:textId="77777777" w:rsidR="00271E37" w:rsidRDefault="00271E37" w:rsidP="002E39D4"/>
    <w:p w14:paraId="02AC18BD" w14:textId="77777777" w:rsidR="00271E37" w:rsidRDefault="00271E37">
      <w:r>
        <w:t>The potential cash payments relating to put options issued by the Group over the non-controlling interest of subsidiary companies acquired are measured at estimated fair value and accounted for as financial liabilities. Subsequent to initial recognition, any changes to the carrying amount of non</w:t>
      </w:r>
      <w:r>
        <w:rPr>
          <w:rFonts w:ascii="Cambria Math" w:hAnsi="Cambria Math" w:cs="Cambria Math"/>
        </w:rPr>
        <w:t>‑</w:t>
      </w:r>
      <w:r>
        <w:t>controlling interest put option liabilities are recognised through equity.</w:t>
      </w:r>
    </w:p>
    <w:p w14:paraId="1F3DC57B" w14:textId="77777777" w:rsidR="00271E37" w:rsidRDefault="00271E37" w:rsidP="002E39D4"/>
    <w:p w14:paraId="1FCDC9B8" w14:textId="77777777" w:rsidR="00271E37" w:rsidRPr="001F3486" w:rsidRDefault="00271E37">
      <w:pPr>
        <w:pStyle w:val="Heading3"/>
      </w:pPr>
      <w:r w:rsidRPr="001F3486">
        <w:t>Cash and cash equivalents</w:t>
      </w:r>
    </w:p>
    <w:p w14:paraId="34C04DA5" w14:textId="4F9637A5" w:rsidR="00271E37" w:rsidRDefault="00271E37" w:rsidP="002E39D4">
      <w:r>
        <w:t>Cash and cash equivalents comprise cash balances and bank overdrafts that are repayable on demand. These form an integral part of the Group’s cash management and are included as part of cash and cash equivalents in the statement of cash flows. See note</w:t>
      </w:r>
      <w:r w:rsidR="0044305C">
        <w:t>s</w:t>
      </w:r>
      <w:r>
        <w:t xml:space="preserve"> 14, 15 and 24. </w:t>
      </w:r>
    </w:p>
    <w:p w14:paraId="506F7673" w14:textId="77777777" w:rsidR="00271E37" w:rsidRDefault="00271E37"/>
    <w:p w14:paraId="5F200CDE" w14:textId="77777777" w:rsidR="00271E37" w:rsidRPr="001F3486" w:rsidRDefault="00271E37">
      <w:pPr>
        <w:pStyle w:val="Heading3"/>
      </w:pPr>
      <w:r w:rsidRPr="001F3486">
        <w:t>Loans and borrowings</w:t>
      </w:r>
    </w:p>
    <w:p w14:paraId="6B9A7A7C" w14:textId="77777777" w:rsidR="00271E37" w:rsidRDefault="00271E37" w:rsidP="002E39D4">
      <w:r>
        <w:t>Loans and borrowings are initially measured at cost (which is equal to fair value at inception) and are subsequently measured at amortised cost using the effective interest method.</w:t>
      </w:r>
    </w:p>
    <w:p w14:paraId="2059DF16" w14:textId="77777777" w:rsidR="00271E37" w:rsidRDefault="00271E37" w:rsidP="002E39D4"/>
    <w:p w14:paraId="32D0022B" w14:textId="77777777" w:rsidR="00271E37" w:rsidRPr="001F3486" w:rsidRDefault="00271E37">
      <w:pPr>
        <w:pStyle w:val="Heading3"/>
      </w:pPr>
      <w:r w:rsidRPr="001F3486">
        <w:t>Trade and other receivables</w:t>
      </w:r>
    </w:p>
    <w:p w14:paraId="70F007C8" w14:textId="77777777" w:rsidR="00271E37" w:rsidRDefault="00271E37" w:rsidP="002E39D4">
      <w:r>
        <w:t>Trade receivables are initially recognised at fair value and subsequently measured at amortised cost, which is generally equivalent to recognition at nominal value less impairment loss calculated using the expected loss model.</w:t>
      </w:r>
    </w:p>
    <w:p w14:paraId="43676D88" w14:textId="77777777" w:rsidR="00271E37" w:rsidRDefault="00271E37" w:rsidP="002E39D4"/>
    <w:p w14:paraId="71E1C734" w14:textId="77777777" w:rsidR="00271E37" w:rsidRDefault="00271E37" w:rsidP="002E39D4">
      <w:r>
        <w:t>The Group applies a simplified model to recognise lifetime expected credit losses for its trade receivables and other receivables, including those due in greater than twelve months, by making an accounting policy election. For any receivables not expected to be paid, an expected credit loss of 100% is recognised at the point this expectation arises. For all other receivables, the expected loss is calculated based on reasonable and supportable information that is relevant and available without undue cost or effort. This includes both quantitative and qualitative information and analysis, based on the Group’s historical experience and informed credit assessment and including forward</w:t>
      </w:r>
      <w:r>
        <w:rPr>
          <w:rFonts w:ascii="Cambria Math" w:hAnsi="Cambria Math" w:cs="Cambria Math"/>
        </w:rPr>
        <w:t>‑</w:t>
      </w:r>
      <w:r>
        <w:t>looking information.</w:t>
      </w:r>
    </w:p>
    <w:p w14:paraId="7DA41D0F" w14:textId="77777777" w:rsidR="00271E37" w:rsidRDefault="00271E37" w:rsidP="002E39D4"/>
    <w:p w14:paraId="1BFBBC5E" w14:textId="77777777" w:rsidR="00271E37" w:rsidRPr="001F3486" w:rsidRDefault="00271E37">
      <w:pPr>
        <w:pStyle w:val="Heading3"/>
      </w:pPr>
      <w:r w:rsidRPr="001F3486">
        <w:t>Trade and other payables</w:t>
      </w:r>
    </w:p>
    <w:p w14:paraId="237615A0" w14:textId="77777777" w:rsidR="00271E37" w:rsidRDefault="00271E37" w:rsidP="002E39D4">
      <w:r>
        <w:t>Trade payables are non-interest bearing and are recognised initially at fair value and subsequently at amortised cost.</w:t>
      </w:r>
    </w:p>
    <w:p w14:paraId="04286CCD" w14:textId="77777777" w:rsidR="00271E37" w:rsidRDefault="00271E37" w:rsidP="002E39D4"/>
    <w:p w14:paraId="1DE2A780" w14:textId="77777777" w:rsidR="00271E37" w:rsidRPr="001F3486" w:rsidRDefault="00271E37">
      <w:pPr>
        <w:pStyle w:val="Heading3"/>
      </w:pPr>
      <w:r w:rsidRPr="001F3486">
        <w:t xml:space="preserve">Property, plant and equipment </w:t>
      </w:r>
    </w:p>
    <w:p w14:paraId="1B40A7BA" w14:textId="77777777" w:rsidR="00271E37" w:rsidRDefault="00271E37" w:rsidP="002E39D4">
      <w:r>
        <w:t>Property, plant and equipment are stated at cost less accumulated depreciation and impairment losses. Where parts of an item of property, plant and equipment or other assets have different useful lives, they are accounted for as separate items. The carrying values of property, plant and equipment and other assets are periodically reviewed for impairment when events or changes in circumstances indicate that the carrying values may not be recoverable.</w:t>
      </w:r>
    </w:p>
    <w:p w14:paraId="1A6F5653" w14:textId="77777777" w:rsidR="00271E37" w:rsidRDefault="00271E37" w:rsidP="002E39D4"/>
    <w:p w14:paraId="3C4F7A21" w14:textId="77777777" w:rsidR="00271E37" w:rsidRDefault="00271E37" w:rsidP="002E39D4">
      <w:r>
        <w:t>Property, plant and equipment are depreciated over their estimated remaining useful lives on a straight-line basis using the following estimated useful lives:</w:t>
      </w:r>
    </w:p>
    <w:p w14:paraId="500D24DF" w14:textId="77777777" w:rsidR="00271E37" w:rsidRDefault="00271E37" w:rsidP="002E39D4"/>
    <w:p w14:paraId="234C5388" w14:textId="77777777" w:rsidR="00271E37" w:rsidRPr="00D904AC" w:rsidRDefault="00271E37" w:rsidP="00D904AC">
      <w:r w:rsidRPr="00D904AC">
        <w:t>Land and buildings</w:t>
      </w:r>
    </w:p>
    <w:p w14:paraId="422D5E0D" w14:textId="77777777" w:rsidR="00271E37" w:rsidRPr="00D904AC" w:rsidRDefault="00271E37" w:rsidP="00D904AC">
      <w:r w:rsidRPr="00D904AC">
        <w:t>– Freehold land</w:t>
      </w:r>
      <w:r>
        <w:tab/>
      </w:r>
      <w:r>
        <w:tab/>
      </w:r>
      <w:r w:rsidRPr="00D904AC">
        <w:t>Not depreciated</w:t>
      </w:r>
    </w:p>
    <w:p w14:paraId="617DE3CD" w14:textId="77777777" w:rsidR="00271E37" w:rsidRPr="00D904AC" w:rsidRDefault="00271E37" w:rsidP="00D904AC">
      <w:r w:rsidRPr="00D904AC">
        <w:t xml:space="preserve">– Buildings </w:t>
      </w:r>
      <w:r>
        <w:tab/>
      </w:r>
      <w:r>
        <w:tab/>
      </w:r>
      <w:r w:rsidRPr="00D904AC">
        <w:t>25-30 years</w:t>
      </w:r>
      <w:r>
        <w:t xml:space="preserve"> </w:t>
      </w:r>
      <w:r w:rsidRPr="00D904AC">
        <w:t>or life of lease</w:t>
      </w:r>
    </w:p>
    <w:p w14:paraId="35990976" w14:textId="77777777" w:rsidR="00271E37" w:rsidRPr="00D904AC" w:rsidRDefault="00271E37" w:rsidP="00D904AC">
      <w:r w:rsidRPr="00D904AC">
        <w:t xml:space="preserve">Plant and equipment </w:t>
      </w:r>
      <w:r>
        <w:tab/>
      </w:r>
      <w:r w:rsidRPr="00D904AC">
        <w:t>4-25 years</w:t>
      </w:r>
    </w:p>
    <w:p w14:paraId="4B0CD37A" w14:textId="77777777" w:rsidR="00271E37" w:rsidRPr="00D904AC" w:rsidRDefault="00271E37" w:rsidP="00D904AC">
      <w:r w:rsidRPr="00D904AC">
        <w:t xml:space="preserve">Fixtures and fittings </w:t>
      </w:r>
      <w:r>
        <w:tab/>
      </w:r>
      <w:r>
        <w:tab/>
      </w:r>
      <w:r w:rsidRPr="00D904AC">
        <w:t>3-5 years</w:t>
      </w:r>
    </w:p>
    <w:p w14:paraId="4619C078" w14:textId="77777777" w:rsidR="00271E37" w:rsidRDefault="00271E37" w:rsidP="00D904AC">
      <w:r w:rsidRPr="00D904AC">
        <w:t xml:space="preserve">Motor vehicles </w:t>
      </w:r>
      <w:r>
        <w:tab/>
      </w:r>
      <w:r>
        <w:tab/>
      </w:r>
      <w:r w:rsidRPr="00D904AC">
        <w:t>4 years</w:t>
      </w:r>
    </w:p>
    <w:p w14:paraId="64F98A91" w14:textId="77777777" w:rsidR="00271E37" w:rsidRDefault="00271E37" w:rsidP="002E39D4"/>
    <w:p w14:paraId="5445C7BF" w14:textId="1440F4F9" w:rsidR="00271E37" w:rsidRDefault="00271E37" w:rsidP="002E39D4">
      <w:r>
        <w:t xml:space="preserve">The assets’ useful lives and residual values are reviewed, and adjusted if appropriate, at each balance sheet date. Included within </w:t>
      </w:r>
      <w:r w:rsidR="006F72CB">
        <w:t xml:space="preserve">property, </w:t>
      </w:r>
      <w:r>
        <w:t xml:space="preserve">plant and equipment are assets with a range of depreciation rates. These rates are tailored to the nature of the assets to reflect their estimated useful lives. </w:t>
      </w:r>
    </w:p>
    <w:p w14:paraId="140CD9E2" w14:textId="77777777" w:rsidR="00271E37" w:rsidRDefault="00271E37" w:rsidP="002E39D4"/>
    <w:p w14:paraId="4C0F715E" w14:textId="77777777" w:rsidR="00271E37" w:rsidRDefault="00271E37" w:rsidP="002E39D4">
      <w:r>
        <w:t>Where the Group identifies assets held for sale, they are held at the lower of current value and fair value less costs to sell.</w:t>
      </w:r>
    </w:p>
    <w:p w14:paraId="077CFAD1" w14:textId="77777777" w:rsidR="00271E37" w:rsidRDefault="00271E37" w:rsidP="002E39D4"/>
    <w:p w14:paraId="60AEEB55" w14:textId="77777777" w:rsidR="00271E37" w:rsidRPr="001F3486" w:rsidRDefault="00271E37">
      <w:pPr>
        <w:pStyle w:val="Heading3"/>
      </w:pPr>
      <w:r w:rsidRPr="001F3486">
        <w:t>Lease liabilities and lease right</w:t>
      </w:r>
      <w:r w:rsidRPr="001F3486">
        <w:rPr>
          <w:rFonts w:ascii="Cambria Math" w:hAnsi="Cambria Math" w:cs="Cambria Math"/>
        </w:rPr>
        <w:t>‑</w:t>
      </w:r>
      <w:r w:rsidRPr="001F3486">
        <w:t>of-use assets</w:t>
      </w:r>
    </w:p>
    <w:p w14:paraId="3186F9B1" w14:textId="77777777" w:rsidR="00271E37" w:rsidRDefault="00271E37" w:rsidP="002E39D4">
      <w:r>
        <w:t>The Group leases various offices, warehouses, equipment and motor vehicles. Rental contracts are typically made for fixed periods of one to 20 years but may have extension options as described below. Lease terms are negotiated on an individual basis and contain a wide range of different terms and conditions. The lease agreements do not impose any covenants, but leased assets may not be used as security for borrowing purposes.</w:t>
      </w:r>
    </w:p>
    <w:p w14:paraId="2225BEAA" w14:textId="77777777" w:rsidR="00271E37" w:rsidRDefault="00271E37" w:rsidP="002E39D4"/>
    <w:p w14:paraId="1D103E8D" w14:textId="77777777" w:rsidR="00271E37" w:rsidRDefault="00271E37" w:rsidP="002E39D4">
      <w:r>
        <w:t>Leases greater than twelve months in length, and those not of low value, are recognised as a lease right-of</w:t>
      </w:r>
      <w:r>
        <w:rPr>
          <w:rFonts w:ascii="Cambria Math" w:hAnsi="Cambria Math" w:cs="Cambria Math"/>
        </w:rPr>
        <w:t>‑</w:t>
      </w:r>
      <w:r>
        <w:t>use asset with the associated future lease payment terms recognised as a lease liability. The right-of-use assets and the associated lease liabilities are recognised by unwinding the future lease payments at the rate implicit to the lease or, if the rate implicit to the lease cannot be readily determined, at the relevant incremental borrowing rate.</w:t>
      </w:r>
    </w:p>
    <w:p w14:paraId="133C62F2" w14:textId="77777777" w:rsidR="00271E37" w:rsidRDefault="00271E37" w:rsidP="002E39D4"/>
    <w:p w14:paraId="0EAC887A" w14:textId="77777777" w:rsidR="00271E37" w:rsidRDefault="00271E37" w:rsidP="002E39D4">
      <w:r>
        <w:t>Lease liabilities include the net present value of the following lease payments:</w:t>
      </w:r>
    </w:p>
    <w:p w14:paraId="0BFC6A65" w14:textId="77777777" w:rsidR="00271E37" w:rsidRDefault="00271E37" w:rsidP="002E39D4"/>
    <w:p w14:paraId="6D8A4F66" w14:textId="77777777" w:rsidR="00271E37" w:rsidRDefault="00271E37" w:rsidP="008931C5">
      <w:pPr>
        <w:pStyle w:val="LBbullets"/>
      </w:pPr>
      <w:r>
        <w:t>fixed payments (including in substance fixed payments), less any lease incentives receivable;</w:t>
      </w:r>
    </w:p>
    <w:p w14:paraId="6E14EA6C" w14:textId="77777777" w:rsidR="00271E37" w:rsidRDefault="00271E37" w:rsidP="008931C5">
      <w:pPr>
        <w:pStyle w:val="LBbullets"/>
      </w:pPr>
      <w:r>
        <w:t>amounts expected to be payable by the lessee under residual value guarantees;</w:t>
      </w:r>
    </w:p>
    <w:p w14:paraId="33722081" w14:textId="77777777" w:rsidR="00271E37" w:rsidRDefault="00271E37" w:rsidP="008931C5">
      <w:pPr>
        <w:pStyle w:val="LBbullets"/>
      </w:pPr>
      <w:r>
        <w:t>the exercise price of a purchase option if the lessee is reasonably certain to exercise that option; and</w:t>
      </w:r>
    </w:p>
    <w:p w14:paraId="3C55C4AA" w14:textId="77777777" w:rsidR="00271E37" w:rsidRDefault="00271E37" w:rsidP="008931C5">
      <w:pPr>
        <w:pStyle w:val="LBbullets"/>
      </w:pPr>
      <w:r>
        <w:t>payments of penalties for terminating the lease, if the lease term reflects the lessee exercising that option.</w:t>
      </w:r>
    </w:p>
    <w:p w14:paraId="41667264" w14:textId="77777777" w:rsidR="00271E37" w:rsidRDefault="00271E37" w:rsidP="002E39D4"/>
    <w:p w14:paraId="123F4EDB" w14:textId="77777777" w:rsidR="00271E37" w:rsidRDefault="00271E37" w:rsidP="002E39D4">
      <w:r>
        <w:t>The lease right-of-use assets are amortised over their useful economic lives or the lease term, whichever is shorter. The lease liabilities are derecognised by applying the future lease payments.</w:t>
      </w:r>
    </w:p>
    <w:p w14:paraId="21C0E9F2" w14:textId="77777777" w:rsidR="00271E37" w:rsidRDefault="00271E37" w:rsidP="002E39D4">
      <w:r>
        <w:t>Extension and termination options are included in a number of property and equipment leases across the Group. These terms are used to maximise operational flexibility in terms of managing contracts. The majority of extension and termination options held are exercisable only by the Group and not by the respective lessor. In determining the lease term, management considers all facts and circumstances that create an economic incentive to exercise an extension option, or not exercise a termination option. Extension options (or periods after termination options) are only included in the lease term if the lease is reasonably certain to be extended (or not terminated). The assessment is reviewed if a significant event or a significant change in circumstances occurs which affects this assessment and that is within the control of the lessee.</w:t>
      </w:r>
    </w:p>
    <w:p w14:paraId="00DBC036" w14:textId="77777777" w:rsidR="00271E37" w:rsidRDefault="00271E37" w:rsidP="002E39D4"/>
    <w:p w14:paraId="09697C30" w14:textId="77777777" w:rsidR="00271E37" w:rsidRDefault="00271E37" w:rsidP="002E39D4">
      <w:r>
        <w:t>Rentals associated with leases that are of low value or less than twelve months in length are expensed to the income statement on a straight-line basis. The associated lease incentives are amortised in the income statement over the life of the lease.</w:t>
      </w:r>
    </w:p>
    <w:p w14:paraId="2ECDE321" w14:textId="77777777" w:rsidR="00271E37" w:rsidRDefault="00271E37" w:rsidP="002E39D4"/>
    <w:p w14:paraId="2B8F35FB" w14:textId="77777777" w:rsidR="00271E37" w:rsidRDefault="00271E37" w:rsidP="002E39D4">
      <w:r>
        <w:t>On acquisition, right-of-use assets and lease liabilities are recognised in accordance with IFRS 16. The acquired lease liability is measured as if the lease contract was a new lease at the acquisition date. The right-of-use asset is measured at an amount equal to the recognised lease liability.</w:t>
      </w:r>
    </w:p>
    <w:p w14:paraId="301696DE" w14:textId="77777777" w:rsidR="00271E37" w:rsidRDefault="00271E37" w:rsidP="002E39D4"/>
    <w:p w14:paraId="6DA69913" w14:textId="77777777" w:rsidR="00271E37" w:rsidRDefault="00271E37" w:rsidP="002E39D4">
      <w:r>
        <w:t>The right</w:t>
      </w:r>
      <w:r>
        <w:rPr>
          <w:rFonts w:ascii="Cambria Math" w:hAnsi="Cambria Math" w:cs="Cambria Math"/>
        </w:rPr>
        <w:t>‑</w:t>
      </w:r>
      <w:r>
        <w:t>of</w:t>
      </w:r>
      <w:r>
        <w:rPr>
          <w:rFonts w:ascii="Cambria Math" w:hAnsi="Cambria Math" w:cs="Cambria Math"/>
        </w:rPr>
        <w:t>‑</w:t>
      </w:r>
      <w:r>
        <w:t xml:space="preserve">use asset is adjusted to reflect any favourable or unfavourable terms of the lease relative to market terms. </w:t>
      </w:r>
    </w:p>
    <w:p w14:paraId="2B4B6EF8" w14:textId="77777777" w:rsidR="00271E37" w:rsidRDefault="00271E37" w:rsidP="002E39D4"/>
    <w:p w14:paraId="07ECE21C" w14:textId="77777777" w:rsidR="00271E37" w:rsidRDefault="00271E37" w:rsidP="002E39D4">
      <w:r>
        <w:t>Right-of-use assets are impaired in line with the impairment accounting policy below.</w:t>
      </w:r>
    </w:p>
    <w:p w14:paraId="25AB00A0" w14:textId="77777777" w:rsidR="00271E37" w:rsidRDefault="00271E37" w:rsidP="002E39D4"/>
    <w:p w14:paraId="2C43B34C" w14:textId="77777777" w:rsidR="00271E37" w:rsidRPr="001F3486" w:rsidRDefault="00271E37">
      <w:pPr>
        <w:pStyle w:val="Heading3"/>
      </w:pPr>
      <w:r w:rsidRPr="001F3486">
        <w:t>Intangible assets</w:t>
      </w:r>
    </w:p>
    <w:p w14:paraId="3C4234CA" w14:textId="77777777" w:rsidR="00271E37" w:rsidRPr="001F3486" w:rsidRDefault="00271E37" w:rsidP="002E39D4">
      <w:pPr>
        <w:rPr>
          <w:i/>
          <w:iCs/>
        </w:rPr>
      </w:pPr>
      <w:r w:rsidRPr="001F3486">
        <w:rPr>
          <w:i/>
          <w:iCs/>
        </w:rPr>
        <w:t>(i) Goodwill</w:t>
      </w:r>
    </w:p>
    <w:p w14:paraId="52EFFC7A" w14:textId="77777777" w:rsidR="00271E37" w:rsidRDefault="00271E37" w:rsidP="002E39D4">
      <w:r>
        <w:t>Goodwill is stated at cost less any impairment losses.</w:t>
      </w:r>
    </w:p>
    <w:p w14:paraId="5BB5BF04" w14:textId="77777777" w:rsidR="00271E37" w:rsidRDefault="00271E37" w:rsidP="002E39D4"/>
    <w:p w14:paraId="666DEF77" w14:textId="77777777" w:rsidR="00271E37" w:rsidRDefault="00271E37" w:rsidP="002E39D4">
      <w:r>
        <w:t>Acquisitions are accounted for using the purchase method. For acquisitions that have occurred since 1 January 2004, goodwill represents the difference between the fair value of the assets given in consideration and the fair value of identifiable assets, liabilities and contingent liabilities of the acquiree. For acquisitions made before 1 January 2004, goodwill is included on the basis of its deemed cost, which represents the amount previously recorded under UK GAAP.</w:t>
      </w:r>
    </w:p>
    <w:p w14:paraId="2288A177" w14:textId="77777777" w:rsidR="00271E37" w:rsidRDefault="00271E37" w:rsidP="002E39D4"/>
    <w:p w14:paraId="6EA72805" w14:textId="77777777" w:rsidR="00271E37" w:rsidRDefault="00271E37" w:rsidP="002E39D4">
      <w:r>
        <w:t>The Group has expensed costs attributable to acquisitions in the income statement. Given their one</w:t>
      </w:r>
      <w:r>
        <w:rPr>
          <w:rFonts w:ascii="Cambria Math" w:hAnsi="Cambria Math" w:cs="Cambria Math"/>
        </w:rPr>
        <w:t>‑</w:t>
      </w:r>
      <w:r>
        <w:t>off nature, these costs are generally presented within adjusting items.</w:t>
      </w:r>
    </w:p>
    <w:p w14:paraId="1DB74732" w14:textId="77777777" w:rsidR="00271E37" w:rsidRDefault="00271E37" w:rsidP="002E39D4"/>
    <w:p w14:paraId="1B331AEA" w14:textId="77777777" w:rsidR="00271E37" w:rsidRPr="001F3486" w:rsidRDefault="00271E37" w:rsidP="002E39D4">
      <w:pPr>
        <w:rPr>
          <w:i/>
          <w:iCs/>
        </w:rPr>
      </w:pPr>
      <w:r w:rsidRPr="001F3486">
        <w:rPr>
          <w:i/>
          <w:iCs/>
        </w:rPr>
        <w:t>(ii) Acquired intangible assets</w:t>
      </w:r>
    </w:p>
    <w:p w14:paraId="129C3D01" w14:textId="77777777" w:rsidR="00271E37" w:rsidRDefault="00271E37" w:rsidP="002E39D4">
      <w:r>
        <w:t xml:space="preserve">An intangible asset acquired in a business combination is recognised at fair value. Intangible assets principally relate to customer relationships, which are valued using discounted cash flows based on historical customer attrition rates, and trade names/brand, which are valued using an income approach. </w:t>
      </w:r>
    </w:p>
    <w:p w14:paraId="0EDD1978" w14:textId="77777777" w:rsidR="00271E37" w:rsidRDefault="00271E37" w:rsidP="002E39D4"/>
    <w:p w14:paraId="5326DCB8" w14:textId="77777777" w:rsidR="00271E37" w:rsidRDefault="00271E37" w:rsidP="002E39D4">
      <w:r>
        <w:t>The cost of intangible assets is amortised through the income statement on a straight</w:t>
      </w:r>
      <w:r>
        <w:rPr>
          <w:rFonts w:ascii="Cambria Math" w:hAnsi="Cambria Math" w:cs="Cambria Math"/>
        </w:rPr>
        <w:t>‑</w:t>
      </w:r>
      <w:r>
        <w:t>line basis over their estimated useful economic life and as these are assets directly attributed to the acquisition of a business, the amortisation costs are also presented within adjusting items.</w:t>
      </w:r>
    </w:p>
    <w:p w14:paraId="14EE6DAA" w14:textId="77777777" w:rsidR="00271E37" w:rsidRDefault="00271E37" w:rsidP="002E39D4"/>
    <w:p w14:paraId="19F1DF0A" w14:textId="77777777" w:rsidR="00271E37" w:rsidRPr="001F3486" w:rsidRDefault="00271E37" w:rsidP="002E39D4">
      <w:pPr>
        <w:rPr>
          <w:i/>
          <w:iCs/>
        </w:rPr>
      </w:pPr>
      <w:r w:rsidRPr="001F3486">
        <w:rPr>
          <w:i/>
          <w:iCs/>
        </w:rPr>
        <w:t>(iii) Other intangible assets</w:t>
      </w:r>
    </w:p>
    <w:p w14:paraId="6F0632A9" w14:textId="77777777" w:rsidR="00271E37" w:rsidRDefault="00271E37" w:rsidP="002E39D4">
      <w:r>
        <w:t>Other intangible assets which are not acquired through a business combination are recognised at cost, to the extent it is probable that the expected future economic benefits attributable to the asset will flow to the Group and that its cost can be measured reliably, and amortised on a straight-line basis over their estimated useful economic life.</w:t>
      </w:r>
    </w:p>
    <w:p w14:paraId="5BD267CB" w14:textId="77777777" w:rsidR="00271E37" w:rsidRDefault="00271E37" w:rsidP="002E39D4"/>
    <w:p w14:paraId="31E4ADE4" w14:textId="77777777" w:rsidR="00271E37" w:rsidRDefault="00271E37" w:rsidP="002E39D4">
      <w:r>
        <w:t>Intangibles are amortised over their estimated remaining useful lives on a straight-line basis as follows:</w:t>
      </w:r>
    </w:p>
    <w:p w14:paraId="2CEFC0D2" w14:textId="77777777" w:rsidR="00271E37" w:rsidRDefault="00271E37" w:rsidP="002E39D4"/>
    <w:p w14:paraId="04C50C96" w14:textId="77777777" w:rsidR="00271E37" w:rsidRPr="00D904AC" w:rsidRDefault="00271E37" w:rsidP="00D904AC">
      <w:r w:rsidRPr="00D904AC">
        <w:t>Goodwill</w:t>
      </w:r>
      <w:r>
        <w:tab/>
      </w:r>
      <w:r>
        <w:tab/>
      </w:r>
      <w:r>
        <w:tab/>
      </w:r>
      <w:r w:rsidRPr="00D904AC">
        <w:t xml:space="preserve"> Not amortised</w:t>
      </w:r>
    </w:p>
    <w:p w14:paraId="1680973C" w14:textId="77777777" w:rsidR="00271E37" w:rsidRPr="00D904AC" w:rsidRDefault="00271E37" w:rsidP="00D904AC">
      <w:r w:rsidRPr="00D904AC">
        <w:t>Computer software</w:t>
      </w:r>
      <w:r>
        <w:tab/>
      </w:r>
      <w:r>
        <w:tab/>
      </w:r>
      <w:r w:rsidRPr="00D904AC">
        <w:t xml:space="preserve"> 3-5 years</w:t>
      </w:r>
    </w:p>
    <w:p w14:paraId="5E3689E0" w14:textId="77777777" w:rsidR="00271E37" w:rsidRPr="00D904AC" w:rsidRDefault="00271E37" w:rsidP="00D904AC">
      <w:r w:rsidRPr="00D904AC">
        <w:t>Trade names</w:t>
      </w:r>
      <w:r>
        <w:tab/>
      </w:r>
      <w:r>
        <w:tab/>
      </w:r>
      <w:r w:rsidRPr="00D904AC">
        <w:t xml:space="preserve"> 3-5 years</w:t>
      </w:r>
    </w:p>
    <w:p w14:paraId="6D542F3D" w14:textId="77777777" w:rsidR="00271E37" w:rsidRPr="00D904AC" w:rsidRDefault="00271E37" w:rsidP="00D904AC">
      <w:r w:rsidRPr="00D904AC">
        <w:t>Customer relationships</w:t>
      </w:r>
      <w:r>
        <w:tab/>
      </w:r>
      <w:r w:rsidRPr="00D904AC">
        <w:t xml:space="preserve"> 3-15 years</w:t>
      </w:r>
    </w:p>
    <w:p w14:paraId="51A52155" w14:textId="77777777" w:rsidR="00271E37" w:rsidRDefault="00271E37" w:rsidP="00D904AC">
      <w:r w:rsidRPr="00D904AC">
        <w:t>Other intangibles</w:t>
      </w:r>
      <w:r>
        <w:tab/>
      </w:r>
      <w:r>
        <w:tab/>
      </w:r>
      <w:r w:rsidRPr="00D904AC">
        <w:t xml:space="preserve"> 3-5 years</w:t>
      </w:r>
    </w:p>
    <w:p w14:paraId="46FCA28E" w14:textId="77777777" w:rsidR="00271E37" w:rsidRDefault="00271E37" w:rsidP="002E39D4"/>
    <w:p w14:paraId="64F4F1E8" w14:textId="77777777" w:rsidR="00271E37" w:rsidRPr="00B8452B" w:rsidRDefault="00271E37" w:rsidP="002E39D4"/>
    <w:p w14:paraId="23F146B2" w14:textId="77777777" w:rsidR="00271E37" w:rsidRPr="001F3486" w:rsidRDefault="00271E37">
      <w:pPr>
        <w:pStyle w:val="Heading3"/>
      </w:pPr>
      <w:r w:rsidRPr="001F3486">
        <w:t>Impairment</w:t>
      </w:r>
    </w:p>
    <w:p w14:paraId="7A31E657" w14:textId="77777777" w:rsidR="00271E37" w:rsidRDefault="00271E37" w:rsidP="002E39D4">
      <w:r>
        <w:t>All assets are reviewed regularly to determine whether there is any indication of impairment. Goodwill is tested for impairment annually.</w:t>
      </w:r>
    </w:p>
    <w:p w14:paraId="675E82FA" w14:textId="77777777" w:rsidR="00271E37" w:rsidRDefault="00271E37" w:rsidP="002E39D4"/>
    <w:p w14:paraId="2FD395E6" w14:textId="77777777" w:rsidR="00271E37" w:rsidRDefault="00271E37" w:rsidP="002E39D4">
      <w:r>
        <w:t>An impairment loss is recognised whenever the carrying amount of a non</w:t>
      </w:r>
      <w:r>
        <w:rPr>
          <w:rFonts w:ascii="Cambria Math" w:hAnsi="Cambria Math" w:cs="Cambria Math"/>
        </w:rPr>
        <w:t>‑</w:t>
      </w:r>
      <w:r>
        <w:t>financial asset or the cash</w:t>
      </w:r>
      <w:r>
        <w:rPr>
          <w:rFonts w:ascii="Cambria Math" w:hAnsi="Cambria Math" w:cs="Cambria Math"/>
        </w:rPr>
        <w:t>‑</w:t>
      </w:r>
      <w:r>
        <w:t>generating unit (CGU) to which it belongs exceeds its recoverable amount, being the greater of value in use and fair value less costs to sell and is recognised in the income statement. Value in use is estimated based on future cash flows discounted using a pre-tax discount rate based upon the Group’s weighted average cost of capital.</w:t>
      </w:r>
    </w:p>
    <w:p w14:paraId="632A73AA" w14:textId="77777777" w:rsidR="00271E37" w:rsidRDefault="00271E37" w:rsidP="002E39D4"/>
    <w:p w14:paraId="6EA43C2A" w14:textId="77777777" w:rsidR="00271E37" w:rsidRDefault="00271E37" w:rsidP="002E39D4">
      <w:r>
        <w:t>Financial assets are assessed for impairment using the expected credit loss model which requires expected credit losses and changes to expected credit losses at each reporting date to reflect changes in credit risk since initial recognition.</w:t>
      </w:r>
    </w:p>
    <w:p w14:paraId="2DA4F751" w14:textId="77777777" w:rsidR="00271E37" w:rsidRDefault="00271E37" w:rsidP="002E39D4"/>
    <w:p w14:paraId="2CB0B32C" w14:textId="77777777" w:rsidR="00271E37" w:rsidRDefault="00271E37" w:rsidP="002E39D4">
      <w:r>
        <w:t>The reversal of an impairment loss should be recognised if there has been a sustainable change in the estimates used to determine the asset’s recoverable amount since the last impairment test was carried out. Impairment losses relating to goodwill are not permitted to be reversed.</w:t>
      </w:r>
    </w:p>
    <w:p w14:paraId="11D6632C" w14:textId="77777777" w:rsidR="00271E37" w:rsidRDefault="00271E37" w:rsidP="002E39D4"/>
    <w:p w14:paraId="68A74DB2" w14:textId="77777777" w:rsidR="00271E37" w:rsidRPr="003D0826" w:rsidRDefault="00271E37">
      <w:r w:rsidRPr="003D0826">
        <w:t>The assumptions used in impairment testing are consistent with the principal risks and uncertainties described in the Strategic Report, including exposure to consumer demand and input cost volatility.</w:t>
      </w:r>
    </w:p>
    <w:p w14:paraId="755CA723" w14:textId="77777777" w:rsidR="00271E37" w:rsidRPr="001F3486" w:rsidRDefault="00271E37">
      <w:pPr>
        <w:pStyle w:val="Heading3"/>
      </w:pPr>
      <w:r w:rsidRPr="001F3486">
        <w:t>Inventories</w:t>
      </w:r>
    </w:p>
    <w:p w14:paraId="7E84E51E" w14:textId="77777777" w:rsidR="00271E37" w:rsidRDefault="00271E37" w:rsidP="002E39D4">
      <w:r>
        <w:t>Inventories are valued at the lower of cost (on a weighted average basis) and net realisable value. For work</w:t>
      </w:r>
      <w:r>
        <w:rPr>
          <w:rFonts w:ascii="Cambria Math" w:hAnsi="Cambria Math" w:cs="Cambria Math"/>
        </w:rPr>
        <w:t>‑</w:t>
      </w:r>
      <w:r>
        <w:t>in</w:t>
      </w:r>
      <w:r>
        <w:rPr>
          <w:rFonts w:ascii="Cambria Math" w:hAnsi="Cambria Math" w:cs="Cambria Math"/>
        </w:rPr>
        <w:t>‑</w:t>
      </w:r>
      <w:r>
        <w:t>progress and finished goods, cost includes an appropriate proportion of labour cost and overheads based on normal operating capacity. For acquisitions, inventory acquired will be assessed for fair value in accordance with IFRS 3 and if applicable an uplift applied to inventory on hand relating to sales orders already attached to the acquired inventory. The unwind of the uplift in value is treated as an adjusting item.</w:t>
      </w:r>
    </w:p>
    <w:p w14:paraId="4B56B665" w14:textId="77777777" w:rsidR="00271E37" w:rsidRDefault="00271E37" w:rsidP="002E39D4"/>
    <w:p w14:paraId="58A01C54" w14:textId="77777777" w:rsidR="00271E37" w:rsidRPr="001F3486" w:rsidRDefault="00271E37">
      <w:pPr>
        <w:pStyle w:val="Heading3"/>
      </w:pPr>
      <w:r w:rsidRPr="001F3486">
        <w:t>Income tax</w:t>
      </w:r>
    </w:p>
    <w:p w14:paraId="116BA1FA" w14:textId="77777777" w:rsidR="00271E37" w:rsidRDefault="00271E37" w:rsidP="002E39D4">
      <w:r>
        <w:t>Income tax in the income statement comprises current and deferred tax. Income tax is recognised in the income statement except to the extent that it relates to items recognised in equity or other comprehensive income.</w:t>
      </w:r>
    </w:p>
    <w:p w14:paraId="6931B707" w14:textId="77777777" w:rsidR="00271E37" w:rsidRDefault="00271E37" w:rsidP="002E39D4"/>
    <w:p w14:paraId="33478520" w14:textId="77777777" w:rsidR="00271E37" w:rsidRDefault="00271E37" w:rsidP="002E39D4">
      <w:r>
        <w:t xml:space="preserve">Current tax is the expected tax payable on the taxable income for the year using the applicable tax rates enacted or substantively enacted at the balance sheet date and any adjustment to tax payable in prior years. Deferred tax is provided, using the balance sheet liability method, on temporary differences arising between the tax bases and the carrying amounts of assets and liabilities in the financial statements. </w:t>
      </w:r>
    </w:p>
    <w:p w14:paraId="59CAE095" w14:textId="77777777" w:rsidR="00271E37" w:rsidRDefault="00271E37" w:rsidP="002E39D4"/>
    <w:p w14:paraId="5716AAAA" w14:textId="77777777" w:rsidR="00271E37" w:rsidRDefault="00271E37" w:rsidP="002E39D4">
      <w:r>
        <w:t xml:space="preserve">The following temporary differences are not provided for: initial recognition of goodwill not deductible for tax purposes; the initial recognition of assets or liabilities that affect neither accounting nor taxable profit or loss other than in a business combination; and differences relating to investments in subsidiaries to the extent that they will not reverse in the foreseeable future. </w:t>
      </w:r>
    </w:p>
    <w:p w14:paraId="1B9E233D" w14:textId="77777777" w:rsidR="00271E37" w:rsidRDefault="00271E37" w:rsidP="002E39D4"/>
    <w:p w14:paraId="1CBA88B8" w14:textId="77777777" w:rsidR="00271E37" w:rsidRDefault="00271E37" w:rsidP="002E39D4">
      <w:r>
        <w:lastRenderedPageBreak/>
        <w:t>Deferred tax is determined using tax rates that are expected to apply when the related deferred tax asset or liability is settled, using the applicable tax rates enacted or substantively enacted at the balance sheet date.</w:t>
      </w:r>
    </w:p>
    <w:p w14:paraId="3B1BBF1B" w14:textId="77777777" w:rsidR="00271E37" w:rsidRDefault="00271E37" w:rsidP="002E39D4"/>
    <w:p w14:paraId="327F347E" w14:textId="77777777" w:rsidR="00271E37" w:rsidRDefault="00271E37" w:rsidP="002E39D4">
      <w:r>
        <w:t>A deferred tax asset is recognised only to the extent that it is probable that future taxable profit will be available against which the asset can be utilised. Deferred tax assets are impaired to the extent that it is no longer probable that the related tax benefits will be realised.</w:t>
      </w:r>
    </w:p>
    <w:p w14:paraId="550D9CC4" w14:textId="77777777" w:rsidR="00271E37" w:rsidRDefault="00271E37" w:rsidP="002E39D4"/>
    <w:p w14:paraId="0643E0A0" w14:textId="77777777" w:rsidR="00271E37" w:rsidRDefault="00271E37" w:rsidP="002E39D4">
      <w:r>
        <w:t>Deferred tax assets and liabilities are offset when there is a legally enforceable right to set off current tax assets against liabilities and when they relate to income taxes levied by the same tax authority and the Group intends to settle its current tax assets and liabilities on a net basis.</w:t>
      </w:r>
    </w:p>
    <w:p w14:paraId="750D104C" w14:textId="77777777" w:rsidR="00271E37" w:rsidRDefault="00271E37" w:rsidP="002E39D4"/>
    <w:p w14:paraId="113719F7" w14:textId="77777777" w:rsidR="00271E37" w:rsidRPr="001F3486" w:rsidRDefault="00271E37">
      <w:pPr>
        <w:pStyle w:val="Heading3"/>
      </w:pPr>
      <w:r w:rsidRPr="001F3486">
        <w:t>Revenue</w:t>
      </w:r>
    </w:p>
    <w:p w14:paraId="09EBD101" w14:textId="77777777" w:rsidR="00271E37" w:rsidRDefault="00271E37" w:rsidP="002E39D4">
      <w:r>
        <w:t>Revenue from the sale of goods is recognised in the income statement net of expected discounts, rebates, refunds, credits, price concessions or other similar items, when the associated performance obligation has been satisfied, and control of the goods has been transferred to the customer.</w:t>
      </w:r>
    </w:p>
    <w:p w14:paraId="36BDD6A6" w14:textId="77777777" w:rsidR="00271E37" w:rsidRDefault="00271E37" w:rsidP="002E39D4"/>
    <w:p w14:paraId="2BE07C7E" w14:textId="77777777" w:rsidR="00271E37" w:rsidRDefault="00271E37" w:rsidP="002E39D4">
      <w:r>
        <w:t xml:space="preserve">The Group recognises revenue on sales of Gift packaging, Party, Goods not for resale, Craft, Stationery and Homeware consumable products across three reporting segments post disposal of DG Americas. </w:t>
      </w:r>
    </w:p>
    <w:p w14:paraId="5E14AD9C" w14:textId="77777777" w:rsidR="00271E37" w:rsidRDefault="00271E37" w:rsidP="002E39D4"/>
    <w:p w14:paraId="5A553095" w14:textId="77777777" w:rsidR="00271E37" w:rsidRDefault="00271E37" w:rsidP="002E39D4">
      <w:r>
        <w:t>Typically, the products that we supply form the only performance obligations within a customer agreement, and although the Group can provide ancillary services such as merchandising, these are not separately identifiable obligations. Each customer arrangement/contract is assessed to identify the performance obligations being provided to the customer. Where distinct performance obligations are deemed to exist, an element of revenue is apportioned to that obligation.</w:t>
      </w:r>
    </w:p>
    <w:p w14:paraId="1135A816" w14:textId="77777777" w:rsidR="00271E37" w:rsidRDefault="00271E37" w:rsidP="002E39D4"/>
    <w:p w14:paraId="527E134E" w14:textId="77777777" w:rsidR="00271E37" w:rsidRDefault="00271E37" w:rsidP="002E39D4">
      <w:r>
        <w:t>Revenue from sales is recognised based on the price specified in the contract, net of any estimated volume discounts, rebates and sell-through provisions. Accumulated experience is used to estimate and provide for these discounts, using the expected value method, and revenue is only recognised to the extent that it is highly probable that a significant reversal will not occur. A refund liability (included in trade and other payables) is recognised for these items payable to customers based on sales made in the period. No significant element of financing is deemed present as the majority of sales are made with credit terms of 30</w:t>
      </w:r>
      <w:r>
        <w:rPr>
          <w:rFonts w:ascii="Cambria Math" w:hAnsi="Cambria Math" w:cs="Cambria Math"/>
        </w:rPr>
        <w:t>‑</w:t>
      </w:r>
      <w:r>
        <w:t>120 days, consistent with market practice.</w:t>
      </w:r>
    </w:p>
    <w:p w14:paraId="49B783D5" w14:textId="77777777" w:rsidR="00271E37" w:rsidRDefault="00271E37" w:rsidP="002E39D4"/>
    <w:p w14:paraId="104B9AA9" w14:textId="77777777" w:rsidR="00FE6732" w:rsidRDefault="00FE6732" w:rsidP="00FE6732">
      <w:r>
        <w:t>A part of the Group’s businesses sell goods on a ‘free</w:t>
      </w:r>
      <w:r>
        <w:rPr>
          <w:rFonts w:ascii="Cambria Math" w:hAnsi="Cambria Math" w:cs="Cambria Math"/>
        </w:rPr>
        <w:t>‑</w:t>
      </w:r>
      <w:r>
        <w:t>on</w:t>
      </w:r>
      <w:r>
        <w:rPr>
          <w:rFonts w:ascii="Cambria Math" w:hAnsi="Cambria Math" w:cs="Cambria Math"/>
        </w:rPr>
        <w:t>‑</w:t>
      </w:r>
      <w:r>
        <w:t>board’ (FOB) basis, where the Group as the seller makes its goods ready for collection at its premises on an agreed upon sales date and the buyer incurs all transportation and handling costs and bears the risks for bringing the goods to their chosen destination. In this situation, revenue is recognised on collection by the customer.</w:t>
      </w:r>
    </w:p>
    <w:p w14:paraId="5BF7E432" w14:textId="77777777" w:rsidR="00FE6732" w:rsidRDefault="00FE6732"/>
    <w:p w14:paraId="20495CD2" w14:textId="6849380B" w:rsidR="00271E37" w:rsidRDefault="00271E37">
      <w:r>
        <w:t>Where the Group operates non</w:t>
      </w:r>
      <w:r>
        <w:rPr>
          <w:rFonts w:ascii="Cambria Math" w:hAnsi="Cambria Math" w:cs="Cambria Math"/>
        </w:rPr>
        <w:t>‑</w:t>
      </w:r>
      <w:r>
        <w:t>FOB terms with customers, revenue is recognised when the control of the goods has been transferred to the customer. These terms include consignment stock agreements, where revenue is recognised upon the customer removing goods from consignment stock.</w:t>
      </w:r>
    </w:p>
    <w:p w14:paraId="397AA0FB" w14:textId="77777777" w:rsidR="00271E37" w:rsidRDefault="00271E37"/>
    <w:p w14:paraId="1859DB5F" w14:textId="77777777" w:rsidR="00271E37" w:rsidRPr="001F3486" w:rsidRDefault="00271E37">
      <w:pPr>
        <w:pStyle w:val="Heading3"/>
      </w:pPr>
      <w:r w:rsidRPr="001F3486">
        <w:t>Finance income and costs</w:t>
      </w:r>
    </w:p>
    <w:p w14:paraId="4A418C19" w14:textId="77777777" w:rsidR="00271E37" w:rsidRDefault="00271E37" w:rsidP="002E39D4">
      <w:r>
        <w:t>Finance income and expense is recognised in the income statement as it accrues. Finance costs comprise interest payable, finance charges on finance leases, interest on lease liabilities, amortisation of capitalised fees and unwinding of discounts on provisions. Net movements in the fair value of derivatives which have not been designated as an effective hedge, and any ineffective portion of fair value movement on derivatives designated as a hedge, are also included within finance income or expense.</w:t>
      </w:r>
    </w:p>
    <w:p w14:paraId="4FA88AF3" w14:textId="77777777" w:rsidR="00271E37" w:rsidRDefault="00271E37" w:rsidP="002E39D4"/>
    <w:p w14:paraId="0FE76D63" w14:textId="77777777" w:rsidR="00271E37" w:rsidRPr="001F3486" w:rsidRDefault="00271E37">
      <w:pPr>
        <w:pStyle w:val="Heading3"/>
      </w:pPr>
      <w:r w:rsidRPr="001F3486">
        <w:t>Supplier financing</w:t>
      </w:r>
    </w:p>
    <w:p w14:paraId="3C5C3207" w14:textId="77777777" w:rsidR="00271E37" w:rsidRDefault="00271E37" w:rsidP="002E39D4">
      <w:r>
        <w:t>The Group is party to supplier financing arrangements with one of its key customers. This arrangement is considered non-recourse factoring and on receipt of payment from the banks the associated trade receivable is derecognised in accordance with IFRS 9.</w:t>
      </w:r>
    </w:p>
    <w:p w14:paraId="37F7FFD3" w14:textId="77777777" w:rsidR="00271E37" w:rsidRDefault="00271E37" w:rsidP="002E39D4"/>
    <w:p w14:paraId="401E0DDB" w14:textId="77777777" w:rsidR="00271E37" w:rsidRPr="001F3486" w:rsidRDefault="00271E37">
      <w:pPr>
        <w:pStyle w:val="Heading3"/>
      </w:pPr>
      <w:r w:rsidRPr="001F3486">
        <w:t>Segment reporting</w:t>
      </w:r>
    </w:p>
    <w:p w14:paraId="5C0659FB" w14:textId="77777777" w:rsidR="00271E37" w:rsidRDefault="00271E37" w:rsidP="002E39D4">
      <w:r>
        <w:t>A segment is identified on the basis of internal reports that are regularly reviewed by the Board in order to allocate resources to the segment and assess its performance.</w:t>
      </w:r>
    </w:p>
    <w:p w14:paraId="7AB6E0B3" w14:textId="77777777" w:rsidR="00271E37" w:rsidRDefault="00271E37" w:rsidP="002E39D4"/>
    <w:p w14:paraId="54D73028" w14:textId="77777777" w:rsidR="00271E37" w:rsidRPr="001F3486" w:rsidRDefault="00271E37">
      <w:pPr>
        <w:pStyle w:val="Heading3"/>
      </w:pPr>
      <w:r w:rsidRPr="001F3486">
        <w:t>Pensions</w:t>
      </w:r>
    </w:p>
    <w:p w14:paraId="5E5F558E" w14:textId="77777777" w:rsidR="00271E37" w:rsidRPr="001F3486" w:rsidRDefault="00271E37" w:rsidP="002E39D4">
      <w:pPr>
        <w:rPr>
          <w:i/>
          <w:iCs/>
        </w:rPr>
      </w:pPr>
      <w:r w:rsidRPr="001F3486">
        <w:rPr>
          <w:i/>
          <w:iCs/>
        </w:rPr>
        <w:t>(i) Defined contribution schemes</w:t>
      </w:r>
    </w:p>
    <w:p w14:paraId="0A621F6D" w14:textId="77777777" w:rsidR="00271E37" w:rsidRDefault="00271E37" w:rsidP="002E39D4">
      <w:r>
        <w:t>Obligations for contributions to defined contribution pension schemes are expensed to the income statement as incurred.</w:t>
      </w:r>
    </w:p>
    <w:p w14:paraId="715C4F38" w14:textId="77777777" w:rsidR="00271E37" w:rsidRDefault="00271E37" w:rsidP="002E39D4"/>
    <w:p w14:paraId="7D580124" w14:textId="77777777" w:rsidR="00271E37" w:rsidRPr="001F3486" w:rsidRDefault="00271E37" w:rsidP="002E39D4">
      <w:pPr>
        <w:rPr>
          <w:i/>
          <w:iCs/>
        </w:rPr>
      </w:pPr>
      <w:r w:rsidRPr="001F3486">
        <w:rPr>
          <w:i/>
          <w:iCs/>
        </w:rPr>
        <w:t>(ii) Defined benefit schemes</w:t>
      </w:r>
    </w:p>
    <w:p w14:paraId="3430AE33" w14:textId="77777777" w:rsidR="00271E37" w:rsidRDefault="00271E37" w:rsidP="002E39D4"/>
    <w:p w14:paraId="4A97B890" w14:textId="31CA13B4" w:rsidR="00271E37" w:rsidRDefault="00271E37" w:rsidP="002E39D4">
      <w:r>
        <w:t>The Netherlands subsidiary operates an industrial defined benefit fund, based on average wages, that has an agreed maximum contribution. The pension fund is a multi</w:t>
      </w:r>
      <w:r>
        <w:rPr>
          <w:rFonts w:ascii="Cambria Math" w:hAnsi="Cambria Math" w:cs="Cambria Math"/>
        </w:rPr>
        <w:t>‑</w:t>
      </w:r>
      <w:r>
        <w:t xml:space="preserve">employer fund and there is no contractual or constructive obligation for charging the net defined benefit cost of the plan to participating entities other than an agreed maximum contribution for the period that is shared between </w:t>
      </w:r>
      <w:r w:rsidR="00487ADB">
        <w:t xml:space="preserve">the </w:t>
      </w:r>
      <w:r>
        <w:lastRenderedPageBreak/>
        <w:t xml:space="preserve">employer (4/7) and </w:t>
      </w:r>
      <w:r w:rsidR="007C4A8B">
        <w:t xml:space="preserve">the </w:t>
      </w:r>
      <w:r>
        <w:t>employees (3/7). The Dutch Government is not planning to make employers fund any deficits in industrial pension funds; accordingly, the Group treats the scheme as a defined contribution scheme for disclosure purposes. The Group recognises a cost equal to its contributions payable for the period.</w:t>
      </w:r>
    </w:p>
    <w:p w14:paraId="39904494" w14:textId="77777777" w:rsidR="00271E37" w:rsidRDefault="00271E37" w:rsidP="002E39D4"/>
    <w:p w14:paraId="6EA3BA8E" w14:textId="53D1DAA9" w:rsidR="00271E37" w:rsidRDefault="00271E37" w:rsidP="002E39D4">
      <w:r>
        <w:t>Up until the disposal of DG Americas division in May 2025, the Group also administered a defined benefit scheme of one of D</w:t>
      </w:r>
      <w:r w:rsidR="00FE2E86">
        <w:t>G</w:t>
      </w:r>
      <w:r>
        <w:t xml:space="preserve"> Americas subsidiaries in the UK. The net obligation for this scheme was calculated by estimating the amount of the future benefit that employees have earned in return for their service in the current and prior periods; that benefit was discounted to determine its present value and the fair value of the scheme assets was deducted. The calculation used to be performed by a qualified independent actuary.</w:t>
      </w:r>
    </w:p>
    <w:p w14:paraId="1A38BCCB" w14:textId="77777777" w:rsidR="00271E37" w:rsidRDefault="00271E37" w:rsidP="002E39D4"/>
    <w:p w14:paraId="0DAF7E1B" w14:textId="77777777" w:rsidR="00271E37" w:rsidRPr="001F3486" w:rsidRDefault="00271E37">
      <w:pPr>
        <w:pStyle w:val="Heading3"/>
      </w:pPr>
      <w:r w:rsidRPr="001F3486">
        <w:t>Share-based payments</w:t>
      </w:r>
    </w:p>
    <w:p w14:paraId="20859ACA" w14:textId="77777777" w:rsidR="00271E37" w:rsidRDefault="00271E37" w:rsidP="002E39D4">
      <w:r>
        <w:t xml:space="preserve">The cost of equity-settled transactions with employees is measured by reference to the fair value of the options at the date on which they are granted. The fair value is determined by using an appropriate pricing model. The fair value cost is then recognised over the vesting period, ending on the date on which the relevant employees become fully entitled to the award. </w:t>
      </w:r>
    </w:p>
    <w:p w14:paraId="40900E13" w14:textId="77777777" w:rsidR="00271E37" w:rsidRDefault="00271E37" w:rsidP="002E39D4"/>
    <w:p w14:paraId="7178CECF" w14:textId="77777777" w:rsidR="00271E37" w:rsidRDefault="00271E37" w:rsidP="002E39D4">
      <w:r>
        <w:t xml:space="preserve">The quantum of awards expected to vest and the relevant cost charged is reviewed annually such that at each balance sheet date the cumulative expense is the relevant share of the expected total cost, pro-rated across the vesting period. </w:t>
      </w:r>
    </w:p>
    <w:p w14:paraId="42A2C838" w14:textId="77777777" w:rsidR="00271E37" w:rsidRDefault="00271E37" w:rsidP="002E39D4"/>
    <w:p w14:paraId="79E7F145" w14:textId="77777777" w:rsidR="00271E37" w:rsidRDefault="00271E37" w:rsidP="002E39D4">
      <w:r>
        <w:t>No expense is recognised for awards that are not expected to ultimately vest, for example due to an employee leaving or business performance targets not being met. The annual expense for equity-settled transactions is recognised in the income statement with a corresponding entry in equity.</w:t>
      </w:r>
    </w:p>
    <w:p w14:paraId="521FD79B" w14:textId="77777777" w:rsidR="00271E37" w:rsidRDefault="00271E37" w:rsidP="002E39D4"/>
    <w:p w14:paraId="2A9F32BF" w14:textId="77777777" w:rsidR="00271E37" w:rsidRDefault="00271E37" w:rsidP="002E39D4">
      <w:r>
        <w:t>In the event that any scheme is cancelled, the Group recognises immediately the amount that otherwise would have been recognised for services received over the remainder of the vesting period. The Group calculates this charge based on the number of the awards expected to achieve the performance conditions immediately before the award was cancelled.</w:t>
      </w:r>
    </w:p>
    <w:p w14:paraId="386A9045" w14:textId="77777777" w:rsidR="00271E37" w:rsidRDefault="00271E37" w:rsidP="002E39D4"/>
    <w:p w14:paraId="6B2D7A76" w14:textId="77777777" w:rsidR="00271E37" w:rsidRDefault="00271E37" w:rsidP="002E39D4">
      <w:r>
        <w:t>Employer social security charges are accrued, where applicable, at a rate which management expects to be the prevailing rate when share</w:t>
      </w:r>
      <w:r>
        <w:rPr>
          <w:rFonts w:ascii="Cambria Math" w:hAnsi="Cambria Math" w:cs="Cambria Math"/>
        </w:rPr>
        <w:t>‑</w:t>
      </w:r>
      <w:r>
        <w:t>based incentives are exercised and is based on the latest market value of options expected to vest or those already vested.</w:t>
      </w:r>
    </w:p>
    <w:p w14:paraId="4ABFE113" w14:textId="77777777" w:rsidR="00271E37" w:rsidRDefault="00271E37" w:rsidP="002E39D4"/>
    <w:p w14:paraId="3E2A786F" w14:textId="77777777" w:rsidR="00271E37" w:rsidRDefault="00271E37" w:rsidP="002E39D4">
      <w:r>
        <w:t xml:space="preserve">Deferred tax assets are recognised in respect of share-based payment schemes when deferred tax assets are recognised in that territory. </w:t>
      </w:r>
    </w:p>
    <w:p w14:paraId="7E5B0EB1" w14:textId="77777777" w:rsidR="00271E37" w:rsidRDefault="00271E37" w:rsidP="002E39D4"/>
    <w:p w14:paraId="064F8A60" w14:textId="77777777" w:rsidR="00271E37" w:rsidRPr="001F3486" w:rsidRDefault="00271E37">
      <w:pPr>
        <w:pStyle w:val="Heading3"/>
      </w:pPr>
      <w:r w:rsidRPr="001F3486">
        <w:t>Investment in own shares</w:t>
      </w:r>
    </w:p>
    <w:p w14:paraId="347C31E8" w14:textId="77777777" w:rsidR="00271E37" w:rsidRDefault="00271E37" w:rsidP="002E39D4">
      <w:r>
        <w:t>The shares held in the Group’s Employee Benefit Trust (IG Employee Share Trustee Limited) for the purpose of fulfilling obligations in respect of share option plans are treated as belonging to the Company and are deducted from its retained earnings. The cost of shares held directly (treasury shares) is also deducted from retained earnings.</w:t>
      </w:r>
    </w:p>
    <w:p w14:paraId="1B93717E" w14:textId="77777777" w:rsidR="00271E37" w:rsidRDefault="00271E37" w:rsidP="002E39D4"/>
    <w:p w14:paraId="0275AAF2" w14:textId="77777777" w:rsidR="00271E37" w:rsidRPr="001F3486" w:rsidRDefault="00271E37">
      <w:pPr>
        <w:pStyle w:val="Heading3"/>
      </w:pPr>
      <w:r w:rsidRPr="001F3486">
        <w:t>Provisions</w:t>
      </w:r>
    </w:p>
    <w:p w14:paraId="772BB3EB" w14:textId="77777777" w:rsidR="00271E37" w:rsidRDefault="00271E37" w:rsidP="002E39D4">
      <w:r>
        <w:t>A provision is recognised when there is a probable legal or constructive obligation as a result of a past event and a reliable estimate can be made of the outflow of resources that will be required to settle the obligation. If the effect is material, provisions are determined by discounting the expected future cash flows at a pre</w:t>
      </w:r>
      <w:r>
        <w:rPr>
          <w:rFonts w:ascii="Cambria Math" w:hAnsi="Cambria Math" w:cs="Cambria Math"/>
        </w:rPr>
        <w:t>‑</w:t>
      </w:r>
      <w:r>
        <w:t xml:space="preserve">tax rate that reflects current market assessments of the time value of money and, where appropriate, the risks specific to the liability. </w:t>
      </w:r>
    </w:p>
    <w:p w14:paraId="62A22C71" w14:textId="77777777" w:rsidR="00271E37" w:rsidRDefault="00271E37" w:rsidP="002E39D4"/>
    <w:p w14:paraId="028FD561" w14:textId="77777777" w:rsidR="00271E37" w:rsidRDefault="00271E37" w:rsidP="002E39D4">
      <w:r>
        <w:t>Where discounting is used, the increase in the provision due to the passage of time is recognised as finance costs.</w:t>
      </w:r>
    </w:p>
    <w:p w14:paraId="62F9940C" w14:textId="77777777" w:rsidR="00271E37" w:rsidRDefault="00271E37" w:rsidP="002E39D4"/>
    <w:p w14:paraId="1BB177D7" w14:textId="77777777" w:rsidR="00271E37" w:rsidRPr="001F3486" w:rsidRDefault="00271E37">
      <w:pPr>
        <w:pStyle w:val="Heading3"/>
      </w:pPr>
      <w:r w:rsidRPr="001F3486">
        <w:t>Government grants</w:t>
      </w:r>
    </w:p>
    <w:p w14:paraId="024F37AB" w14:textId="77777777" w:rsidR="00271E37" w:rsidRDefault="00271E37" w:rsidP="002E39D4">
      <w:r>
        <w:t xml:space="preserve">Government grants are recognised when it is reasonable to expect that the grants will be received and that all related conditions will be met, usually on submission of a valid claim for payment. Government grants in respect of capital expenditure are included within deferred income on the balance sheet and are released to the income statement on a straight-line basis over the expected useful lives of the relevant assets. </w:t>
      </w:r>
    </w:p>
    <w:p w14:paraId="34175651" w14:textId="77777777" w:rsidR="00271E37" w:rsidRDefault="00271E37" w:rsidP="002E39D4"/>
    <w:p w14:paraId="7E5727EF" w14:textId="77777777" w:rsidR="00271E37" w:rsidRPr="001F3486" w:rsidRDefault="00271E37">
      <w:pPr>
        <w:pStyle w:val="Heading3"/>
      </w:pPr>
      <w:r w:rsidRPr="001F3486">
        <w:t>Dividends</w:t>
      </w:r>
    </w:p>
    <w:p w14:paraId="70A3E9BE" w14:textId="77777777" w:rsidR="00271E37" w:rsidRDefault="00271E37" w:rsidP="002E39D4">
      <w:r>
        <w:t>Dividends are recognised as a liability in the period in which they are approved by the shareholders of the Company (final dividend) or paid (interim dividend).</w:t>
      </w:r>
    </w:p>
    <w:p w14:paraId="5B4B09D8" w14:textId="77777777" w:rsidR="00271E37" w:rsidRDefault="00271E37" w:rsidP="002E39D4"/>
    <w:p w14:paraId="68C58BFE" w14:textId="77777777" w:rsidR="00271E37" w:rsidRPr="001F3486" w:rsidRDefault="00271E37">
      <w:pPr>
        <w:pStyle w:val="Heading3"/>
      </w:pPr>
      <w:r w:rsidRPr="001F3486">
        <w:t>Borrowing costs</w:t>
      </w:r>
    </w:p>
    <w:p w14:paraId="7D987805" w14:textId="77777777" w:rsidR="00271E37" w:rsidRDefault="00271E37" w:rsidP="002E39D4">
      <w:r>
        <w:t xml:space="preserve">Borrowing costs directly attributable to the acquisition, construction or production of an asset that necessarily takes a substantial period of time to get ready for its intended use or sale are capitalised as part of the cost of the respective asset. Costs directly attributable to the arrangement of new borrowing facilities are included within the fair value of proceeds received and amortised over the life of the </w:t>
      </w:r>
      <w:r>
        <w:lastRenderedPageBreak/>
        <w:t>relevant facilities. Other borrowing costs, which can include costs associated with the extension of existing facilities, are expensed in the period they occur.</w:t>
      </w:r>
    </w:p>
    <w:p w14:paraId="5D415578" w14:textId="77777777" w:rsidR="00271E37" w:rsidRDefault="00271E37" w:rsidP="002E39D4"/>
    <w:p w14:paraId="2E78CDF6" w14:textId="77777777" w:rsidR="00271E37" w:rsidRDefault="00271E37" w:rsidP="002E39D4">
      <w:r>
        <w:t>Borrowing costs consist of interest and other costs that an entity incurs in connection with the borrowing of funds.</w:t>
      </w:r>
    </w:p>
    <w:p w14:paraId="6B822963" w14:textId="77777777" w:rsidR="00271E37" w:rsidRDefault="00271E37" w:rsidP="002E39D4"/>
    <w:p w14:paraId="7B7A9EB1" w14:textId="77777777" w:rsidR="00271E37" w:rsidRPr="001F3486" w:rsidRDefault="00271E37">
      <w:pPr>
        <w:pStyle w:val="Heading3"/>
      </w:pPr>
      <w:r w:rsidRPr="001F3486">
        <w:t>Like-for-like comparators</w:t>
      </w:r>
    </w:p>
    <w:p w14:paraId="2A26E383" w14:textId="77777777" w:rsidR="00271E37" w:rsidRDefault="00271E37" w:rsidP="002E39D4">
      <w:r>
        <w:t>Figures quoted at like-for-like exchange rates are calculated by retranslating the prior year figures at the current year exchange rates.</w:t>
      </w:r>
    </w:p>
    <w:p w14:paraId="30F2F221" w14:textId="77777777" w:rsidR="00271E37" w:rsidRDefault="00271E37" w:rsidP="002E39D4"/>
    <w:p w14:paraId="733FB826" w14:textId="77777777" w:rsidR="00271E37" w:rsidRPr="00CB2DFA" w:rsidRDefault="00271E37" w:rsidP="00CB2DFA">
      <w:pPr>
        <w:rPr>
          <w:i/>
          <w:iCs/>
        </w:rPr>
      </w:pPr>
      <w:r w:rsidRPr="00CB2DFA">
        <w:rPr>
          <w:i/>
          <w:iCs/>
        </w:rPr>
        <w:t>Use of non-GAAP measures (APMs)</w:t>
      </w:r>
    </w:p>
    <w:p w14:paraId="6E8873AD" w14:textId="77777777" w:rsidR="00271E37" w:rsidRDefault="00271E37" w:rsidP="00CB2DFA">
      <w:r>
        <w:t xml:space="preserve">These financial statements include alternative performance measures (APMs) that are presented in addition to the standard GAAP metrics. The Directors believe that these APMs provide important additional information regarding the underlying performance of the business including trends, performance and position of the Group. APMs are used to enhance the comparability of information between reporting periods and segmental business units by adjusting for factors which affect IFRS measures, to aid the understanding of the Group’s performance. Consequently, APMs are used by the Directors and management for strategic and performance analysis, planning, reporting and reward setting. </w:t>
      </w:r>
    </w:p>
    <w:p w14:paraId="03CAA704" w14:textId="77777777" w:rsidR="00271E37" w:rsidRDefault="00271E37" w:rsidP="00CB2DFA"/>
    <w:p w14:paraId="1075FEFA" w14:textId="77777777" w:rsidR="00271E37" w:rsidRDefault="00271E37" w:rsidP="00CB2DFA">
      <w:r>
        <w:t>The APMs and their definitions are:</w:t>
      </w:r>
    </w:p>
    <w:p w14:paraId="19C36AFB" w14:textId="77777777" w:rsidR="00271E37" w:rsidRDefault="00271E37" w:rsidP="00C420D4">
      <w:pPr>
        <w:pStyle w:val="LBbullets"/>
      </w:pPr>
      <w:r>
        <w:t>adjusted EBITDA – profit/(loss) before finance charges, tax, depreciation, amortisation, impairment (EBITDA) and adjusting items;</w:t>
      </w:r>
    </w:p>
    <w:p w14:paraId="78EBCE76" w14:textId="77777777" w:rsidR="00271E37" w:rsidRPr="00372587" w:rsidRDefault="00271E37" w:rsidP="005F4A2F">
      <w:pPr>
        <w:pStyle w:val="LBbullets"/>
      </w:pPr>
      <w:r>
        <w:t>adjusted gross profit – gross profit before adjusting items;</w:t>
      </w:r>
    </w:p>
    <w:p w14:paraId="095C7650" w14:textId="77777777" w:rsidR="00271E37" w:rsidRDefault="00271E37" w:rsidP="00C420D4">
      <w:pPr>
        <w:pStyle w:val="LBbullets"/>
      </w:pPr>
      <w:r>
        <w:t>adjusted operating profit/(loss) – profit/(loss) before finance charges, tax and adjusting items;</w:t>
      </w:r>
    </w:p>
    <w:p w14:paraId="3B338ED7" w14:textId="77777777" w:rsidR="00271E37" w:rsidRPr="00FB76C9" w:rsidRDefault="00271E37" w:rsidP="00FB76C9">
      <w:pPr>
        <w:pStyle w:val="LBbullets"/>
      </w:pPr>
      <w:r>
        <w:t>adjusted operating margin – adjusted operating profit divided by revenue;</w:t>
      </w:r>
    </w:p>
    <w:p w14:paraId="43FB954A" w14:textId="77777777" w:rsidR="00271E37" w:rsidRDefault="00271E37" w:rsidP="00C420D4">
      <w:pPr>
        <w:pStyle w:val="LBbullets"/>
      </w:pPr>
      <w:r>
        <w:t>adjusted profit/(loss) before tax – profit/(loss) before tax and adjusting items;</w:t>
      </w:r>
    </w:p>
    <w:p w14:paraId="259B00CA" w14:textId="77777777" w:rsidR="00271E37" w:rsidRDefault="00271E37" w:rsidP="00C420D4">
      <w:pPr>
        <w:pStyle w:val="LBbullets"/>
      </w:pPr>
      <w:r>
        <w:t>adjusted profit/(loss) after tax - profit/(loss) after tax, before adjusting items and associated tax effect;</w:t>
      </w:r>
    </w:p>
    <w:p w14:paraId="467A151B" w14:textId="77777777" w:rsidR="00271E37" w:rsidRDefault="00271E37" w:rsidP="000E091C">
      <w:pPr>
        <w:pStyle w:val="LBbullets"/>
      </w:pPr>
      <w:r>
        <w:t>adjusted tax – tax before adjusting items;</w:t>
      </w:r>
    </w:p>
    <w:p w14:paraId="548890D6" w14:textId="77777777" w:rsidR="00271E37" w:rsidRDefault="00271E37" w:rsidP="00C73897">
      <w:pPr>
        <w:pStyle w:val="LBbullets"/>
      </w:pPr>
      <w:r>
        <w:t>diluted adjusted earnings/(loss) per share – diluted earnings/(loss) per share before adjusting items and associated tax effect;</w:t>
      </w:r>
    </w:p>
    <w:p w14:paraId="16294E64" w14:textId="77777777" w:rsidR="00271E37" w:rsidRDefault="00271E37" w:rsidP="00312049">
      <w:pPr>
        <w:pStyle w:val="LBbullets"/>
      </w:pPr>
      <w:r>
        <w:t>basic adjusted earnings/(loss) per share – basic earnings/(loss) per share before adjusting items and associated tax effect;</w:t>
      </w:r>
    </w:p>
    <w:p w14:paraId="49B11457" w14:textId="77777777" w:rsidR="00271E37" w:rsidRDefault="00271E37" w:rsidP="00881619">
      <w:pPr>
        <w:pStyle w:val="LBbullets"/>
      </w:pPr>
      <w:r>
        <w:t>adjusted overheads – selling costs, administration expenses, other operating income, profit/(loss) on disposal of property, plant and equipment (overheads) before adjusting items;</w:t>
      </w:r>
    </w:p>
    <w:p w14:paraId="2966286C" w14:textId="77777777" w:rsidR="00271E37" w:rsidRPr="005D0998" w:rsidRDefault="00271E37" w:rsidP="005D0998">
      <w:pPr>
        <w:pStyle w:val="LBbullets"/>
      </w:pPr>
      <w:r>
        <w:t>adjusted cash generated from operations – cash generated from operations before the associated cash impact of adjusting items;</w:t>
      </w:r>
    </w:p>
    <w:p w14:paraId="4F297067" w14:textId="77777777" w:rsidR="00271E37" w:rsidRDefault="00271E37" w:rsidP="0087320E">
      <w:pPr>
        <w:pStyle w:val="LBbullets"/>
      </w:pPr>
      <w:r>
        <w:t>net cash – cash and cash equivalents, bank overdrafts and loan arrangement fees;</w:t>
      </w:r>
    </w:p>
    <w:p w14:paraId="03CA0FF7" w14:textId="77777777" w:rsidR="00271E37" w:rsidRDefault="00271E37" w:rsidP="00BC73BD">
      <w:pPr>
        <w:pStyle w:val="LBbullets"/>
      </w:pPr>
      <w:r>
        <w:t>return on capital employed – adjusted operating profit divided by monthly average net capital employed (where capital employed is net assets excluding net cash and intangible assets);</w:t>
      </w:r>
    </w:p>
    <w:p w14:paraId="79D32376" w14:textId="77777777" w:rsidR="00271E37" w:rsidRDefault="00271E37" w:rsidP="00BC4B4D">
      <w:pPr>
        <w:pStyle w:val="LBbullets"/>
      </w:pPr>
      <w:r>
        <w:t xml:space="preserve">average leverage – average bank debt (being average debt measured before lease liabilities) divided by adjusted EBITDA reduced for lease payments; </w:t>
      </w:r>
    </w:p>
    <w:p w14:paraId="34045091" w14:textId="34BE66E1" w:rsidR="00271E37" w:rsidRDefault="00271E37" w:rsidP="00204A28">
      <w:pPr>
        <w:pStyle w:val="LBbullets"/>
      </w:pPr>
      <w:r>
        <w:t>cash conversion – adjusted cash generated from operations divided by adjusted EBITDA</w:t>
      </w:r>
      <w:r w:rsidR="00096F71">
        <w:t>.</w:t>
      </w:r>
    </w:p>
    <w:p w14:paraId="24939754" w14:textId="77777777" w:rsidR="00271E37" w:rsidRDefault="00271E37" w:rsidP="00CB2DFA"/>
    <w:p w14:paraId="4D214463" w14:textId="77777777" w:rsidR="00271E37" w:rsidRDefault="00271E37" w:rsidP="00CB2DFA">
      <w:r>
        <w:t>Adjusting items are items that are material and/or, in the judgement of the Directors, of an unusual or non</w:t>
      </w:r>
      <w:r>
        <w:rPr>
          <w:rFonts w:ascii="Cambria Math" w:hAnsi="Cambria Math" w:cs="Cambria Math"/>
        </w:rPr>
        <w:t>‑</w:t>
      </w:r>
      <w:r>
        <w:t>recurring nature. These items are adjusted to present the performance of the business in a consistent manner and in line with how the business is managed and measured on a day</w:t>
      </w:r>
      <w:r>
        <w:rPr>
          <w:rFonts w:ascii="Cambria Math" w:hAnsi="Cambria Math" w:cs="Cambria Math"/>
        </w:rPr>
        <w:t>‑</w:t>
      </w:r>
      <w:r>
        <w:t>to</w:t>
      </w:r>
      <w:r>
        <w:rPr>
          <w:rFonts w:ascii="Cambria Math" w:hAnsi="Cambria Math" w:cs="Cambria Math"/>
        </w:rPr>
        <w:t>‑</w:t>
      </w:r>
      <w:r>
        <w:t>day basis. They are gains or costs associated with events that are not considered to form part of the core operations or are considered to be a non-recurring event (although they may span several accounting periods) including fair value adjustments to acquisitions. Adjusting items are separately presented by virtue of their nature, size and/or incidence.</w:t>
      </w:r>
    </w:p>
    <w:p w14:paraId="10495FC3" w14:textId="77777777" w:rsidR="00271E37" w:rsidRDefault="00271E37" w:rsidP="00797A7A"/>
    <w:p w14:paraId="69EB6E7D" w14:textId="77777777" w:rsidR="00271E37" w:rsidRPr="00CD573F" w:rsidRDefault="00271E37" w:rsidP="00AF216A">
      <w:pPr>
        <w:pStyle w:val="Heading4"/>
        <w:rPr>
          <w:b/>
        </w:rPr>
      </w:pPr>
      <w:r w:rsidRPr="00AF216A">
        <w:rPr>
          <w:rFonts w:ascii="Arial" w:hAnsi="Arial" w:cs="Arial"/>
          <w:b/>
          <w:color w:val="auto"/>
          <w:sz w:val="16"/>
          <w:szCs w:val="16"/>
        </w:rPr>
        <w:t>Adjusting items</w:t>
      </w:r>
    </w:p>
    <w:p w14:paraId="07FAA986" w14:textId="77777777" w:rsidR="00271E37" w:rsidRDefault="00271E37" w:rsidP="00797A7A"/>
    <w:p w14:paraId="364633AD" w14:textId="77777777" w:rsidR="00271E37" w:rsidRPr="00CB2DFA" w:rsidRDefault="00271E37" w:rsidP="00797A7A">
      <w:r>
        <w:t xml:space="preserve">These adjusting items analysis relates to </w:t>
      </w:r>
      <w:r w:rsidRPr="00111099">
        <w:t>continuing operations</w:t>
      </w:r>
      <w:r>
        <w:t>:</w:t>
      </w:r>
    </w:p>
    <w:tbl>
      <w:tblPr>
        <w:tblW w:w="7944" w:type="dxa"/>
        <w:tblLook w:val="04A0" w:firstRow="1" w:lastRow="0" w:firstColumn="1" w:lastColumn="0" w:noHBand="0" w:noVBand="1"/>
      </w:tblPr>
      <w:tblGrid>
        <w:gridCol w:w="3212"/>
        <w:gridCol w:w="1350"/>
        <w:gridCol w:w="1162"/>
        <w:gridCol w:w="1257"/>
        <w:gridCol w:w="963"/>
      </w:tblGrid>
      <w:tr w:rsidR="00271E37" w:rsidRPr="00A00F5B" w14:paraId="2738FE55" w14:textId="77777777">
        <w:trPr>
          <w:trHeight w:val="975"/>
        </w:trPr>
        <w:tc>
          <w:tcPr>
            <w:tcW w:w="3212" w:type="dxa"/>
            <w:tcBorders>
              <w:top w:val="nil"/>
              <w:left w:val="nil"/>
              <w:bottom w:val="nil"/>
              <w:right w:val="nil"/>
            </w:tcBorders>
            <w:vAlign w:val="center"/>
            <w:hideMark/>
          </w:tcPr>
          <w:p w14:paraId="3E393DF4" w14:textId="77777777" w:rsidR="00271E37" w:rsidRPr="00A00F5B" w:rsidRDefault="00271E37">
            <w:pPr>
              <w:spacing w:line="240" w:lineRule="auto"/>
              <w:rPr>
                <w:rFonts w:eastAsia="Times New Roman" w:cs="Arial"/>
                <w:szCs w:val="16"/>
                <w:lang w:eastAsia="en-GB"/>
              </w:rPr>
            </w:pPr>
          </w:p>
        </w:tc>
        <w:tc>
          <w:tcPr>
            <w:tcW w:w="1350" w:type="dxa"/>
            <w:tcBorders>
              <w:top w:val="nil"/>
              <w:left w:val="nil"/>
              <w:bottom w:val="nil"/>
              <w:right w:val="nil"/>
            </w:tcBorders>
            <w:vAlign w:val="bottom"/>
            <w:hideMark/>
          </w:tcPr>
          <w:p w14:paraId="350A85C5"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 xml:space="preserve">Integration and restructuring </w:t>
            </w:r>
            <w:r>
              <w:rPr>
                <w:rFonts w:eastAsia="Times New Roman" w:cs="Arial"/>
                <w:b/>
                <w:bCs/>
                <w:color w:val="000000"/>
                <w:szCs w:val="16"/>
                <w:lang w:eastAsia="en-GB"/>
              </w:rPr>
              <w:t>(</w:t>
            </w:r>
            <w:r w:rsidRPr="00A00F5B">
              <w:rPr>
                <w:rFonts w:eastAsia="Times New Roman" w:cs="Arial"/>
                <w:b/>
                <w:bCs/>
                <w:color w:val="000000"/>
                <w:szCs w:val="16"/>
                <w:lang w:eastAsia="en-GB"/>
              </w:rPr>
              <w:t>cost</w:t>
            </w:r>
            <w:r>
              <w:rPr>
                <w:rFonts w:eastAsia="Times New Roman" w:cs="Arial"/>
                <w:b/>
                <w:bCs/>
                <w:color w:val="000000"/>
                <w:szCs w:val="16"/>
                <w:lang w:eastAsia="en-GB"/>
              </w:rPr>
              <w:t>)</w:t>
            </w:r>
            <w:r w:rsidRPr="00A00F5B">
              <w:rPr>
                <w:rFonts w:eastAsia="Times New Roman" w:cs="Arial"/>
                <w:b/>
                <w:bCs/>
                <w:color w:val="000000"/>
                <w:szCs w:val="16"/>
                <w:lang w:eastAsia="en-GB"/>
              </w:rPr>
              <w:t>/income</w:t>
            </w:r>
          </w:p>
        </w:tc>
        <w:tc>
          <w:tcPr>
            <w:tcW w:w="1162" w:type="dxa"/>
            <w:tcBorders>
              <w:top w:val="nil"/>
              <w:left w:val="nil"/>
              <w:bottom w:val="nil"/>
              <w:right w:val="nil"/>
            </w:tcBorders>
            <w:vAlign w:val="bottom"/>
            <w:hideMark/>
          </w:tcPr>
          <w:p w14:paraId="6FBA9F05"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Profit on disposal of property</w:t>
            </w:r>
          </w:p>
        </w:tc>
        <w:tc>
          <w:tcPr>
            <w:tcW w:w="1257" w:type="dxa"/>
            <w:tcBorders>
              <w:top w:val="nil"/>
              <w:left w:val="nil"/>
              <w:bottom w:val="nil"/>
              <w:right w:val="nil"/>
            </w:tcBorders>
            <w:vAlign w:val="bottom"/>
          </w:tcPr>
          <w:p w14:paraId="65737574" w14:textId="77777777" w:rsidR="00271E37" w:rsidRPr="00A00F5B" w:rsidRDefault="00271E37">
            <w:pPr>
              <w:spacing w:line="240" w:lineRule="auto"/>
              <w:jc w:val="right"/>
              <w:rPr>
                <w:rFonts w:eastAsia="Times New Roman" w:cs="Arial"/>
                <w:b/>
                <w:bCs/>
                <w:color w:val="000000"/>
                <w:szCs w:val="16"/>
                <w:lang w:eastAsia="en-GB"/>
              </w:rPr>
            </w:pPr>
            <w:r>
              <w:rPr>
                <w:rFonts w:eastAsia="Times New Roman" w:cs="Arial"/>
                <w:b/>
                <w:bCs/>
                <w:color w:val="000000"/>
                <w:szCs w:val="16"/>
                <w:lang w:eastAsia="en-GB"/>
              </w:rPr>
              <w:t xml:space="preserve">Provisions for DG Americas commitments </w:t>
            </w:r>
          </w:p>
        </w:tc>
        <w:tc>
          <w:tcPr>
            <w:tcW w:w="963" w:type="dxa"/>
            <w:tcBorders>
              <w:top w:val="nil"/>
              <w:left w:val="nil"/>
              <w:bottom w:val="nil"/>
              <w:right w:val="nil"/>
            </w:tcBorders>
            <w:vAlign w:val="bottom"/>
            <w:hideMark/>
          </w:tcPr>
          <w:p w14:paraId="196DE00C"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Adjusting items</w:t>
            </w:r>
          </w:p>
        </w:tc>
      </w:tr>
      <w:tr w:rsidR="00271E37" w:rsidRPr="00A00F5B" w14:paraId="366A4302" w14:textId="77777777">
        <w:trPr>
          <w:trHeight w:val="410"/>
        </w:trPr>
        <w:tc>
          <w:tcPr>
            <w:tcW w:w="3212" w:type="dxa"/>
            <w:tcBorders>
              <w:top w:val="nil"/>
              <w:left w:val="nil"/>
              <w:bottom w:val="single" w:sz="8" w:space="0" w:color="auto"/>
              <w:right w:val="nil"/>
            </w:tcBorders>
            <w:vAlign w:val="center"/>
            <w:hideMark/>
          </w:tcPr>
          <w:p w14:paraId="5081D1C7" w14:textId="77777777"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Year ended 31 March 2026</w:t>
            </w:r>
          </w:p>
        </w:tc>
        <w:tc>
          <w:tcPr>
            <w:tcW w:w="1350" w:type="dxa"/>
            <w:tcBorders>
              <w:top w:val="nil"/>
              <w:left w:val="nil"/>
              <w:bottom w:val="single" w:sz="8" w:space="0" w:color="auto"/>
              <w:right w:val="nil"/>
            </w:tcBorders>
            <w:vAlign w:val="center"/>
            <w:hideMark/>
          </w:tcPr>
          <w:p w14:paraId="1F59A366"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£000</w:t>
            </w:r>
          </w:p>
        </w:tc>
        <w:tc>
          <w:tcPr>
            <w:tcW w:w="1162" w:type="dxa"/>
            <w:tcBorders>
              <w:top w:val="nil"/>
              <w:left w:val="nil"/>
              <w:bottom w:val="single" w:sz="8" w:space="0" w:color="auto"/>
              <w:right w:val="nil"/>
            </w:tcBorders>
            <w:vAlign w:val="center"/>
            <w:hideMark/>
          </w:tcPr>
          <w:p w14:paraId="4CDE4D4E"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£000</w:t>
            </w:r>
          </w:p>
        </w:tc>
        <w:tc>
          <w:tcPr>
            <w:tcW w:w="1257" w:type="dxa"/>
            <w:tcBorders>
              <w:top w:val="nil"/>
              <w:left w:val="nil"/>
              <w:bottom w:val="single" w:sz="8" w:space="0" w:color="auto"/>
              <w:right w:val="nil"/>
            </w:tcBorders>
            <w:vAlign w:val="center"/>
          </w:tcPr>
          <w:p w14:paraId="07488D98"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£000</w:t>
            </w:r>
          </w:p>
        </w:tc>
        <w:tc>
          <w:tcPr>
            <w:tcW w:w="963" w:type="dxa"/>
            <w:tcBorders>
              <w:top w:val="nil"/>
              <w:left w:val="nil"/>
              <w:bottom w:val="single" w:sz="8" w:space="0" w:color="auto"/>
              <w:right w:val="nil"/>
            </w:tcBorders>
            <w:vAlign w:val="center"/>
            <w:hideMark/>
          </w:tcPr>
          <w:p w14:paraId="056CB50C"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£000</w:t>
            </w:r>
          </w:p>
        </w:tc>
      </w:tr>
      <w:tr w:rsidR="00271E37" w:rsidRPr="00A00F5B" w14:paraId="7969019F" w14:textId="77777777">
        <w:trPr>
          <w:trHeight w:val="290"/>
        </w:trPr>
        <w:tc>
          <w:tcPr>
            <w:tcW w:w="3212" w:type="dxa"/>
            <w:tcBorders>
              <w:top w:val="nil"/>
              <w:left w:val="nil"/>
              <w:bottom w:val="nil"/>
              <w:right w:val="nil"/>
            </w:tcBorders>
            <w:vAlign w:val="center"/>
            <w:hideMark/>
          </w:tcPr>
          <w:p w14:paraId="25997FAA" w14:textId="77777777"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Cost of sales</w:t>
            </w:r>
          </w:p>
        </w:tc>
        <w:tc>
          <w:tcPr>
            <w:tcW w:w="1350" w:type="dxa"/>
            <w:tcBorders>
              <w:top w:val="nil"/>
              <w:left w:val="nil"/>
              <w:bottom w:val="nil"/>
              <w:right w:val="nil"/>
            </w:tcBorders>
            <w:vAlign w:val="center"/>
            <w:hideMark/>
          </w:tcPr>
          <w:p w14:paraId="0CC371BB" w14:textId="77777777" w:rsidR="00271E37" w:rsidRPr="00A00F5B" w:rsidRDefault="00271E37">
            <w:pPr>
              <w:spacing w:line="240" w:lineRule="auto"/>
              <w:jc w:val="right"/>
              <w:rPr>
                <w:rFonts w:eastAsia="Times New Roman" w:cs="Arial"/>
                <w:color w:val="000000"/>
                <w:szCs w:val="16"/>
                <w:lang w:eastAsia="en-GB"/>
              </w:rPr>
            </w:pPr>
            <w:r w:rsidRPr="004B586E">
              <w:rPr>
                <w:rFonts w:eastAsia="Times New Roman" w:cs="Arial"/>
                <w:color w:val="000000"/>
                <w:szCs w:val="16"/>
                <w:lang w:eastAsia="en-GB"/>
              </w:rPr>
              <w:t>(778)</w:t>
            </w:r>
          </w:p>
        </w:tc>
        <w:tc>
          <w:tcPr>
            <w:tcW w:w="1162" w:type="dxa"/>
            <w:tcBorders>
              <w:top w:val="nil"/>
              <w:left w:val="nil"/>
              <w:bottom w:val="nil"/>
              <w:right w:val="nil"/>
            </w:tcBorders>
            <w:vAlign w:val="center"/>
            <w:hideMark/>
          </w:tcPr>
          <w:p w14:paraId="40EEC5A9" w14:textId="77777777" w:rsidR="00271E37" w:rsidRPr="00A00F5B" w:rsidRDefault="00271E37">
            <w:pPr>
              <w:spacing w:line="240" w:lineRule="auto"/>
              <w:jc w:val="right"/>
              <w:rPr>
                <w:rFonts w:eastAsia="Times New Roman" w:cs="Arial"/>
                <w:color w:val="000000"/>
                <w:szCs w:val="16"/>
                <w:lang w:eastAsia="en-GB"/>
              </w:rPr>
            </w:pPr>
            <w:r>
              <w:rPr>
                <w:rFonts w:eastAsia="Times New Roman" w:cs="Arial"/>
                <w:color w:val="000000"/>
                <w:szCs w:val="16"/>
                <w:lang w:eastAsia="en-GB"/>
              </w:rPr>
              <w:t>-</w:t>
            </w:r>
          </w:p>
        </w:tc>
        <w:tc>
          <w:tcPr>
            <w:tcW w:w="1257" w:type="dxa"/>
            <w:tcBorders>
              <w:top w:val="nil"/>
              <w:left w:val="nil"/>
              <w:bottom w:val="nil"/>
              <w:right w:val="nil"/>
            </w:tcBorders>
            <w:vAlign w:val="center"/>
          </w:tcPr>
          <w:p w14:paraId="2321BD1D" w14:textId="77777777" w:rsidR="00271E37" w:rsidRPr="005E7C60" w:rsidRDefault="00271E37">
            <w:pPr>
              <w:spacing w:line="240" w:lineRule="auto"/>
              <w:jc w:val="right"/>
              <w:rPr>
                <w:b/>
                <w:bCs/>
              </w:rPr>
            </w:pPr>
            <w:r>
              <w:rPr>
                <w:rFonts w:eastAsia="Times New Roman" w:cs="Arial"/>
                <w:color w:val="000000"/>
                <w:szCs w:val="16"/>
                <w:lang w:eastAsia="en-GB"/>
              </w:rPr>
              <w:t>-</w:t>
            </w:r>
          </w:p>
        </w:tc>
        <w:tc>
          <w:tcPr>
            <w:tcW w:w="963" w:type="dxa"/>
            <w:tcBorders>
              <w:top w:val="nil"/>
              <w:left w:val="nil"/>
              <w:bottom w:val="nil"/>
              <w:right w:val="nil"/>
            </w:tcBorders>
            <w:vAlign w:val="center"/>
            <w:hideMark/>
          </w:tcPr>
          <w:p w14:paraId="6060B768" w14:textId="77777777" w:rsidR="00271E37" w:rsidRPr="004B586E" w:rsidRDefault="00271E37">
            <w:pPr>
              <w:spacing w:line="240" w:lineRule="auto"/>
              <w:jc w:val="right"/>
              <w:rPr>
                <w:rFonts w:eastAsia="Times New Roman" w:cs="Arial"/>
                <w:b/>
                <w:bCs/>
                <w:color w:val="000000"/>
                <w:szCs w:val="16"/>
                <w:lang w:eastAsia="en-GB"/>
              </w:rPr>
            </w:pPr>
            <w:r w:rsidRPr="004B586E">
              <w:rPr>
                <w:b/>
                <w:bCs/>
              </w:rPr>
              <w:t>(778)</w:t>
            </w:r>
          </w:p>
        </w:tc>
      </w:tr>
      <w:tr w:rsidR="00271E37" w:rsidRPr="00A00F5B" w14:paraId="7ED4486D" w14:textId="77777777">
        <w:trPr>
          <w:trHeight w:val="290"/>
        </w:trPr>
        <w:tc>
          <w:tcPr>
            <w:tcW w:w="3212" w:type="dxa"/>
            <w:tcBorders>
              <w:top w:val="nil"/>
              <w:left w:val="nil"/>
              <w:bottom w:val="nil"/>
              <w:right w:val="nil"/>
            </w:tcBorders>
            <w:vAlign w:val="center"/>
            <w:hideMark/>
          </w:tcPr>
          <w:p w14:paraId="4C701FBB" w14:textId="77777777"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Administration expenses</w:t>
            </w:r>
          </w:p>
        </w:tc>
        <w:tc>
          <w:tcPr>
            <w:tcW w:w="1350" w:type="dxa"/>
            <w:tcBorders>
              <w:top w:val="nil"/>
              <w:left w:val="nil"/>
              <w:bottom w:val="nil"/>
              <w:right w:val="nil"/>
            </w:tcBorders>
            <w:vAlign w:val="center"/>
            <w:hideMark/>
          </w:tcPr>
          <w:p w14:paraId="047E233A" w14:textId="77777777" w:rsidR="00271E37" w:rsidRPr="00A00F5B" w:rsidRDefault="00271E37">
            <w:pPr>
              <w:spacing w:line="240" w:lineRule="auto"/>
              <w:jc w:val="right"/>
              <w:rPr>
                <w:rFonts w:eastAsia="Times New Roman" w:cs="Arial"/>
                <w:color w:val="000000"/>
                <w:szCs w:val="16"/>
                <w:lang w:eastAsia="en-GB"/>
              </w:rPr>
            </w:pPr>
            <w:r w:rsidRPr="004B586E">
              <w:rPr>
                <w:rFonts w:eastAsia="Times New Roman" w:cs="Arial"/>
                <w:color w:val="000000"/>
                <w:szCs w:val="16"/>
                <w:lang w:eastAsia="en-GB"/>
              </w:rPr>
              <w:t>(839)</w:t>
            </w:r>
          </w:p>
        </w:tc>
        <w:tc>
          <w:tcPr>
            <w:tcW w:w="1162" w:type="dxa"/>
            <w:tcBorders>
              <w:top w:val="nil"/>
              <w:left w:val="nil"/>
              <w:bottom w:val="nil"/>
              <w:right w:val="nil"/>
            </w:tcBorders>
            <w:vAlign w:val="center"/>
            <w:hideMark/>
          </w:tcPr>
          <w:p w14:paraId="761A16D3" w14:textId="77777777" w:rsidR="00271E37" w:rsidRPr="00A00F5B" w:rsidRDefault="00271E37">
            <w:pPr>
              <w:spacing w:line="240" w:lineRule="auto"/>
              <w:jc w:val="right"/>
              <w:rPr>
                <w:rFonts w:eastAsia="Times New Roman" w:cs="Arial"/>
                <w:color w:val="000000"/>
                <w:szCs w:val="16"/>
                <w:lang w:eastAsia="en-GB"/>
              </w:rPr>
            </w:pPr>
            <w:r>
              <w:rPr>
                <w:rFonts w:eastAsia="Times New Roman" w:cs="Arial"/>
                <w:color w:val="000000"/>
                <w:szCs w:val="16"/>
                <w:lang w:eastAsia="en-GB"/>
              </w:rPr>
              <w:t>-</w:t>
            </w:r>
          </w:p>
        </w:tc>
        <w:tc>
          <w:tcPr>
            <w:tcW w:w="1257" w:type="dxa"/>
            <w:tcBorders>
              <w:top w:val="nil"/>
              <w:left w:val="nil"/>
              <w:bottom w:val="nil"/>
              <w:right w:val="nil"/>
            </w:tcBorders>
            <w:vAlign w:val="center"/>
          </w:tcPr>
          <w:p w14:paraId="61EA83AD" w14:textId="77777777" w:rsidR="00271E37" w:rsidRPr="004B586E" w:rsidRDefault="00271E37">
            <w:pPr>
              <w:spacing w:line="240" w:lineRule="auto"/>
              <w:jc w:val="right"/>
            </w:pPr>
            <w:r w:rsidRPr="004B586E">
              <w:t>(3,832)</w:t>
            </w:r>
          </w:p>
        </w:tc>
        <w:tc>
          <w:tcPr>
            <w:tcW w:w="963" w:type="dxa"/>
            <w:tcBorders>
              <w:top w:val="nil"/>
              <w:left w:val="nil"/>
              <w:bottom w:val="nil"/>
              <w:right w:val="nil"/>
            </w:tcBorders>
            <w:vAlign w:val="center"/>
            <w:hideMark/>
          </w:tcPr>
          <w:p w14:paraId="7CCA7AC1" w14:textId="77777777" w:rsidR="00271E37" w:rsidRPr="004B586E" w:rsidRDefault="00271E37">
            <w:pPr>
              <w:spacing w:line="240" w:lineRule="auto"/>
              <w:jc w:val="right"/>
              <w:rPr>
                <w:rFonts w:eastAsia="Times New Roman" w:cs="Arial"/>
                <w:b/>
                <w:bCs/>
                <w:color w:val="000000"/>
                <w:szCs w:val="16"/>
                <w:lang w:eastAsia="en-GB"/>
              </w:rPr>
            </w:pPr>
            <w:r w:rsidRPr="004B586E">
              <w:rPr>
                <w:b/>
                <w:bCs/>
              </w:rPr>
              <w:t>(</w:t>
            </w:r>
            <w:r>
              <w:rPr>
                <w:b/>
                <w:bCs/>
              </w:rPr>
              <w:t>4,671</w:t>
            </w:r>
            <w:r w:rsidRPr="004B586E">
              <w:rPr>
                <w:b/>
                <w:bCs/>
              </w:rPr>
              <w:t>)</w:t>
            </w:r>
          </w:p>
        </w:tc>
      </w:tr>
      <w:tr w:rsidR="00271E37" w:rsidRPr="00A00F5B" w14:paraId="6CA2A030" w14:textId="77777777">
        <w:trPr>
          <w:trHeight w:val="300"/>
        </w:trPr>
        <w:tc>
          <w:tcPr>
            <w:tcW w:w="3212" w:type="dxa"/>
            <w:tcBorders>
              <w:top w:val="nil"/>
              <w:left w:val="nil"/>
              <w:bottom w:val="single" w:sz="8" w:space="0" w:color="auto"/>
              <w:right w:val="nil"/>
            </w:tcBorders>
            <w:vAlign w:val="center"/>
            <w:hideMark/>
          </w:tcPr>
          <w:p w14:paraId="30EB89CA" w14:textId="77777777"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Other operating income</w:t>
            </w:r>
          </w:p>
        </w:tc>
        <w:tc>
          <w:tcPr>
            <w:tcW w:w="1350" w:type="dxa"/>
            <w:tcBorders>
              <w:top w:val="nil"/>
              <w:left w:val="nil"/>
              <w:bottom w:val="single" w:sz="8" w:space="0" w:color="auto"/>
              <w:right w:val="nil"/>
            </w:tcBorders>
            <w:vAlign w:val="center"/>
            <w:hideMark/>
          </w:tcPr>
          <w:p w14:paraId="5711DE87" w14:textId="77777777" w:rsidR="00271E37" w:rsidRPr="00A00F5B" w:rsidRDefault="00271E37">
            <w:pPr>
              <w:spacing w:line="240" w:lineRule="auto"/>
              <w:jc w:val="right"/>
              <w:rPr>
                <w:rFonts w:eastAsia="Times New Roman" w:cs="Arial"/>
                <w:color w:val="000000"/>
                <w:szCs w:val="16"/>
                <w:lang w:eastAsia="en-GB"/>
              </w:rPr>
            </w:pPr>
            <w:r w:rsidRPr="004B586E">
              <w:rPr>
                <w:rFonts w:eastAsia="Times New Roman" w:cs="Arial"/>
                <w:color w:val="000000"/>
                <w:szCs w:val="16"/>
                <w:lang w:eastAsia="en-GB"/>
              </w:rPr>
              <w:t xml:space="preserve">406 </w:t>
            </w:r>
          </w:p>
        </w:tc>
        <w:tc>
          <w:tcPr>
            <w:tcW w:w="1162" w:type="dxa"/>
            <w:tcBorders>
              <w:top w:val="nil"/>
              <w:left w:val="nil"/>
              <w:bottom w:val="nil"/>
              <w:right w:val="nil"/>
            </w:tcBorders>
            <w:vAlign w:val="center"/>
            <w:hideMark/>
          </w:tcPr>
          <w:p w14:paraId="6392BA35" w14:textId="77777777" w:rsidR="00271E37" w:rsidRPr="00A00F5B" w:rsidRDefault="00271E37">
            <w:pPr>
              <w:spacing w:line="240" w:lineRule="auto"/>
              <w:jc w:val="right"/>
              <w:rPr>
                <w:rFonts w:eastAsia="Times New Roman" w:cs="Arial"/>
                <w:color w:val="000000"/>
                <w:szCs w:val="16"/>
                <w:lang w:eastAsia="en-GB"/>
              </w:rPr>
            </w:pPr>
            <w:r w:rsidRPr="00A00F5B">
              <w:rPr>
                <w:rFonts w:eastAsia="Times New Roman" w:cs="Arial"/>
                <w:color w:val="000000"/>
                <w:szCs w:val="16"/>
                <w:lang w:eastAsia="en-GB"/>
              </w:rPr>
              <w:t xml:space="preserve">2,965 </w:t>
            </w:r>
          </w:p>
        </w:tc>
        <w:tc>
          <w:tcPr>
            <w:tcW w:w="1257" w:type="dxa"/>
            <w:tcBorders>
              <w:top w:val="nil"/>
              <w:left w:val="nil"/>
              <w:bottom w:val="nil"/>
              <w:right w:val="nil"/>
            </w:tcBorders>
            <w:vAlign w:val="center"/>
          </w:tcPr>
          <w:p w14:paraId="0EFE62F1" w14:textId="77777777" w:rsidR="00271E37" w:rsidRPr="004B586E" w:rsidRDefault="00271E37">
            <w:pPr>
              <w:spacing w:line="240" w:lineRule="auto"/>
              <w:jc w:val="right"/>
              <w:rPr>
                <w:rFonts w:eastAsia="Times New Roman" w:cs="Arial"/>
                <w:color w:val="000000"/>
                <w:szCs w:val="16"/>
                <w:lang w:eastAsia="en-GB"/>
              </w:rPr>
            </w:pPr>
            <w:r>
              <w:rPr>
                <w:rFonts w:eastAsia="Times New Roman" w:cs="Arial"/>
                <w:color w:val="000000"/>
                <w:szCs w:val="16"/>
                <w:lang w:eastAsia="en-GB"/>
              </w:rPr>
              <w:t>-</w:t>
            </w:r>
          </w:p>
        </w:tc>
        <w:tc>
          <w:tcPr>
            <w:tcW w:w="963" w:type="dxa"/>
            <w:tcBorders>
              <w:top w:val="nil"/>
              <w:left w:val="nil"/>
              <w:bottom w:val="nil"/>
              <w:right w:val="nil"/>
            </w:tcBorders>
            <w:vAlign w:val="center"/>
            <w:hideMark/>
          </w:tcPr>
          <w:p w14:paraId="5026694D" w14:textId="77777777" w:rsidR="00271E37" w:rsidRPr="004B586E" w:rsidRDefault="00271E37">
            <w:pPr>
              <w:spacing w:line="240" w:lineRule="auto"/>
              <w:jc w:val="right"/>
              <w:rPr>
                <w:rFonts w:eastAsia="Times New Roman" w:cs="Arial"/>
                <w:b/>
                <w:bCs/>
                <w:color w:val="000000"/>
                <w:szCs w:val="16"/>
                <w:lang w:eastAsia="en-GB"/>
              </w:rPr>
            </w:pPr>
            <w:r w:rsidRPr="004B586E">
              <w:rPr>
                <w:b/>
                <w:bCs/>
              </w:rPr>
              <w:t xml:space="preserve">3,371 </w:t>
            </w:r>
          </w:p>
        </w:tc>
      </w:tr>
      <w:tr w:rsidR="00271E37" w:rsidRPr="00A00F5B" w14:paraId="397A235C" w14:textId="77777777">
        <w:trPr>
          <w:trHeight w:val="290"/>
        </w:trPr>
        <w:tc>
          <w:tcPr>
            <w:tcW w:w="3212" w:type="dxa"/>
            <w:tcBorders>
              <w:top w:val="nil"/>
              <w:left w:val="nil"/>
              <w:bottom w:val="nil"/>
              <w:right w:val="nil"/>
            </w:tcBorders>
            <w:vAlign w:val="center"/>
            <w:hideMark/>
          </w:tcPr>
          <w:p w14:paraId="35E83CE3" w14:textId="11A70279" w:rsidR="00271E37" w:rsidRPr="00A00F5B" w:rsidRDefault="00271E37">
            <w:pPr>
              <w:spacing w:line="240" w:lineRule="auto"/>
              <w:rPr>
                <w:rFonts w:eastAsia="Times New Roman" w:cs="Arial"/>
                <w:b/>
                <w:bCs/>
                <w:color w:val="000000"/>
                <w:szCs w:val="16"/>
                <w:lang w:eastAsia="en-GB"/>
              </w:rPr>
            </w:pPr>
            <w:r w:rsidRPr="00A00F5B">
              <w:rPr>
                <w:rFonts w:eastAsia="Times New Roman" w:cs="Arial"/>
                <w:b/>
                <w:bCs/>
                <w:color w:val="000000"/>
                <w:szCs w:val="16"/>
                <w:lang w:eastAsia="en-GB"/>
              </w:rPr>
              <w:t xml:space="preserve">Adjustments to operating </w:t>
            </w:r>
            <w:r w:rsidR="00E24E60">
              <w:rPr>
                <w:rFonts w:eastAsia="Times New Roman" w:cs="Arial"/>
                <w:b/>
                <w:bCs/>
                <w:color w:val="000000"/>
                <w:szCs w:val="16"/>
                <w:lang w:eastAsia="en-GB"/>
              </w:rPr>
              <w:t xml:space="preserve">(loss) </w:t>
            </w:r>
            <w:r w:rsidR="00F558C0">
              <w:rPr>
                <w:rFonts w:eastAsia="Times New Roman" w:cs="Arial"/>
                <w:b/>
                <w:bCs/>
                <w:color w:val="000000"/>
                <w:szCs w:val="16"/>
                <w:lang w:eastAsia="en-GB"/>
              </w:rPr>
              <w:t>/</w:t>
            </w:r>
            <w:r w:rsidRPr="00A00F5B">
              <w:rPr>
                <w:rFonts w:eastAsia="Times New Roman" w:cs="Arial"/>
                <w:b/>
                <w:bCs/>
                <w:color w:val="000000"/>
                <w:szCs w:val="16"/>
                <w:lang w:eastAsia="en-GB"/>
              </w:rPr>
              <w:t>profit</w:t>
            </w:r>
          </w:p>
        </w:tc>
        <w:tc>
          <w:tcPr>
            <w:tcW w:w="1350" w:type="dxa"/>
            <w:tcBorders>
              <w:top w:val="nil"/>
              <w:left w:val="nil"/>
              <w:bottom w:val="nil"/>
              <w:right w:val="nil"/>
            </w:tcBorders>
            <w:vAlign w:val="center"/>
            <w:hideMark/>
          </w:tcPr>
          <w:p w14:paraId="2974963A" w14:textId="77777777" w:rsidR="00271E37" w:rsidRPr="00A00F5B" w:rsidRDefault="00271E37">
            <w:pPr>
              <w:spacing w:line="240" w:lineRule="auto"/>
              <w:jc w:val="right"/>
              <w:rPr>
                <w:rFonts w:eastAsia="Times New Roman" w:cs="Arial"/>
                <w:b/>
                <w:bCs/>
                <w:color w:val="000000"/>
                <w:szCs w:val="16"/>
                <w:lang w:eastAsia="en-GB"/>
              </w:rPr>
            </w:pPr>
            <w:r w:rsidRPr="00F906F6">
              <w:rPr>
                <w:rFonts w:eastAsia="Times New Roman" w:cs="Arial"/>
                <w:b/>
                <w:bCs/>
                <w:color w:val="000000"/>
                <w:szCs w:val="16"/>
                <w:lang w:eastAsia="en-GB"/>
              </w:rPr>
              <w:t>(1,211)</w:t>
            </w:r>
          </w:p>
        </w:tc>
        <w:tc>
          <w:tcPr>
            <w:tcW w:w="1162" w:type="dxa"/>
            <w:tcBorders>
              <w:top w:val="single" w:sz="8" w:space="0" w:color="auto"/>
              <w:left w:val="nil"/>
              <w:bottom w:val="nil"/>
              <w:right w:val="nil"/>
            </w:tcBorders>
            <w:vAlign w:val="center"/>
            <w:hideMark/>
          </w:tcPr>
          <w:p w14:paraId="78B3E6AA"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 xml:space="preserve">2,965 </w:t>
            </w:r>
          </w:p>
        </w:tc>
        <w:tc>
          <w:tcPr>
            <w:tcW w:w="1257" w:type="dxa"/>
            <w:tcBorders>
              <w:top w:val="single" w:sz="8" w:space="0" w:color="auto"/>
              <w:left w:val="nil"/>
              <w:bottom w:val="nil"/>
              <w:right w:val="nil"/>
            </w:tcBorders>
            <w:vAlign w:val="center"/>
          </w:tcPr>
          <w:p w14:paraId="28A4FF6C" w14:textId="77777777" w:rsidR="00271E37" w:rsidRPr="005E7C60" w:rsidRDefault="00271E37">
            <w:pPr>
              <w:spacing w:line="240" w:lineRule="auto"/>
              <w:jc w:val="right"/>
              <w:rPr>
                <w:b/>
                <w:bCs/>
              </w:rPr>
            </w:pPr>
            <w:r>
              <w:rPr>
                <w:rFonts w:eastAsia="Times New Roman" w:cs="Arial"/>
                <w:b/>
                <w:bCs/>
                <w:color w:val="000000"/>
                <w:szCs w:val="16"/>
                <w:lang w:eastAsia="en-GB"/>
              </w:rPr>
              <w:t>(3,832)</w:t>
            </w:r>
            <w:r w:rsidRPr="00A00F5B">
              <w:rPr>
                <w:rFonts w:eastAsia="Times New Roman" w:cs="Arial"/>
                <w:b/>
                <w:bCs/>
                <w:color w:val="000000"/>
                <w:szCs w:val="16"/>
                <w:lang w:eastAsia="en-GB"/>
              </w:rPr>
              <w:t xml:space="preserve"> </w:t>
            </w:r>
          </w:p>
        </w:tc>
        <w:tc>
          <w:tcPr>
            <w:tcW w:w="963" w:type="dxa"/>
            <w:tcBorders>
              <w:top w:val="single" w:sz="8" w:space="0" w:color="auto"/>
              <w:left w:val="nil"/>
              <w:bottom w:val="nil"/>
              <w:right w:val="nil"/>
            </w:tcBorders>
            <w:vAlign w:val="center"/>
            <w:hideMark/>
          </w:tcPr>
          <w:p w14:paraId="5CE788DB" w14:textId="77777777" w:rsidR="00271E37" w:rsidRPr="008F58DF" w:rsidRDefault="00271E37">
            <w:pPr>
              <w:spacing w:line="240" w:lineRule="auto"/>
              <w:jc w:val="right"/>
              <w:rPr>
                <w:rFonts w:eastAsia="Times New Roman" w:cs="Arial"/>
                <w:b/>
                <w:bCs/>
                <w:color w:val="000000"/>
                <w:szCs w:val="16"/>
                <w:lang w:eastAsia="en-GB"/>
              </w:rPr>
            </w:pPr>
            <w:r>
              <w:rPr>
                <w:rFonts w:eastAsia="Times New Roman" w:cs="Arial"/>
                <w:b/>
                <w:bCs/>
                <w:color w:val="000000"/>
                <w:szCs w:val="16"/>
                <w:lang w:eastAsia="en-GB"/>
              </w:rPr>
              <w:t>(2,078)</w:t>
            </w:r>
          </w:p>
        </w:tc>
      </w:tr>
      <w:tr w:rsidR="00271E37" w:rsidRPr="00A00F5B" w14:paraId="3CC3AE1B" w14:textId="77777777">
        <w:trPr>
          <w:trHeight w:val="300"/>
        </w:trPr>
        <w:tc>
          <w:tcPr>
            <w:tcW w:w="3212" w:type="dxa"/>
            <w:tcBorders>
              <w:top w:val="nil"/>
              <w:left w:val="nil"/>
              <w:bottom w:val="single" w:sz="8" w:space="0" w:color="auto"/>
              <w:right w:val="nil"/>
            </w:tcBorders>
            <w:vAlign w:val="center"/>
            <w:hideMark/>
          </w:tcPr>
          <w:p w14:paraId="1DAB462F" w14:textId="77777777"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 xml:space="preserve">Other finance </w:t>
            </w:r>
            <w:r>
              <w:rPr>
                <w:rFonts w:eastAsia="Times New Roman" w:cs="Arial"/>
                <w:color w:val="000000"/>
                <w:szCs w:val="16"/>
                <w:lang w:eastAsia="en-GB"/>
              </w:rPr>
              <w:t>(</w:t>
            </w:r>
            <w:r w:rsidRPr="00A00F5B">
              <w:rPr>
                <w:rFonts w:eastAsia="Times New Roman" w:cs="Arial"/>
                <w:color w:val="000000"/>
                <w:szCs w:val="16"/>
                <w:lang w:eastAsia="en-GB"/>
              </w:rPr>
              <w:t>expenses</w:t>
            </w:r>
            <w:r>
              <w:rPr>
                <w:rFonts w:eastAsia="Times New Roman" w:cs="Arial"/>
                <w:color w:val="000000"/>
                <w:szCs w:val="16"/>
                <w:lang w:eastAsia="en-GB"/>
              </w:rPr>
              <w:t>)</w:t>
            </w:r>
            <w:r w:rsidRPr="00A00F5B">
              <w:rPr>
                <w:rFonts w:eastAsia="Times New Roman" w:cs="Arial"/>
                <w:color w:val="000000"/>
                <w:szCs w:val="16"/>
                <w:lang w:eastAsia="en-GB"/>
              </w:rPr>
              <w:t>/income</w:t>
            </w:r>
          </w:p>
        </w:tc>
        <w:tc>
          <w:tcPr>
            <w:tcW w:w="1350" w:type="dxa"/>
            <w:tcBorders>
              <w:top w:val="nil"/>
              <w:left w:val="nil"/>
              <w:bottom w:val="nil"/>
              <w:right w:val="nil"/>
            </w:tcBorders>
            <w:vAlign w:val="center"/>
            <w:hideMark/>
          </w:tcPr>
          <w:p w14:paraId="4EB030AC" w14:textId="77777777" w:rsidR="00271E37" w:rsidRPr="00A00F5B" w:rsidRDefault="00271E37">
            <w:pPr>
              <w:spacing w:line="240" w:lineRule="auto"/>
              <w:jc w:val="right"/>
              <w:rPr>
                <w:rFonts w:eastAsia="Times New Roman" w:cs="Arial"/>
                <w:color w:val="000000"/>
                <w:szCs w:val="16"/>
                <w:lang w:eastAsia="en-GB"/>
              </w:rPr>
            </w:pPr>
            <w:r w:rsidRPr="00A00F5B">
              <w:rPr>
                <w:rFonts w:eastAsia="Times New Roman" w:cs="Arial"/>
                <w:color w:val="000000"/>
                <w:szCs w:val="16"/>
                <w:lang w:eastAsia="en-GB"/>
              </w:rPr>
              <w:t>(197)</w:t>
            </w:r>
          </w:p>
        </w:tc>
        <w:tc>
          <w:tcPr>
            <w:tcW w:w="1162" w:type="dxa"/>
            <w:tcBorders>
              <w:top w:val="nil"/>
              <w:left w:val="nil"/>
              <w:bottom w:val="single" w:sz="8" w:space="0" w:color="auto"/>
              <w:right w:val="nil"/>
            </w:tcBorders>
            <w:vAlign w:val="center"/>
            <w:hideMark/>
          </w:tcPr>
          <w:p w14:paraId="584807C8" w14:textId="77777777" w:rsidR="00271E37" w:rsidRPr="00A00F5B" w:rsidRDefault="00271E37">
            <w:pPr>
              <w:spacing w:line="240" w:lineRule="auto"/>
              <w:jc w:val="right"/>
              <w:rPr>
                <w:rFonts w:eastAsia="Times New Roman" w:cs="Arial"/>
                <w:color w:val="000000"/>
                <w:szCs w:val="16"/>
                <w:lang w:eastAsia="en-GB"/>
              </w:rPr>
            </w:pPr>
            <w:r w:rsidRPr="00A00F5B">
              <w:rPr>
                <w:rFonts w:eastAsia="Times New Roman" w:cs="Arial"/>
                <w:color w:val="000000"/>
                <w:szCs w:val="16"/>
                <w:lang w:eastAsia="en-GB"/>
              </w:rPr>
              <w:t> </w:t>
            </w:r>
            <w:r>
              <w:rPr>
                <w:rFonts w:eastAsia="Times New Roman" w:cs="Arial"/>
                <w:color w:val="000000"/>
                <w:szCs w:val="16"/>
                <w:lang w:eastAsia="en-GB"/>
              </w:rPr>
              <w:t>-</w:t>
            </w:r>
          </w:p>
        </w:tc>
        <w:tc>
          <w:tcPr>
            <w:tcW w:w="1257" w:type="dxa"/>
            <w:tcBorders>
              <w:top w:val="nil"/>
              <w:left w:val="nil"/>
              <w:bottom w:val="nil"/>
              <w:right w:val="nil"/>
            </w:tcBorders>
            <w:vAlign w:val="center"/>
          </w:tcPr>
          <w:p w14:paraId="5E5F6091" w14:textId="77777777" w:rsidR="00271E37" w:rsidRPr="005E7C60" w:rsidRDefault="00271E37">
            <w:pPr>
              <w:spacing w:line="240" w:lineRule="auto"/>
              <w:jc w:val="right"/>
              <w:rPr>
                <w:b/>
                <w:bCs/>
              </w:rPr>
            </w:pPr>
            <w:r w:rsidRPr="00A00F5B">
              <w:rPr>
                <w:rFonts w:eastAsia="Times New Roman" w:cs="Arial"/>
                <w:color w:val="000000"/>
                <w:szCs w:val="16"/>
                <w:lang w:eastAsia="en-GB"/>
              </w:rPr>
              <w:t> </w:t>
            </w:r>
            <w:r>
              <w:rPr>
                <w:rFonts w:eastAsia="Times New Roman" w:cs="Arial"/>
                <w:color w:val="000000"/>
                <w:szCs w:val="16"/>
                <w:lang w:eastAsia="en-GB"/>
              </w:rPr>
              <w:t>-</w:t>
            </w:r>
          </w:p>
        </w:tc>
        <w:tc>
          <w:tcPr>
            <w:tcW w:w="963" w:type="dxa"/>
            <w:tcBorders>
              <w:top w:val="nil"/>
              <w:left w:val="nil"/>
              <w:bottom w:val="nil"/>
              <w:right w:val="nil"/>
            </w:tcBorders>
            <w:vAlign w:val="center"/>
            <w:hideMark/>
          </w:tcPr>
          <w:p w14:paraId="0C087D82" w14:textId="77777777" w:rsidR="00271E37" w:rsidRPr="008F58DF" w:rsidRDefault="00271E37">
            <w:pPr>
              <w:spacing w:line="240" w:lineRule="auto"/>
              <w:jc w:val="right"/>
              <w:rPr>
                <w:rFonts w:eastAsia="Times New Roman" w:cs="Arial"/>
                <w:b/>
                <w:bCs/>
                <w:color w:val="000000"/>
                <w:szCs w:val="16"/>
                <w:lang w:eastAsia="en-GB"/>
              </w:rPr>
            </w:pPr>
            <w:r w:rsidRPr="004B586E">
              <w:rPr>
                <w:b/>
                <w:bCs/>
              </w:rPr>
              <w:t>(197)</w:t>
            </w:r>
          </w:p>
        </w:tc>
      </w:tr>
      <w:tr w:rsidR="00271E37" w:rsidRPr="00A00F5B" w14:paraId="7635F0E5" w14:textId="77777777">
        <w:trPr>
          <w:trHeight w:val="290"/>
        </w:trPr>
        <w:tc>
          <w:tcPr>
            <w:tcW w:w="3212" w:type="dxa"/>
            <w:tcBorders>
              <w:top w:val="nil"/>
              <w:left w:val="nil"/>
              <w:bottom w:val="nil"/>
              <w:right w:val="nil"/>
            </w:tcBorders>
            <w:vAlign w:val="center"/>
            <w:hideMark/>
          </w:tcPr>
          <w:p w14:paraId="39FB1F65" w14:textId="77777777" w:rsidR="00271E37" w:rsidRPr="00A00F5B" w:rsidRDefault="00271E37">
            <w:pPr>
              <w:spacing w:line="240" w:lineRule="auto"/>
              <w:rPr>
                <w:rFonts w:eastAsia="Times New Roman" w:cs="Arial"/>
                <w:b/>
                <w:bCs/>
                <w:color w:val="000000"/>
                <w:szCs w:val="16"/>
                <w:lang w:eastAsia="en-GB"/>
              </w:rPr>
            </w:pPr>
            <w:r w:rsidRPr="00A00F5B">
              <w:rPr>
                <w:rFonts w:eastAsia="Times New Roman" w:cs="Arial"/>
                <w:b/>
                <w:bCs/>
                <w:color w:val="000000"/>
                <w:szCs w:val="16"/>
                <w:lang w:eastAsia="en-GB"/>
              </w:rPr>
              <w:t>Adjustments to profit/</w:t>
            </w:r>
            <w:r>
              <w:rPr>
                <w:rFonts w:eastAsia="Times New Roman" w:cs="Arial"/>
                <w:b/>
                <w:bCs/>
                <w:color w:val="000000"/>
                <w:szCs w:val="16"/>
                <w:lang w:eastAsia="en-GB"/>
              </w:rPr>
              <w:t>(</w:t>
            </w:r>
            <w:r w:rsidRPr="00A00F5B">
              <w:rPr>
                <w:rFonts w:eastAsia="Times New Roman" w:cs="Arial"/>
                <w:b/>
                <w:bCs/>
                <w:color w:val="000000"/>
                <w:szCs w:val="16"/>
                <w:lang w:eastAsia="en-GB"/>
              </w:rPr>
              <w:t>loss</w:t>
            </w:r>
            <w:r>
              <w:rPr>
                <w:rFonts w:eastAsia="Times New Roman" w:cs="Arial"/>
                <w:b/>
                <w:bCs/>
                <w:color w:val="000000"/>
                <w:szCs w:val="16"/>
                <w:lang w:eastAsia="en-GB"/>
              </w:rPr>
              <w:t>)</w:t>
            </w:r>
            <w:r w:rsidRPr="00A00F5B">
              <w:rPr>
                <w:rFonts w:eastAsia="Times New Roman" w:cs="Arial"/>
                <w:b/>
                <w:bCs/>
                <w:color w:val="000000"/>
                <w:szCs w:val="16"/>
                <w:lang w:eastAsia="en-GB"/>
              </w:rPr>
              <w:t xml:space="preserve"> before tax</w:t>
            </w:r>
          </w:p>
        </w:tc>
        <w:tc>
          <w:tcPr>
            <w:tcW w:w="1350" w:type="dxa"/>
            <w:tcBorders>
              <w:top w:val="single" w:sz="8" w:space="0" w:color="auto"/>
              <w:left w:val="nil"/>
              <w:bottom w:val="nil"/>
              <w:right w:val="nil"/>
            </w:tcBorders>
            <w:vAlign w:val="center"/>
            <w:hideMark/>
          </w:tcPr>
          <w:p w14:paraId="71F03A82" w14:textId="77777777" w:rsidR="00271E37" w:rsidRPr="00A00F5B" w:rsidRDefault="00271E37">
            <w:pPr>
              <w:spacing w:line="240" w:lineRule="auto"/>
              <w:jc w:val="right"/>
              <w:rPr>
                <w:rFonts w:eastAsia="Times New Roman" w:cs="Arial"/>
                <w:b/>
                <w:bCs/>
                <w:color w:val="000000"/>
                <w:szCs w:val="16"/>
                <w:lang w:eastAsia="en-GB"/>
              </w:rPr>
            </w:pPr>
            <w:r w:rsidRPr="00AA5D25">
              <w:rPr>
                <w:rFonts w:eastAsia="Times New Roman" w:cs="Arial"/>
                <w:b/>
                <w:bCs/>
                <w:color w:val="000000"/>
                <w:szCs w:val="16"/>
                <w:lang w:eastAsia="en-GB"/>
              </w:rPr>
              <w:t>(1,408)</w:t>
            </w:r>
          </w:p>
        </w:tc>
        <w:tc>
          <w:tcPr>
            <w:tcW w:w="1162" w:type="dxa"/>
            <w:tcBorders>
              <w:top w:val="nil"/>
              <w:left w:val="nil"/>
              <w:bottom w:val="nil"/>
              <w:right w:val="nil"/>
            </w:tcBorders>
            <w:vAlign w:val="center"/>
            <w:hideMark/>
          </w:tcPr>
          <w:p w14:paraId="28017EBF"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 xml:space="preserve">2,965 </w:t>
            </w:r>
          </w:p>
        </w:tc>
        <w:tc>
          <w:tcPr>
            <w:tcW w:w="1257" w:type="dxa"/>
            <w:tcBorders>
              <w:top w:val="single" w:sz="8" w:space="0" w:color="auto"/>
              <w:left w:val="nil"/>
              <w:bottom w:val="nil"/>
              <w:right w:val="nil"/>
            </w:tcBorders>
            <w:vAlign w:val="center"/>
          </w:tcPr>
          <w:p w14:paraId="5C68200E" w14:textId="77777777" w:rsidR="00271E37" w:rsidRPr="005E7C60" w:rsidRDefault="00271E37">
            <w:pPr>
              <w:spacing w:line="240" w:lineRule="auto"/>
              <w:jc w:val="right"/>
              <w:rPr>
                <w:b/>
                <w:bCs/>
              </w:rPr>
            </w:pPr>
            <w:r>
              <w:rPr>
                <w:rFonts w:eastAsia="Times New Roman" w:cs="Arial"/>
                <w:b/>
                <w:bCs/>
                <w:color w:val="000000"/>
                <w:szCs w:val="16"/>
                <w:lang w:eastAsia="en-GB"/>
              </w:rPr>
              <w:t>(3,832)</w:t>
            </w:r>
            <w:r w:rsidRPr="00A00F5B">
              <w:rPr>
                <w:rFonts w:eastAsia="Times New Roman" w:cs="Arial"/>
                <w:b/>
                <w:bCs/>
                <w:color w:val="000000"/>
                <w:szCs w:val="16"/>
                <w:lang w:eastAsia="en-GB"/>
              </w:rPr>
              <w:t xml:space="preserve"> </w:t>
            </w:r>
          </w:p>
        </w:tc>
        <w:tc>
          <w:tcPr>
            <w:tcW w:w="963" w:type="dxa"/>
            <w:tcBorders>
              <w:top w:val="single" w:sz="8" w:space="0" w:color="auto"/>
              <w:left w:val="nil"/>
              <w:bottom w:val="nil"/>
              <w:right w:val="nil"/>
            </w:tcBorders>
            <w:vAlign w:val="center"/>
            <w:hideMark/>
          </w:tcPr>
          <w:p w14:paraId="21A29B8B" w14:textId="77777777" w:rsidR="00271E37" w:rsidRPr="008F58DF" w:rsidRDefault="00271E37">
            <w:pPr>
              <w:spacing w:line="240" w:lineRule="auto"/>
              <w:jc w:val="right"/>
              <w:rPr>
                <w:rFonts w:eastAsia="Times New Roman" w:cs="Arial"/>
                <w:b/>
                <w:bCs/>
                <w:color w:val="000000"/>
                <w:szCs w:val="16"/>
                <w:lang w:eastAsia="en-GB"/>
              </w:rPr>
            </w:pPr>
            <w:r>
              <w:rPr>
                <w:b/>
                <w:bCs/>
              </w:rPr>
              <w:t>(2,275)</w:t>
            </w:r>
            <w:r w:rsidRPr="004B586E">
              <w:rPr>
                <w:b/>
                <w:bCs/>
              </w:rPr>
              <w:t xml:space="preserve"> </w:t>
            </w:r>
          </w:p>
        </w:tc>
      </w:tr>
      <w:tr w:rsidR="00271E37" w:rsidRPr="00A00F5B" w14:paraId="6B280C00" w14:textId="77777777">
        <w:trPr>
          <w:trHeight w:val="300"/>
        </w:trPr>
        <w:tc>
          <w:tcPr>
            <w:tcW w:w="3212" w:type="dxa"/>
            <w:tcBorders>
              <w:top w:val="nil"/>
              <w:left w:val="nil"/>
              <w:bottom w:val="single" w:sz="8" w:space="0" w:color="auto"/>
              <w:right w:val="nil"/>
            </w:tcBorders>
            <w:vAlign w:val="center"/>
            <w:hideMark/>
          </w:tcPr>
          <w:p w14:paraId="0E677363" w14:textId="5C408746"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Adjusting tax credit</w:t>
            </w:r>
          </w:p>
        </w:tc>
        <w:tc>
          <w:tcPr>
            <w:tcW w:w="1350" w:type="dxa"/>
            <w:tcBorders>
              <w:top w:val="nil"/>
              <w:left w:val="nil"/>
              <w:bottom w:val="single" w:sz="8" w:space="0" w:color="auto"/>
              <w:right w:val="nil"/>
            </w:tcBorders>
            <w:vAlign w:val="center"/>
            <w:hideMark/>
          </w:tcPr>
          <w:p w14:paraId="31C2498C" w14:textId="77777777" w:rsidR="00271E37" w:rsidRPr="00A00F5B" w:rsidRDefault="00271E37">
            <w:pPr>
              <w:spacing w:line="240" w:lineRule="auto"/>
              <w:jc w:val="right"/>
              <w:rPr>
                <w:rFonts w:eastAsia="Times New Roman" w:cs="Arial"/>
                <w:color w:val="000000"/>
                <w:szCs w:val="16"/>
                <w:lang w:eastAsia="en-GB"/>
              </w:rPr>
            </w:pPr>
            <w:r w:rsidRPr="00A00F5B">
              <w:rPr>
                <w:rFonts w:eastAsia="Times New Roman" w:cs="Arial"/>
                <w:color w:val="000000"/>
                <w:szCs w:val="16"/>
                <w:lang w:eastAsia="en-GB"/>
              </w:rPr>
              <w:t>311</w:t>
            </w:r>
          </w:p>
        </w:tc>
        <w:tc>
          <w:tcPr>
            <w:tcW w:w="1162" w:type="dxa"/>
            <w:tcBorders>
              <w:top w:val="nil"/>
              <w:left w:val="nil"/>
              <w:bottom w:val="single" w:sz="8" w:space="0" w:color="auto"/>
              <w:right w:val="nil"/>
            </w:tcBorders>
            <w:vAlign w:val="center"/>
            <w:hideMark/>
          </w:tcPr>
          <w:p w14:paraId="058C5CA0" w14:textId="77777777" w:rsidR="00271E37" w:rsidRPr="00A00F5B" w:rsidRDefault="00271E37">
            <w:pPr>
              <w:spacing w:line="240" w:lineRule="auto"/>
              <w:jc w:val="right"/>
              <w:rPr>
                <w:rFonts w:eastAsia="Times New Roman" w:cs="Arial"/>
                <w:color w:val="000000"/>
                <w:szCs w:val="16"/>
                <w:lang w:eastAsia="en-GB"/>
              </w:rPr>
            </w:pPr>
            <w:r w:rsidRPr="00A00F5B">
              <w:rPr>
                <w:rFonts w:eastAsia="Times New Roman" w:cs="Arial"/>
                <w:color w:val="000000"/>
                <w:szCs w:val="16"/>
                <w:lang w:eastAsia="en-GB"/>
              </w:rPr>
              <w:t>  </w:t>
            </w:r>
            <w:r>
              <w:rPr>
                <w:rFonts w:eastAsia="Times New Roman" w:cs="Arial"/>
                <w:color w:val="000000"/>
                <w:szCs w:val="16"/>
                <w:lang w:eastAsia="en-GB"/>
              </w:rPr>
              <w:t>-</w:t>
            </w:r>
          </w:p>
        </w:tc>
        <w:tc>
          <w:tcPr>
            <w:tcW w:w="1257" w:type="dxa"/>
            <w:tcBorders>
              <w:top w:val="nil"/>
              <w:left w:val="nil"/>
              <w:bottom w:val="nil"/>
              <w:right w:val="nil"/>
            </w:tcBorders>
          </w:tcPr>
          <w:p w14:paraId="74CA14A7" w14:textId="77777777" w:rsidR="00271E37" w:rsidRPr="003624A1" w:rsidRDefault="00271E37">
            <w:pPr>
              <w:spacing w:line="240" w:lineRule="auto"/>
              <w:jc w:val="right"/>
              <w:rPr>
                <w:rFonts w:eastAsia="Times New Roman" w:cs="Arial"/>
                <w:color w:val="000000"/>
                <w:szCs w:val="16"/>
                <w:lang w:eastAsia="en-GB"/>
              </w:rPr>
            </w:pPr>
            <w:r w:rsidRPr="003624A1">
              <w:rPr>
                <w:rFonts w:eastAsia="Times New Roman" w:cs="Arial"/>
                <w:color w:val="000000"/>
                <w:szCs w:val="16"/>
                <w:lang w:eastAsia="en-GB"/>
              </w:rPr>
              <w:t>-</w:t>
            </w:r>
          </w:p>
        </w:tc>
        <w:tc>
          <w:tcPr>
            <w:tcW w:w="963" w:type="dxa"/>
            <w:tcBorders>
              <w:top w:val="nil"/>
              <w:left w:val="nil"/>
              <w:bottom w:val="nil"/>
              <w:right w:val="nil"/>
            </w:tcBorders>
            <w:vAlign w:val="center"/>
            <w:hideMark/>
          </w:tcPr>
          <w:p w14:paraId="07874328" w14:textId="77777777" w:rsidR="00271E37" w:rsidRPr="008F58DF" w:rsidRDefault="00271E37">
            <w:pPr>
              <w:spacing w:line="240" w:lineRule="auto"/>
              <w:jc w:val="right"/>
              <w:rPr>
                <w:rFonts w:eastAsia="Times New Roman" w:cs="Arial"/>
                <w:b/>
                <w:bCs/>
                <w:color w:val="000000"/>
                <w:szCs w:val="16"/>
                <w:lang w:eastAsia="en-GB"/>
              </w:rPr>
            </w:pPr>
            <w:r w:rsidRPr="004B586E">
              <w:rPr>
                <w:b/>
                <w:bCs/>
              </w:rPr>
              <w:t xml:space="preserve">311 </w:t>
            </w:r>
          </w:p>
        </w:tc>
      </w:tr>
      <w:tr w:rsidR="00271E37" w:rsidRPr="00A00F5B" w14:paraId="3BE38EA3" w14:textId="77777777">
        <w:trPr>
          <w:trHeight w:val="300"/>
        </w:trPr>
        <w:tc>
          <w:tcPr>
            <w:tcW w:w="3212" w:type="dxa"/>
            <w:tcBorders>
              <w:top w:val="nil"/>
              <w:left w:val="nil"/>
              <w:bottom w:val="single" w:sz="12" w:space="0" w:color="auto"/>
              <w:right w:val="nil"/>
            </w:tcBorders>
            <w:vAlign w:val="center"/>
            <w:hideMark/>
          </w:tcPr>
          <w:p w14:paraId="7A615E39" w14:textId="77777777" w:rsidR="00271E37" w:rsidRPr="00A00F5B" w:rsidRDefault="00271E37">
            <w:pPr>
              <w:spacing w:line="240" w:lineRule="auto"/>
              <w:rPr>
                <w:rFonts w:eastAsia="Times New Roman" w:cs="Arial"/>
                <w:b/>
                <w:bCs/>
                <w:color w:val="000000"/>
                <w:szCs w:val="16"/>
                <w:lang w:eastAsia="en-GB"/>
              </w:rPr>
            </w:pPr>
            <w:r w:rsidRPr="00A00F5B">
              <w:rPr>
                <w:rFonts w:eastAsia="Times New Roman" w:cs="Arial"/>
                <w:b/>
                <w:bCs/>
                <w:color w:val="000000"/>
                <w:szCs w:val="16"/>
                <w:lang w:eastAsia="en-GB"/>
              </w:rPr>
              <w:t> </w:t>
            </w:r>
          </w:p>
        </w:tc>
        <w:tc>
          <w:tcPr>
            <w:tcW w:w="1350" w:type="dxa"/>
            <w:tcBorders>
              <w:top w:val="nil"/>
              <w:left w:val="nil"/>
              <w:bottom w:val="single" w:sz="12" w:space="0" w:color="auto"/>
              <w:right w:val="nil"/>
            </w:tcBorders>
            <w:vAlign w:val="center"/>
            <w:hideMark/>
          </w:tcPr>
          <w:p w14:paraId="0468A539" w14:textId="77777777" w:rsidR="00271E37" w:rsidRPr="00A00F5B" w:rsidRDefault="00271E37">
            <w:pPr>
              <w:spacing w:line="240" w:lineRule="auto"/>
              <w:jc w:val="right"/>
              <w:rPr>
                <w:rFonts w:eastAsia="Times New Roman" w:cs="Arial"/>
                <w:b/>
                <w:bCs/>
                <w:color w:val="000000"/>
                <w:szCs w:val="16"/>
                <w:lang w:eastAsia="en-GB"/>
              </w:rPr>
            </w:pPr>
            <w:r w:rsidRPr="00252D35">
              <w:rPr>
                <w:rFonts w:eastAsia="Times New Roman" w:cs="Arial"/>
                <w:b/>
                <w:bCs/>
                <w:color w:val="000000"/>
                <w:szCs w:val="16"/>
                <w:lang w:eastAsia="en-GB"/>
              </w:rPr>
              <w:t>(1,097)</w:t>
            </w:r>
          </w:p>
        </w:tc>
        <w:tc>
          <w:tcPr>
            <w:tcW w:w="1162" w:type="dxa"/>
            <w:tcBorders>
              <w:top w:val="nil"/>
              <w:left w:val="nil"/>
              <w:bottom w:val="single" w:sz="12" w:space="0" w:color="auto"/>
              <w:right w:val="nil"/>
            </w:tcBorders>
            <w:vAlign w:val="center"/>
            <w:hideMark/>
          </w:tcPr>
          <w:p w14:paraId="3D974091"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 xml:space="preserve">2,965 </w:t>
            </w:r>
          </w:p>
        </w:tc>
        <w:tc>
          <w:tcPr>
            <w:tcW w:w="1257" w:type="dxa"/>
            <w:tcBorders>
              <w:top w:val="single" w:sz="8" w:space="0" w:color="auto"/>
              <w:left w:val="nil"/>
              <w:bottom w:val="single" w:sz="12" w:space="0" w:color="auto"/>
              <w:right w:val="nil"/>
            </w:tcBorders>
            <w:vAlign w:val="center"/>
          </w:tcPr>
          <w:p w14:paraId="6E94D1BD" w14:textId="77777777" w:rsidR="00271E37" w:rsidRPr="004B586E" w:rsidRDefault="00271E37">
            <w:pPr>
              <w:spacing w:line="240" w:lineRule="auto"/>
              <w:jc w:val="right"/>
              <w:rPr>
                <w:rFonts w:eastAsia="Times New Roman" w:cs="Arial"/>
                <w:b/>
                <w:color w:val="000000"/>
                <w:szCs w:val="16"/>
                <w:lang w:eastAsia="en-GB"/>
              </w:rPr>
            </w:pPr>
            <w:r w:rsidRPr="004B586E">
              <w:rPr>
                <w:rFonts w:eastAsia="Times New Roman" w:cs="Arial"/>
                <w:b/>
                <w:bCs/>
                <w:color w:val="000000"/>
                <w:szCs w:val="16"/>
                <w:lang w:eastAsia="en-GB"/>
              </w:rPr>
              <w:t>(3,832)</w:t>
            </w:r>
          </w:p>
        </w:tc>
        <w:tc>
          <w:tcPr>
            <w:tcW w:w="963" w:type="dxa"/>
            <w:tcBorders>
              <w:top w:val="single" w:sz="8" w:space="0" w:color="auto"/>
              <w:left w:val="nil"/>
              <w:bottom w:val="single" w:sz="12" w:space="0" w:color="auto"/>
              <w:right w:val="nil"/>
            </w:tcBorders>
            <w:vAlign w:val="center"/>
            <w:hideMark/>
          </w:tcPr>
          <w:p w14:paraId="5E3F4269" w14:textId="77777777" w:rsidR="00271E37" w:rsidRPr="008F58DF" w:rsidRDefault="00271E37">
            <w:pPr>
              <w:spacing w:line="240" w:lineRule="auto"/>
              <w:jc w:val="right"/>
              <w:rPr>
                <w:rFonts w:eastAsia="Times New Roman" w:cs="Arial"/>
                <w:b/>
                <w:bCs/>
                <w:color w:val="000000"/>
                <w:szCs w:val="16"/>
                <w:lang w:eastAsia="en-GB"/>
              </w:rPr>
            </w:pPr>
            <w:r>
              <w:rPr>
                <w:b/>
                <w:bCs/>
              </w:rPr>
              <w:t>(</w:t>
            </w:r>
            <w:r>
              <w:rPr>
                <w:b/>
              </w:rPr>
              <w:t>1,</w:t>
            </w:r>
            <w:r>
              <w:rPr>
                <w:b/>
                <w:bCs/>
              </w:rPr>
              <w:t>964)</w:t>
            </w:r>
            <w:r w:rsidRPr="004B586E">
              <w:rPr>
                <w:b/>
                <w:bCs/>
              </w:rPr>
              <w:t xml:space="preserve"> </w:t>
            </w:r>
          </w:p>
        </w:tc>
      </w:tr>
    </w:tbl>
    <w:p w14:paraId="23E3CA8C" w14:textId="77777777" w:rsidR="00271E37" w:rsidRDefault="00271E37"/>
    <w:tbl>
      <w:tblPr>
        <w:tblpPr w:leftFromText="180" w:rightFromText="180" w:vertAnchor="text" w:tblpY="1"/>
        <w:tblOverlap w:val="never"/>
        <w:tblW w:w="7944" w:type="dxa"/>
        <w:tblLook w:val="04A0" w:firstRow="1" w:lastRow="0" w:firstColumn="1" w:lastColumn="0" w:noHBand="0" w:noVBand="1"/>
      </w:tblPr>
      <w:tblGrid>
        <w:gridCol w:w="3977"/>
        <w:gridCol w:w="1571"/>
        <w:gridCol w:w="1391"/>
        <w:gridCol w:w="1005"/>
      </w:tblGrid>
      <w:tr w:rsidR="00271E37" w:rsidRPr="00A00F5B" w14:paraId="3D0C28DB" w14:textId="77777777">
        <w:trPr>
          <w:trHeight w:val="945"/>
        </w:trPr>
        <w:tc>
          <w:tcPr>
            <w:tcW w:w="3974" w:type="dxa"/>
            <w:tcBorders>
              <w:top w:val="nil"/>
              <w:left w:val="nil"/>
              <w:bottom w:val="nil"/>
              <w:right w:val="nil"/>
            </w:tcBorders>
            <w:vAlign w:val="center"/>
            <w:hideMark/>
          </w:tcPr>
          <w:p w14:paraId="74DE33B3" w14:textId="77777777" w:rsidR="00271E37" w:rsidRPr="00A00F5B" w:rsidRDefault="00271E37">
            <w:pPr>
              <w:spacing w:line="240" w:lineRule="auto"/>
              <w:rPr>
                <w:rFonts w:ascii="Times New Roman" w:eastAsia="Times New Roman" w:hAnsi="Times New Roman" w:cs="Times New Roman"/>
                <w:sz w:val="20"/>
                <w:szCs w:val="24"/>
                <w:lang w:eastAsia="en-GB"/>
              </w:rPr>
            </w:pPr>
          </w:p>
        </w:tc>
        <w:tc>
          <w:tcPr>
            <w:tcW w:w="1570" w:type="dxa"/>
            <w:tcBorders>
              <w:top w:val="nil"/>
              <w:left w:val="nil"/>
              <w:bottom w:val="nil"/>
              <w:right w:val="nil"/>
            </w:tcBorders>
            <w:vAlign w:val="bottom"/>
          </w:tcPr>
          <w:p w14:paraId="0B7247E0" w14:textId="77777777" w:rsidR="00271E37" w:rsidRPr="00A00F5B" w:rsidRDefault="00271E37">
            <w:pPr>
              <w:spacing w:line="240" w:lineRule="auto"/>
              <w:jc w:val="right"/>
              <w:rPr>
                <w:rFonts w:eastAsia="Times New Roman" w:cs="Arial"/>
                <w:b/>
                <w:bCs/>
                <w:color w:val="000000"/>
                <w:szCs w:val="16"/>
                <w:lang w:eastAsia="en-GB"/>
              </w:rPr>
            </w:pPr>
          </w:p>
        </w:tc>
        <w:tc>
          <w:tcPr>
            <w:tcW w:w="1390" w:type="dxa"/>
            <w:tcBorders>
              <w:top w:val="nil"/>
              <w:left w:val="nil"/>
              <w:bottom w:val="nil"/>
              <w:right w:val="nil"/>
            </w:tcBorders>
            <w:vAlign w:val="bottom"/>
          </w:tcPr>
          <w:p w14:paraId="3A3C1AF1" w14:textId="77777777" w:rsidR="00271E37" w:rsidRPr="00A00F5B" w:rsidRDefault="00271E37">
            <w:pPr>
              <w:spacing w:line="240" w:lineRule="auto"/>
              <w:jc w:val="right"/>
              <w:rPr>
                <w:rFonts w:eastAsia="Times New Roman" w:cs="Arial"/>
                <w:b/>
                <w:bCs/>
                <w:color w:val="000000"/>
                <w:szCs w:val="16"/>
                <w:lang w:eastAsia="en-GB"/>
              </w:rPr>
            </w:pPr>
          </w:p>
        </w:tc>
        <w:tc>
          <w:tcPr>
            <w:tcW w:w="1004" w:type="dxa"/>
            <w:tcBorders>
              <w:top w:val="nil"/>
              <w:left w:val="nil"/>
              <w:bottom w:val="nil"/>
              <w:right w:val="nil"/>
            </w:tcBorders>
            <w:vAlign w:val="bottom"/>
            <w:hideMark/>
          </w:tcPr>
          <w:p w14:paraId="2EE25CBA"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Adjusting items</w:t>
            </w:r>
          </w:p>
        </w:tc>
      </w:tr>
      <w:tr w:rsidR="00271E37" w:rsidRPr="00A00F5B" w14:paraId="65D1CFE9" w14:textId="77777777">
        <w:trPr>
          <w:trHeight w:val="308"/>
        </w:trPr>
        <w:tc>
          <w:tcPr>
            <w:tcW w:w="3974" w:type="dxa"/>
            <w:tcBorders>
              <w:top w:val="nil"/>
              <w:left w:val="nil"/>
              <w:bottom w:val="single" w:sz="8" w:space="0" w:color="auto"/>
              <w:right w:val="nil"/>
            </w:tcBorders>
            <w:vAlign w:val="center"/>
            <w:hideMark/>
          </w:tcPr>
          <w:p w14:paraId="168838DF" w14:textId="77777777"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Year ended 31 March 2025</w:t>
            </w:r>
          </w:p>
        </w:tc>
        <w:tc>
          <w:tcPr>
            <w:tcW w:w="1570" w:type="dxa"/>
            <w:tcBorders>
              <w:top w:val="nil"/>
              <w:left w:val="nil"/>
              <w:bottom w:val="single" w:sz="8" w:space="0" w:color="auto"/>
              <w:right w:val="nil"/>
            </w:tcBorders>
            <w:vAlign w:val="center"/>
          </w:tcPr>
          <w:p w14:paraId="02FA784A" w14:textId="77777777" w:rsidR="00271E37" w:rsidRPr="00A00F5B" w:rsidRDefault="00271E37">
            <w:pPr>
              <w:spacing w:line="240" w:lineRule="auto"/>
              <w:jc w:val="right"/>
              <w:rPr>
                <w:rFonts w:eastAsia="Times New Roman" w:cs="Arial"/>
                <w:b/>
                <w:bCs/>
                <w:color w:val="000000"/>
                <w:szCs w:val="16"/>
                <w:lang w:eastAsia="en-GB"/>
              </w:rPr>
            </w:pPr>
          </w:p>
        </w:tc>
        <w:tc>
          <w:tcPr>
            <w:tcW w:w="1390" w:type="dxa"/>
            <w:tcBorders>
              <w:top w:val="nil"/>
              <w:left w:val="nil"/>
              <w:bottom w:val="single" w:sz="8" w:space="0" w:color="auto"/>
              <w:right w:val="nil"/>
            </w:tcBorders>
            <w:vAlign w:val="center"/>
          </w:tcPr>
          <w:p w14:paraId="5DE567FA" w14:textId="77777777" w:rsidR="00271E37" w:rsidRPr="00A00F5B" w:rsidRDefault="00271E37">
            <w:pPr>
              <w:spacing w:line="240" w:lineRule="auto"/>
              <w:jc w:val="right"/>
              <w:rPr>
                <w:rFonts w:eastAsia="Times New Roman" w:cs="Arial"/>
                <w:b/>
                <w:bCs/>
                <w:color w:val="000000"/>
                <w:szCs w:val="16"/>
                <w:lang w:eastAsia="en-GB"/>
              </w:rPr>
            </w:pPr>
          </w:p>
        </w:tc>
        <w:tc>
          <w:tcPr>
            <w:tcW w:w="1004" w:type="dxa"/>
            <w:tcBorders>
              <w:top w:val="nil"/>
              <w:left w:val="nil"/>
              <w:bottom w:val="single" w:sz="8" w:space="0" w:color="auto"/>
              <w:right w:val="nil"/>
            </w:tcBorders>
            <w:vAlign w:val="center"/>
            <w:hideMark/>
          </w:tcPr>
          <w:p w14:paraId="44D2CB66" w14:textId="77777777" w:rsidR="00271E37" w:rsidRPr="00A00F5B" w:rsidRDefault="00271E37">
            <w:pPr>
              <w:spacing w:line="240" w:lineRule="auto"/>
              <w:jc w:val="right"/>
              <w:rPr>
                <w:rFonts w:eastAsia="Times New Roman" w:cs="Arial"/>
                <w:b/>
                <w:bCs/>
                <w:color w:val="000000"/>
                <w:szCs w:val="16"/>
                <w:lang w:eastAsia="en-GB"/>
              </w:rPr>
            </w:pPr>
            <w:r w:rsidRPr="00A00F5B">
              <w:rPr>
                <w:rFonts w:eastAsia="Times New Roman" w:cs="Arial"/>
                <w:b/>
                <w:bCs/>
                <w:color w:val="000000"/>
                <w:szCs w:val="16"/>
                <w:lang w:eastAsia="en-GB"/>
              </w:rPr>
              <w:t>£000</w:t>
            </w:r>
          </w:p>
        </w:tc>
      </w:tr>
      <w:tr w:rsidR="00271E37" w:rsidRPr="00A00F5B" w14:paraId="11558877" w14:textId="77777777">
        <w:trPr>
          <w:trHeight w:val="297"/>
        </w:trPr>
        <w:tc>
          <w:tcPr>
            <w:tcW w:w="3974" w:type="dxa"/>
            <w:tcBorders>
              <w:top w:val="nil"/>
              <w:left w:val="nil"/>
              <w:right w:val="nil"/>
            </w:tcBorders>
            <w:vAlign w:val="center"/>
            <w:hideMark/>
          </w:tcPr>
          <w:p w14:paraId="3D21FEE7" w14:textId="77777777"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Cost of sales</w:t>
            </w:r>
          </w:p>
        </w:tc>
        <w:tc>
          <w:tcPr>
            <w:tcW w:w="1570" w:type="dxa"/>
            <w:tcBorders>
              <w:top w:val="nil"/>
              <w:left w:val="nil"/>
              <w:right w:val="nil"/>
            </w:tcBorders>
            <w:vAlign w:val="center"/>
          </w:tcPr>
          <w:p w14:paraId="5C3CB4EA" w14:textId="77777777" w:rsidR="00271E37" w:rsidRPr="00A00F5B" w:rsidRDefault="00271E37">
            <w:pPr>
              <w:spacing w:line="240" w:lineRule="auto"/>
              <w:jc w:val="right"/>
              <w:rPr>
                <w:rFonts w:eastAsia="Times New Roman" w:cs="Arial"/>
                <w:color w:val="000000"/>
                <w:szCs w:val="16"/>
                <w:lang w:eastAsia="en-GB"/>
              </w:rPr>
            </w:pPr>
          </w:p>
        </w:tc>
        <w:tc>
          <w:tcPr>
            <w:tcW w:w="1390" w:type="dxa"/>
            <w:tcBorders>
              <w:top w:val="nil"/>
              <w:left w:val="nil"/>
              <w:right w:val="nil"/>
            </w:tcBorders>
            <w:vAlign w:val="center"/>
          </w:tcPr>
          <w:p w14:paraId="1FF55C69" w14:textId="77777777" w:rsidR="00271E37" w:rsidRPr="00A00F5B" w:rsidRDefault="00271E37">
            <w:pPr>
              <w:spacing w:line="240" w:lineRule="auto"/>
              <w:jc w:val="right"/>
              <w:rPr>
                <w:rFonts w:eastAsia="Times New Roman" w:cs="Arial"/>
                <w:color w:val="000000"/>
                <w:szCs w:val="16"/>
                <w:lang w:eastAsia="en-GB"/>
              </w:rPr>
            </w:pPr>
          </w:p>
        </w:tc>
        <w:tc>
          <w:tcPr>
            <w:tcW w:w="1004" w:type="dxa"/>
            <w:tcBorders>
              <w:top w:val="nil"/>
              <w:left w:val="nil"/>
              <w:right w:val="nil"/>
            </w:tcBorders>
            <w:vAlign w:val="center"/>
            <w:hideMark/>
          </w:tcPr>
          <w:p w14:paraId="22E6F519" w14:textId="77777777" w:rsidR="00271E37" w:rsidRPr="006808F6" w:rsidRDefault="00271E37">
            <w:pPr>
              <w:spacing w:line="240" w:lineRule="auto"/>
              <w:jc w:val="right"/>
              <w:rPr>
                <w:rFonts w:eastAsia="Times New Roman" w:cs="Arial"/>
                <w:b/>
                <w:bCs/>
                <w:color w:val="000000"/>
                <w:szCs w:val="16"/>
                <w:lang w:eastAsia="en-GB"/>
              </w:rPr>
            </w:pPr>
            <w:r w:rsidRPr="006808F6">
              <w:rPr>
                <w:rFonts w:cs="Arial"/>
                <w:b/>
                <w:bCs/>
                <w:color w:val="000000"/>
                <w:szCs w:val="16"/>
              </w:rPr>
              <w:t>(1,115)</w:t>
            </w:r>
          </w:p>
        </w:tc>
      </w:tr>
      <w:tr w:rsidR="00271E37" w:rsidRPr="008D382E" w14:paraId="6BF9DF70" w14:textId="77777777">
        <w:trPr>
          <w:trHeight w:val="297"/>
        </w:trPr>
        <w:tc>
          <w:tcPr>
            <w:tcW w:w="3974" w:type="dxa"/>
            <w:tcBorders>
              <w:top w:val="nil"/>
              <w:left w:val="nil"/>
              <w:bottom w:val="single" w:sz="4" w:space="0" w:color="auto"/>
              <w:right w:val="nil"/>
            </w:tcBorders>
            <w:vAlign w:val="center"/>
            <w:hideMark/>
          </w:tcPr>
          <w:p w14:paraId="1961028B" w14:textId="77777777" w:rsidR="00271E37" w:rsidRPr="008D382E" w:rsidRDefault="00271E37">
            <w:pPr>
              <w:spacing w:line="240" w:lineRule="auto"/>
              <w:rPr>
                <w:rFonts w:eastAsia="Times New Roman" w:cs="Arial"/>
                <w:color w:val="000000"/>
                <w:szCs w:val="16"/>
                <w:lang w:eastAsia="en-GB"/>
              </w:rPr>
            </w:pPr>
            <w:r w:rsidRPr="008D382E">
              <w:rPr>
                <w:rFonts w:eastAsia="Times New Roman" w:cs="Arial"/>
                <w:color w:val="000000"/>
                <w:szCs w:val="16"/>
                <w:lang w:eastAsia="en-GB"/>
              </w:rPr>
              <w:t>Administration expenses</w:t>
            </w:r>
          </w:p>
        </w:tc>
        <w:tc>
          <w:tcPr>
            <w:tcW w:w="1570" w:type="dxa"/>
            <w:tcBorders>
              <w:top w:val="nil"/>
              <w:left w:val="nil"/>
              <w:bottom w:val="single" w:sz="4" w:space="0" w:color="auto"/>
              <w:right w:val="nil"/>
            </w:tcBorders>
            <w:vAlign w:val="center"/>
          </w:tcPr>
          <w:p w14:paraId="39AB42A6" w14:textId="77777777" w:rsidR="00271E37" w:rsidRPr="008D382E" w:rsidRDefault="00271E37">
            <w:pPr>
              <w:spacing w:line="240" w:lineRule="auto"/>
              <w:jc w:val="right"/>
              <w:rPr>
                <w:rFonts w:eastAsia="Times New Roman" w:cs="Arial"/>
                <w:color w:val="000000"/>
                <w:szCs w:val="16"/>
                <w:lang w:eastAsia="en-GB"/>
              </w:rPr>
            </w:pPr>
          </w:p>
        </w:tc>
        <w:tc>
          <w:tcPr>
            <w:tcW w:w="1390" w:type="dxa"/>
            <w:tcBorders>
              <w:top w:val="nil"/>
              <w:left w:val="nil"/>
              <w:bottom w:val="single" w:sz="4" w:space="0" w:color="auto"/>
              <w:right w:val="nil"/>
            </w:tcBorders>
            <w:vAlign w:val="center"/>
          </w:tcPr>
          <w:p w14:paraId="7A289DF6" w14:textId="77777777" w:rsidR="00271E37" w:rsidRPr="008D382E" w:rsidRDefault="00271E37">
            <w:pPr>
              <w:spacing w:line="240" w:lineRule="auto"/>
              <w:jc w:val="right"/>
              <w:rPr>
                <w:rFonts w:eastAsia="Times New Roman" w:cs="Arial"/>
                <w:color w:val="000000"/>
                <w:szCs w:val="16"/>
                <w:lang w:eastAsia="en-GB"/>
              </w:rPr>
            </w:pPr>
          </w:p>
        </w:tc>
        <w:tc>
          <w:tcPr>
            <w:tcW w:w="1004" w:type="dxa"/>
            <w:tcBorders>
              <w:top w:val="nil"/>
              <w:left w:val="nil"/>
              <w:bottom w:val="single" w:sz="4" w:space="0" w:color="auto"/>
              <w:right w:val="nil"/>
            </w:tcBorders>
            <w:vAlign w:val="center"/>
            <w:hideMark/>
          </w:tcPr>
          <w:p w14:paraId="0340E766" w14:textId="6E97AFF7" w:rsidR="00271E37" w:rsidRPr="006808F6" w:rsidRDefault="00271E37">
            <w:pPr>
              <w:spacing w:line="240" w:lineRule="auto"/>
              <w:jc w:val="right"/>
              <w:rPr>
                <w:rFonts w:eastAsia="Times New Roman" w:cs="Arial"/>
                <w:b/>
                <w:bCs/>
                <w:color w:val="000000"/>
                <w:szCs w:val="16"/>
                <w:lang w:eastAsia="en-GB"/>
              </w:rPr>
            </w:pPr>
            <w:r w:rsidRPr="006808F6">
              <w:rPr>
                <w:rFonts w:eastAsia="Times New Roman" w:cs="Arial"/>
                <w:b/>
                <w:bCs/>
                <w:color w:val="000000"/>
                <w:szCs w:val="16"/>
                <w:lang w:eastAsia="en-GB"/>
              </w:rPr>
              <w:t>(4,60</w:t>
            </w:r>
            <w:r w:rsidR="00605749">
              <w:rPr>
                <w:rFonts w:eastAsia="Times New Roman" w:cs="Arial"/>
                <w:b/>
                <w:bCs/>
                <w:color w:val="000000"/>
                <w:szCs w:val="16"/>
                <w:lang w:eastAsia="en-GB"/>
              </w:rPr>
              <w:t>4</w:t>
            </w:r>
            <w:r w:rsidRPr="006808F6">
              <w:rPr>
                <w:rFonts w:eastAsia="Times New Roman" w:cs="Arial"/>
                <w:b/>
                <w:bCs/>
                <w:color w:val="000000"/>
                <w:szCs w:val="16"/>
                <w:lang w:eastAsia="en-GB"/>
              </w:rPr>
              <w:t>)</w:t>
            </w:r>
          </w:p>
        </w:tc>
      </w:tr>
      <w:tr w:rsidR="00271E37" w:rsidRPr="00A00F5B" w14:paraId="1B24BC3C" w14:textId="77777777">
        <w:trPr>
          <w:trHeight w:val="297"/>
        </w:trPr>
        <w:tc>
          <w:tcPr>
            <w:tcW w:w="3974" w:type="dxa"/>
            <w:tcBorders>
              <w:top w:val="single" w:sz="4" w:space="0" w:color="auto"/>
              <w:left w:val="nil"/>
              <w:bottom w:val="nil"/>
              <w:right w:val="nil"/>
            </w:tcBorders>
            <w:vAlign w:val="center"/>
            <w:hideMark/>
          </w:tcPr>
          <w:p w14:paraId="6BFDAC0C" w14:textId="05F4BA94" w:rsidR="00271E37" w:rsidRPr="00A00F5B" w:rsidRDefault="00271E37">
            <w:pPr>
              <w:spacing w:line="240" w:lineRule="auto"/>
              <w:rPr>
                <w:rFonts w:eastAsia="Times New Roman" w:cs="Arial"/>
                <w:b/>
                <w:bCs/>
                <w:color w:val="000000"/>
                <w:szCs w:val="16"/>
                <w:lang w:eastAsia="en-GB"/>
              </w:rPr>
            </w:pPr>
            <w:r w:rsidRPr="00A00F5B">
              <w:rPr>
                <w:rFonts w:eastAsia="Times New Roman" w:cs="Arial"/>
                <w:b/>
                <w:bCs/>
                <w:color w:val="000000"/>
                <w:szCs w:val="16"/>
                <w:lang w:eastAsia="en-GB"/>
              </w:rPr>
              <w:t>Adjustments to operating profit/</w:t>
            </w:r>
            <w:r w:rsidR="001656CC">
              <w:rPr>
                <w:rFonts w:eastAsia="Times New Roman" w:cs="Arial"/>
                <w:b/>
                <w:bCs/>
                <w:color w:val="000000"/>
                <w:szCs w:val="16"/>
                <w:lang w:eastAsia="en-GB"/>
              </w:rPr>
              <w:t>(</w:t>
            </w:r>
            <w:r w:rsidRPr="00A00F5B">
              <w:rPr>
                <w:rFonts w:eastAsia="Times New Roman" w:cs="Arial"/>
                <w:b/>
                <w:bCs/>
                <w:color w:val="000000"/>
                <w:szCs w:val="16"/>
                <w:lang w:eastAsia="en-GB"/>
              </w:rPr>
              <w:t>loss</w:t>
            </w:r>
            <w:r w:rsidR="001656CC">
              <w:rPr>
                <w:rFonts w:eastAsia="Times New Roman" w:cs="Arial"/>
                <w:b/>
                <w:bCs/>
                <w:color w:val="000000"/>
                <w:szCs w:val="16"/>
                <w:lang w:eastAsia="en-GB"/>
              </w:rPr>
              <w:t>)</w:t>
            </w:r>
          </w:p>
        </w:tc>
        <w:tc>
          <w:tcPr>
            <w:tcW w:w="1570" w:type="dxa"/>
            <w:tcBorders>
              <w:top w:val="single" w:sz="4" w:space="0" w:color="auto"/>
              <w:left w:val="nil"/>
              <w:bottom w:val="nil"/>
              <w:right w:val="nil"/>
            </w:tcBorders>
            <w:vAlign w:val="center"/>
          </w:tcPr>
          <w:p w14:paraId="7DBE298A" w14:textId="77777777" w:rsidR="00271E37" w:rsidRPr="00A00F5B" w:rsidRDefault="00271E37">
            <w:pPr>
              <w:spacing w:line="240" w:lineRule="auto"/>
              <w:jc w:val="right"/>
              <w:rPr>
                <w:rFonts w:eastAsia="Times New Roman" w:cs="Arial"/>
                <w:b/>
                <w:bCs/>
                <w:color w:val="000000"/>
                <w:szCs w:val="16"/>
                <w:lang w:eastAsia="en-GB"/>
              </w:rPr>
            </w:pPr>
          </w:p>
        </w:tc>
        <w:tc>
          <w:tcPr>
            <w:tcW w:w="1390" w:type="dxa"/>
            <w:tcBorders>
              <w:top w:val="single" w:sz="4" w:space="0" w:color="auto"/>
              <w:left w:val="nil"/>
              <w:bottom w:val="nil"/>
              <w:right w:val="nil"/>
            </w:tcBorders>
            <w:vAlign w:val="center"/>
          </w:tcPr>
          <w:p w14:paraId="034C839B" w14:textId="77777777" w:rsidR="00271E37" w:rsidRPr="00A00F5B" w:rsidRDefault="00271E37">
            <w:pPr>
              <w:spacing w:line="240" w:lineRule="auto"/>
              <w:jc w:val="right"/>
              <w:rPr>
                <w:rFonts w:eastAsia="Times New Roman" w:cs="Arial"/>
                <w:b/>
                <w:bCs/>
                <w:color w:val="000000"/>
                <w:szCs w:val="16"/>
                <w:lang w:eastAsia="en-GB"/>
              </w:rPr>
            </w:pPr>
          </w:p>
        </w:tc>
        <w:tc>
          <w:tcPr>
            <w:tcW w:w="1004" w:type="dxa"/>
            <w:tcBorders>
              <w:top w:val="single" w:sz="4" w:space="0" w:color="auto"/>
              <w:left w:val="nil"/>
              <w:bottom w:val="nil"/>
              <w:right w:val="nil"/>
            </w:tcBorders>
            <w:vAlign w:val="center"/>
            <w:hideMark/>
          </w:tcPr>
          <w:p w14:paraId="29617726" w14:textId="4C4681A7" w:rsidR="00271E37" w:rsidRPr="00A00F5B" w:rsidRDefault="00271E37">
            <w:pPr>
              <w:spacing w:line="240" w:lineRule="auto"/>
              <w:jc w:val="right"/>
              <w:rPr>
                <w:rFonts w:eastAsia="Times New Roman" w:cs="Arial"/>
                <w:b/>
                <w:bCs/>
                <w:color w:val="000000"/>
                <w:szCs w:val="16"/>
                <w:lang w:eastAsia="en-GB"/>
              </w:rPr>
            </w:pPr>
            <w:r>
              <w:rPr>
                <w:rFonts w:cs="Arial"/>
                <w:b/>
                <w:bCs/>
                <w:color w:val="000000"/>
                <w:szCs w:val="16"/>
              </w:rPr>
              <w:t>(5,71</w:t>
            </w:r>
            <w:r w:rsidR="00EB52EA">
              <w:rPr>
                <w:rFonts w:cs="Arial"/>
                <w:b/>
                <w:bCs/>
                <w:color w:val="000000"/>
                <w:szCs w:val="16"/>
              </w:rPr>
              <w:t>9</w:t>
            </w:r>
            <w:r>
              <w:rPr>
                <w:rFonts w:cs="Arial"/>
                <w:b/>
                <w:bCs/>
                <w:color w:val="000000"/>
                <w:szCs w:val="16"/>
              </w:rPr>
              <w:t>)</w:t>
            </w:r>
          </w:p>
        </w:tc>
      </w:tr>
      <w:tr w:rsidR="00271E37" w:rsidRPr="00A00F5B" w14:paraId="7B1163EF" w14:textId="77777777">
        <w:trPr>
          <w:trHeight w:val="308"/>
        </w:trPr>
        <w:tc>
          <w:tcPr>
            <w:tcW w:w="3974" w:type="dxa"/>
            <w:tcBorders>
              <w:top w:val="nil"/>
              <w:left w:val="nil"/>
              <w:bottom w:val="single" w:sz="8" w:space="0" w:color="auto"/>
              <w:right w:val="nil"/>
            </w:tcBorders>
            <w:vAlign w:val="center"/>
            <w:hideMark/>
          </w:tcPr>
          <w:p w14:paraId="6B560297" w14:textId="5C008F94"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 xml:space="preserve">Other finance </w:t>
            </w:r>
            <w:r>
              <w:rPr>
                <w:rFonts w:eastAsia="Times New Roman" w:cs="Arial"/>
                <w:color w:val="000000"/>
                <w:szCs w:val="16"/>
                <w:lang w:eastAsia="en-GB"/>
              </w:rPr>
              <w:t>(</w:t>
            </w:r>
            <w:r w:rsidRPr="00A00F5B">
              <w:rPr>
                <w:rFonts w:eastAsia="Times New Roman" w:cs="Arial"/>
                <w:color w:val="000000"/>
                <w:szCs w:val="16"/>
                <w:lang w:eastAsia="en-GB"/>
              </w:rPr>
              <w:t>expenses</w:t>
            </w:r>
            <w:r>
              <w:rPr>
                <w:rFonts w:eastAsia="Times New Roman" w:cs="Arial"/>
                <w:color w:val="000000"/>
                <w:szCs w:val="16"/>
                <w:lang w:eastAsia="en-GB"/>
              </w:rPr>
              <w:t>)</w:t>
            </w:r>
            <w:r w:rsidRPr="00A00F5B">
              <w:rPr>
                <w:rFonts w:eastAsia="Times New Roman" w:cs="Arial"/>
                <w:color w:val="000000"/>
                <w:szCs w:val="16"/>
                <w:lang w:eastAsia="en-GB"/>
              </w:rPr>
              <w:t>/income</w:t>
            </w:r>
          </w:p>
        </w:tc>
        <w:tc>
          <w:tcPr>
            <w:tcW w:w="1570" w:type="dxa"/>
            <w:tcBorders>
              <w:top w:val="nil"/>
              <w:left w:val="nil"/>
              <w:bottom w:val="nil"/>
              <w:right w:val="nil"/>
            </w:tcBorders>
            <w:vAlign w:val="center"/>
          </w:tcPr>
          <w:p w14:paraId="5DAE4EEB" w14:textId="77777777" w:rsidR="00271E37" w:rsidRPr="00A00F5B" w:rsidRDefault="00271E37">
            <w:pPr>
              <w:spacing w:line="240" w:lineRule="auto"/>
              <w:jc w:val="right"/>
              <w:rPr>
                <w:rFonts w:eastAsia="Times New Roman" w:cs="Arial"/>
                <w:color w:val="000000"/>
                <w:szCs w:val="16"/>
                <w:lang w:eastAsia="en-GB"/>
              </w:rPr>
            </w:pPr>
          </w:p>
        </w:tc>
        <w:tc>
          <w:tcPr>
            <w:tcW w:w="1390" w:type="dxa"/>
            <w:tcBorders>
              <w:top w:val="nil"/>
              <w:left w:val="nil"/>
              <w:bottom w:val="single" w:sz="8" w:space="0" w:color="auto"/>
              <w:right w:val="nil"/>
            </w:tcBorders>
            <w:vAlign w:val="center"/>
          </w:tcPr>
          <w:p w14:paraId="03167527" w14:textId="77777777" w:rsidR="00271E37" w:rsidRPr="00A00F5B" w:rsidRDefault="00271E37">
            <w:pPr>
              <w:spacing w:line="240" w:lineRule="auto"/>
              <w:jc w:val="right"/>
              <w:rPr>
                <w:rFonts w:eastAsia="Times New Roman" w:cs="Arial"/>
                <w:color w:val="000000"/>
                <w:szCs w:val="16"/>
                <w:lang w:eastAsia="en-GB"/>
              </w:rPr>
            </w:pPr>
          </w:p>
        </w:tc>
        <w:tc>
          <w:tcPr>
            <w:tcW w:w="1004" w:type="dxa"/>
            <w:tcBorders>
              <w:top w:val="nil"/>
              <w:left w:val="nil"/>
              <w:bottom w:val="nil"/>
              <w:right w:val="nil"/>
            </w:tcBorders>
            <w:vAlign w:val="center"/>
            <w:hideMark/>
          </w:tcPr>
          <w:p w14:paraId="0F98FC3D" w14:textId="77777777" w:rsidR="00271E37" w:rsidRPr="00A00F5B" w:rsidRDefault="00271E37">
            <w:pPr>
              <w:spacing w:line="240" w:lineRule="auto"/>
              <w:jc w:val="right"/>
              <w:rPr>
                <w:rFonts w:eastAsia="Times New Roman" w:cs="Arial"/>
                <w:b/>
                <w:bCs/>
                <w:color w:val="000000"/>
                <w:szCs w:val="16"/>
                <w:lang w:eastAsia="en-GB"/>
              </w:rPr>
            </w:pPr>
            <w:r>
              <w:rPr>
                <w:rFonts w:cs="Arial"/>
                <w:b/>
                <w:bCs/>
                <w:color w:val="000000"/>
                <w:szCs w:val="16"/>
              </w:rPr>
              <w:t>(191)</w:t>
            </w:r>
          </w:p>
        </w:tc>
      </w:tr>
      <w:tr w:rsidR="00271E37" w:rsidRPr="00A00F5B" w14:paraId="45328904" w14:textId="77777777">
        <w:trPr>
          <w:trHeight w:val="297"/>
        </w:trPr>
        <w:tc>
          <w:tcPr>
            <w:tcW w:w="3974" w:type="dxa"/>
            <w:tcBorders>
              <w:top w:val="nil"/>
              <w:left w:val="nil"/>
              <w:bottom w:val="nil"/>
              <w:right w:val="nil"/>
            </w:tcBorders>
            <w:vAlign w:val="center"/>
            <w:hideMark/>
          </w:tcPr>
          <w:p w14:paraId="6533CC5F" w14:textId="77777777" w:rsidR="00271E37" w:rsidRPr="00A00F5B" w:rsidRDefault="00271E37">
            <w:pPr>
              <w:spacing w:line="240" w:lineRule="auto"/>
              <w:rPr>
                <w:rFonts w:eastAsia="Times New Roman" w:cs="Arial"/>
                <w:b/>
                <w:bCs/>
                <w:color w:val="000000"/>
                <w:szCs w:val="16"/>
                <w:lang w:eastAsia="en-GB"/>
              </w:rPr>
            </w:pPr>
            <w:r w:rsidRPr="00A00F5B">
              <w:rPr>
                <w:rFonts w:eastAsia="Times New Roman" w:cs="Arial"/>
                <w:b/>
                <w:bCs/>
                <w:color w:val="000000"/>
                <w:szCs w:val="16"/>
                <w:lang w:eastAsia="en-GB"/>
              </w:rPr>
              <w:t>Adjustments to profit/</w:t>
            </w:r>
            <w:r>
              <w:rPr>
                <w:rFonts w:eastAsia="Times New Roman" w:cs="Arial"/>
                <w:b/>
                <w:bCs/>
                <w:color w:val="000000"/>
                <w:szCs w:val="16"/>
                <w:lang w:eastAsia="en-GB"/>
              </w:rPr>
              <w:t>(</w:t>
            </w:r>
            <w:r w:rsidRPr="00A00F5B">
              <w:rPr>
                <w:rFonts w:eastAsia="Times New Roman" w:cs="Arial"/>
                <w:b/>
                <w:bCs/>
                <w:color w:val="000000"/>
                <w:szCs w:val="16"/>
                <w:lang w:eastAsia="en-GB"/>
              </w:rPr>
              <w:t>loss</w:t>
            </w:r>
            <w:r>
              <w:rPr>
                <w:rFonts w:eastAsia="Times New Roman" w:cs="Arial"/>
                <w:b/>
                <w:bCs/>
                <w:color w:val="000000"/>
                <w:szCs w:val="16"/>
                <w:lang w:eastAsia="en-GB"/>
              </w:rPr>
              <w:t>)</w:t>
            </w:r>
            <w:r w:rsidRPr="00A00F5B">
              <w:rPr>
                <w:rFonts w:eastAsia="Times New Roman" w:cs="Arial"/>
                <w:b/>
                <w:bCs/>
                <w:color w:val="000000"/>
                <w:szCs w:val="16"/>
                <w:lang w:eastAsia="en-GB"/>
              </w:rPr>
              <w:t xml:space="preserve"> before tax</w:t>
            </w:r>
          </w:p>
        </w:tc>
        <w:tc>
          <w:tcPr>
            <w:tcW w:w="1570" w:type="dxa"/>
            <w:tcBorders>
              <w:top w:val="single" w:sz="8" w:space="0" w:color="auto"/>
              <w:left w:val="nil"/>
              <w:bottom w:val="nil"/>
              <w:right w:val="nil"/>
            </w:tcBorders>
            <w:vAlign w:val="center"/>
          </w:tcPr>
          <w:p w14:paraId="0F343ECB" w14:textId="77777777" w:rsidR="00271E37" w:rsidRPr="00A00F5B" w:rsidRDefault="00271E37">
            <w:pPr>
              <w:spacing w:line="240" w:lineRule="auto"/>
              <w:jc w:val="right"/>
              <w:rPr>
                <w:rFonts w:eastAsia="Times New Roman" w:cs="Arial"/>
                <w:b/>
                <w:bCs/>
                <w:color w:val="000000"/>
                <w:szCs w:val="16"/>
                <w:lang w:eastAsia="en-GB"/>
              </w:rPr>
            </w:pPr>
          </w:p>
        </w:tc>
        <w:tc>
          <w:tcPr>
            <w:tcW w:w="1390" w:type="dxa"/>
            <w:tcBorders>
              <w:top w:val="nil"/>
              <w:left w:val="nil"/>
              <w:bottom w:val="nil"/>
              <w:right w:val="nil"/>
            </w:tcBorders>
            <w:vAlign w:val="center"/>
          </w:tcPr>
          <w:p w14:paraId="6259A2E6" w14:textId="77777777" w:rsidR="00271E37" w:rsidRPr="00A00F5B" w:rsidRDefault="00271E37">
            <w:pPr>
              <w:spacing w:line="240" w:lineRule="auto"/>
              <w:jc w:val="right"/>
              <w:rPr>
                <w:rFonts w:eastAsia="Times New Roman" w:cs="Arial"/>
                <w:b/>
                <w:bCs/>
                <w:color w:val="000000"/>
                <w:szCs w:val="16"/>
                <w:lang w:eastAsia="en-GB"/>
              </w:rPr>
            </w:pPr>
          </w:p>
        </w:tc>
        <w:tc>
          <w:tcPr>
            <w:tcW w:w="1004" w:type="dxa"/>
            <w:tcBorders>
              <w:top w:val="single" w:sz="8" w:space="0" w:color="auto"/>
              <w:left w:val="nil"/>
              <w:bottom w:val="nil"/>
              <w:right w:val="nil"/>
            </w:tcBorders>
            <w:vAlign w:val="center"/>
            <w:hideMark/>
          </w:tcPr>
          <w:p w14:paraId="23CB3164" w14:textId="47E8C54D" w:rsidR="00271E37" w:rsidRPr="00A00F5B" w:rsidRDefault="00271E37">
            <w:pPr>
              <w:spacing w:line="240" w:lineRule="auto"/>
              <w:jc w:val="right"/>
              <w:rPr>
                <w:rFonts w:eastAsia="Times New Roman" w:cs="Arial"/>
                <w:b/>
                <w:bCs/>
                <w:color w:val="000000"/>
                <w:szCs w:val="16"/>
                <w:lang w:eastAsia="en-GB"/>
              </w:rPr>
            </w:pPr>
            <w:r>
              <w:rPr>
                <w:rFonts w:cs="Arial"/>
                <w:b/>
                <w:bCs/>
                <w:color w:val="000000"/>
                <w:szCs w:val="16"/>
              </w:rPr>
              <w:t>(5,9</w:t>
            </w:r>
            <w:r w:rsidR="00EB52EA">
              <w:rPr>
                <w:rFonts w:cs="Arial"/>
                <w:b/>
                <w:bCs/>
                <w:color w:val="000000"/>
                <w:szCs w:val="16"/>
              </w:rPr>
              <w:t>10</w:t>
            </w:r>
            <w:r>
              <w:rPr>
                <w:rFonts w:cs="Arial"/>
                <w:b/>
                <w:bCs/>
                <w:color w:val="000000"/>
                <w:szCs w:val="16"/>
              </w:rPr>
              <w:t>)</w:t>
            </w:r>
          </w:p>
        </w:tc>
      </w:tr>
      <w:tr w:rsidR="00271E37" w:rsidRPr="00A00F5B" w14:paraId="3BE16177" w14:textId="77777777">
        <w:trPr>
          <w:trHeight w:val="308"/>
        </w:trPr>
        <w:tc>
          <w:tcPr>
            <w:tcW w:w="3974" w:type="dxa"/>
            <w:tcBorders>
              <w:top w:val="nil"/>
              <w:left w:val="nil"/>
              <w:bottom w:val="single" w:sz="8" w:space="0" w:color="auto"/>
              <w:right w:val="nil"/>
            </w:tcBorders>
            <w:vAlign w:val="center"/>
            <w:hideMark/>
          </w:tcPr>
          <w:p w14:paraId="3EBF476E" w14:textId="57592CFA" w:rsidR="00271E37" w:rsidRPr="00A00F5B" w:rsidRDefault="00271E37">
            <w:pPr>
              <w:spacing w:line="240" w:lineRule="auto"/>
              <w:rPr>
                <w:rFonts w:eastAsia="Times New Roman" w:cs="Arial"/>
                <w:color w:val="000000"/>
                <w:szCs w:val="16"/>
                <w:lang w:eastAsia="en-GB"/>
              </w:rPr>
            </w:pPr>
            <w:r w:rsidRPr="00A00F5B">
              <w:rPr>
                <w:rFonts w:eastAsia="Times New Roman" w:cs="Arial"/>
                <w:color w:val="000000"/>
                <w:szCs w:val="16"/>
                <w:lang w:eastAsia="en-GB"/>
              </w:rPr>
              <w:t>Adjusting tax credit</w:t>
            </w:r>
          </w:p>
        </w:tc>
        <w:tc>
          <w:tcPr>
            <w:tcW w:w="1570" w:type="dxa"/>
            <w:tcBorders>
              <w:top w:val="nil"/>
              <w:left w:val="nil"/>
              <w:bottom w:val="single" w:sz="8" w:space="0" w:color="auto"/>
              <w:right w:val="nil"/>
            </w:tcBorders>
            <w:vAlign w:val="center"/>
          </w:tcPr>
          <w:p w14:paraId="4B240CCB" w14:textId="77777777" w:rsidR="00271E37" w:rsidRPr="00A00F5B" w:rsidRDefault="00271E37">
            <w:pPr>
              <w:spacing w:line="240" w:lineRule="auto"/>
              <w:jc w:val="right"/>
              <w:rPr>
                <w:rFonts w:eastAsia="Times New Roman" w:cs="Arial"/>
                <w:color w:val="000000"/>
                <w:szCs w:val="16"/>
                <w:lang w:eastAsia="en-GB"/>
              </w:rPr>
            </w:pPr>
          </w:p>
        </w:tc>
        <w:tc>
          <w:tcPr>
            <w:tcW w:w="1390" w:type="dxa"/>
            <w:tcBorders>
              <w:top w:val="nil"/>
              <w:left w:val="nil"/>
              <w:bottom w:val="single" w:sz="8" w:space="0" w:color="auto"/>
              <w:right w:val="nil"/>
            </w:tcBorders>
            <w:vAlign w:val="center"/>
          </w:tcPr>
          <w:p w14:paraId="410BACAD" w14:textId="77777777" w:rsidR="00271E37" w:rsidRPr="00A00F5B" w:rsidRDefault="00271E37">
            <w:pPr>
              <w:spacing w:line="240" w:lineRule="auto"/>
              <w:jc w:val="right"/>
              <w:rPr>
                <w:rFonts w:eastAsia="Times New Roman" w:cs="Arial"/>
                <w:color w:val="000000"/>
                <w:szCs w:val="16"/>
                <w:lang w:eastAsia="en-GB"/>
              </w:rPr>
            </w:pPr>
          </w:p>
        </w:tc>
        <w:tc>
          <w:tcPr>
            <w:tcW w:w="1004" w:type="dxa"/>
            <w:tcBorders>
              <w:top w:val="nil"/>
              <w:left w:val="nil"/>
              <w:bottom w:val="nil"/>
              <w:right w:val="nil"/>
            </w:tcBorders>
            <w:vAlign w:val="center"/>
            <w:hideMark/>
          </w:tcPr>
          <w:p w14:paraId="77EC3605" w14:textId="77777777" w:rsidR="00271E37" w:rsidRPr="00A00F5B" w:rsidRDefault="00271E37">
            <w:pPr>
              <w:spacing w:line="240" w:lineRule="auto"/>
              <w:jc w:val="right"/>
              <w:rPr>
                <w:rFonts w:eastAsia="Times New Roman" w:cs="Arial"/>
                <w:b/>
                <w:bCs/>
                <w:color w:val="000000"/>
                <w:szCs w:val="16"/>
                <w:lang w:eastAsia="en-GB"/>
              </w:rPr>
            </w:pPr>
            <w:r>
              <w:rPr>
                <w:rFonts w:cs="Arial"/>
                <w:b/>
                <w:bCs/>
                <w:color w:val="000000"/>
                <w:szCs w:val="16"/>
              </w:rPr>
              <w:t xml:space="preserve">137 </w:t>
            </w:r>
          </w:p>
        </w:tc>
      </w:tr>
      <w:tr w:rsidR="00271E37" w:rsidRPr="00A00F5B" w14:paraId="037288B4" w14:textId="77777777">
        <w:trPr>
          <w:trHeight w:val="308"/>
        </w:trPr>
        <w:tc>
          <w:tcPr>
            <w:tcW w:w="3974" w:type="dxa"/>
            <w:tcBorders>
              <w:top w:val="nil"/>
              <w:left w:val="nil"/>
              <w:bottom w:val="single" w:sz="12" w:space="0" w:color="auto"/>
              <w:right w:val="nil"/>
            </w:tcBorders>
            <w:vAlign w:val="center"/>
            <w:hideMark/>
          </w:tcPr>
          <w:p w14:paraId="5064F19D" w14:textId="77777777" w:rsidR="00271E37" w:rsidRPr="00A00F5B" w:rsidRDefault="00271E37">
            <w:pPr>
              <w:spacing w:line="240" w:lineRule="auto"/>
              <w:rPr>
                <w:rFonts w:eastAsia="Times New Roman" w:cs="Arial"/>
                <w:b/>
                <w:bCs/>
                <w:color w:val="000000"/>
                <w:szCs w:val="16"/>
                <w:lang w:eastAsia="en-GB"/>
              </w:rPr>
            </w:pPr>
            <w:r w:rsidRPr="00A00F5B">
              <w:rPr>
                <w:rFonts w:eastAsia="Times New Roman" w:cs="Arial"/>
                <w:b/>
                <w:bCs/>
                <w:color w:val="000000"/>
                <w:szCs w:val="16"/>
                <w:lang w:eastAsia="en-GB"/>
              </w:rPr>
              <w:t> </w:t>
            </w:r>
          </w:p>
        </w:tc>
        <w:tc>
          <w:tcPr>
            <w:tcW w:w="1570" w:type="dxa"/>
            <w:tcBorders>
              <w:top w:val="nil"/>
              <w:left w:val="nil"/>
              <w:bottom w:val="single" w:sz="12" w:space="0" w:color="auto"/>
              <w:right w:val="nil"/>
            </w:tcBorders>
            <w:vAlign w:val="center"/>
          </w:tcPr>
          <w:p w14:paraId="4B95F6A4" w14:textId="77777777" w:rsidR="00271E37" w:rsidRPr="00A00F5B" w:rsidRDefault="00271E37">
            <w:pPr>
              <w:spacing w:line="240" w:lineRule="auto"/>
              <w:jc w:val="right"/>
              <w:rPr>
                <w:rFonts w:eastAsia="Times New Roman" w:cs="Arial"/>
                <w:b/>
                <w:bCs/>
                <w:color w:val="000000"/>
                <w:szCs w:val="16"/>
                <w:lang w:eastAsia="en-GB"/>
              </w:rPr>
            </w:pPr>
          </w:p>
        </w:tc>
        <w:tc>
          <w:tcPr>
            <w:tcW w:w="1390" w:type="dxa"/>
            <w:tcBorders>
              <w:top w:val="nil"/>
              <w:left w:val="nil"/>
              <w:bottom w:val="single" w:sz="12" w:space="0" w:color="auto"/>
              <w:right w:val="nil"/>
            </w:tcBorders>
            <w:vAlign w:val="center"/>
          </w:tcPr>
          <w:p w14:paraId="5323CCEA" w14:textId="77777777" w:rsidR="00271E37" w:rsidRPr="00A00F5B" w:rsidRDefault="00271E37">
            <w:pPr>
              <w:spacing w:line="240" w:lineRule="auto"/>
              <w:jc w:val="right"/>
              <w:rPr>
                <w:rFonts w:eastAsia="Times New Roman" w:cs="Arial"/>
                <w:b/>
                <w:bCs/>
                <w:color w:val="000000"/>
                <w:szCs w:val="16"/>
                <w:lang w:eastAsia="en-GB"/>
              </w:rPr>
            </w:pPr>
          </w:p>
        </w:tc>
        <w:tc>
          <w:tcPr>
            <w:tcW w:w="1004" w:type="dxa"/>
            <w:tcBorders>
              <w:top w:val="single" w:sz="8" w:space="0" w:color="auto"/>
              <w:left w:val="nil"/>
              <w:bottom w:val="single" w:sz="12" w:space="0" w:color="auto"/>
              <w:right w:val="nil"/>
            </w:tcBorders>
            <w:vAlign w:val="center"/>
            <w:hideMark/>
          </w:tcPr>
          <w:p w14:paraId="1F7916F5" w14:textId="47E5E873" w:rsidR="00271E37" w:rsidRPr="00A00F5B" w:rsidRDefault="00271E37">
            <w:pPr>
              <w:spacing w:line="240" w:lineRule="auto"/>
              <w:jc w:val="right"/>
              <w:rPr>
                <w:rFonts w:eastAsia="Times New Roman" w:cs="Arial"/>
                <w:b/>
                <w:bCs/>
                <w:color w:val="000000"/>
                <w:szCs w:val="16"/>
                <w:lang w:eastAsia="en-GB"/>
              </w:rPr>
            </w:pPr>
            <w:r>
              <w:rPr>
                <w:rFonts w:cs="Arial"/>
                <w:b/>
                <w:bCs/>
                <w:color w:val="000000"/>
                <w:szCs w:val="16"/>
              </w:rPr>
              <w:t>(5,77</w:t>
            </w:r>
            <w:r w:rsidR="00EB52EA">
              <w:rPr>
                <w:rFonts w:cs="Arial"/>
                <w:b/>
                <w:bCs/>
                <w:color w:val="000000"/>
                <w:szCs w:val="16"/>
              </w:rPr>
              <w:t>3</w:t>
            </w:r>
            <w:r>
              <w:rPr>
                <w:rFonts w:cs="Arial"/>
                <w:b/>
                <w:bCs/>
                <w:color w:val="000000"/>
                <w:szCs w:val="16"/>
              </w:rPr>
              <w:t>)</w:t>
            </w:r>
          </w:p>
        </w:tc>
      </w:tr>
    </w:tbl>
    <w:p w14:paraId="5BF310BE" w14:textId="77777777" w:rsidR="00271E37" w:rsidRDefault="00271E37" w:rsidP="00797A7A"/>
    <w:p w14:paraId="16D64170" w14:textId="77777777" w:rsidR="00271E37" w:rsidRPr="006E0ED8" w:rsidRDefault="00271E37"/>
    <w:p w14:paraId="34991531" w14:textId="77777777" w:rsidR="00271E37" w:rsidRPr="006E0ED8" w:rsidRDefault="00271E37"/>
    <w:p w14:paraId="6FCED8C8" w14:textId="77777777" w:rsidR="00271E37" w:rsidRPr="006E0ED8" w:rsidRDefault="00271E37"/>
    <w:p w14:paraId="6D5F64A5" w14:textId="77777777" w:rsidR="00271E37" w:rsidRPr="006E0ED8" w:rsidRDefault="00271E37"/>
    <w:p w14:paraId="7FA4EEAC" w14:textId="77777777" w:rsidR="00271E37" w:rsidRPr="006E0ED8" w:rsidRDefault="00271E37"/>
    <w:p w14:paraId="75652981" w14:textId="77777777" w:rsidR="00271E37" w:rsidRPr="006E0ED8" w:rsidRDefault="00271E37"/>
    <w:p w14:paraId="44F61ECB" w14:textId="77777777" w:rsidR="00271E37" w:rsidRDefault="00271E37" w:rsidP="00797A7A"/>
    <w:p w14:paraId="31081F00" w14:textId="41625115" w:rsidR="00271E37" w:rsidRPr="00F35C0E" w:rsidRDefault="00271E37">
      <w:pPr>
        <w:tabs>
          <w:tab w:val="center" w:pos="749"/>
        </w:tabs>
      </w:pPr>
      <w:r>
        <w:tab/>
      </w:r>
      <w:r>
        <w:br w:type="textWrapping" w:clear="all"/>
      </w:r>
      <w:r w:rsidRPr="00F35C0E">
        <w:t xml:space="preserve">All adjusting costs incurred in the year ending 31 March 2025 relate to </w:t>
      </w:r>
      <w:r w:rsidR="00CB3DE2">
        <w:t>continuing operations</w:t>
      </w:r>
      <w:r w:rsidR="00F8612C">
        <w:t>’</w:t>
      </w:r>
      <w:r w:rsidRPr="00F35C0E">
        <w:t xml:space="preserve"> integration and restructuring items.</w:t>
      </w:r>
    </w:p>
    <w:p w14:paraId="1F9A00E5" w14:textId="77777777" w:rsidR="00271E37" w:rsidRDefault="00271E37" w:rsidP="00797A7A">
      <w:pPr>
        <w:rPr>
          <w:b/>
          <w:bCs/>
          <w:i/>
          <w:iCs/>
        </w:rPr>
      </w:pPr>
    </w:p>
    <w:p w14:paraId="72210603" w14:textId="77777777" w:rsidR="00271E37" w:rsidRDefault="00271E37" w:rsidP="00797A7A">
      <w:bookmarkStart w:id="30" w:name="_1f605f87_cfc8_4c66_8603_08711237b86b"/>
      <w:bookmarkEnd w:id="30"/>
      <w:r>
        <w:t>Adjusting items relate to the following transactions:</w:t>
      </w:r>
    </w:p>
    <w:p w14:paraId="77F0A376" w14:textId="77777777" w:rsidR="00271E37" w:rsidRDefault="00271E37" w:rsidP="00797A7A"/>
    <w:p w14:paraId="65BBE82A" w14:textId="77777777" w:rsidR="00271E37" w:rsidRPr="00C76750" w:rsidRDefault="00271E37">
      <w:pPr>
        <w:rPr>
          <w:i/>
        </w:rPr>
      </w:pPr>
      <w:r w:rsidRPr="00C76750">
        <w:rPr>
          <w:i/>
        </w:rPr>
        <w:t xml:space="preserve">Integration and restructuring </w:t>
      </w:r>
      <w:r>
        <w:rPr>
          <w:i/>
        </w:rPr>
        <w:t>(</w:t>
      </w:r>
      <w:r w:rsidRPr="00C76750">
        <w:rPr>
          <w:i/>
        </w:rPr>
        <w:t>cost</w:t>
      </w:r>
      <w:r>
        <w:rPr>
          <w:i/>
        </w:rPr>
        <w:t>)</w:t>
      </w:r>
      <w:r w:rsidRPr="00C76750">
        <w:rPr>
          <w:i/>
        </w:rPr>
        <w:t>/incom</w:t>
      </w:r>
      <w:r>
        <w:rPr>
          <w:i/>
        </w:rPr>
        <w:t>e</w:t>
      </w:r>
    </w:p>
    <w:p w14:paraId="74C68EA9" w14:textId="77777777" w:rsidR="00271E37" w:rsidRPr="006E66E1" w:rsidRDefault="00271E37" w:rsidP="00797A7A">
      <w:pPr>
        <w:rPr>
          <w:i/>
        </w:rPr>
      </w:pPr>
    </w:p>
    <w:p w14:paraId="005BEFD2" w14:textId="319EEEA6" w:rsidR="00271E37" w:rsidRDefault="00271E37" w:rsidP="00797A7A">
      <w:r w:rsidRPr="009740DF">
        <w:t>In order to realise synergies from acquisitions or existing businesses, integration and restructuring projects are respectively undertaken that aim to deliver future savings and efficiencies for the Group. These projects</w:t>
      </w:r>
      <w:r>
        <w:t xml:space="preserve"> are</w:t>
      </w:r>
      <w:r w:rsidRPr="009740DF">
        <w:t xml:space="preserve"> outside of the normal operations of the business and typically incur one-</w:t>
      </w:r>
      <w:r>
        <w:t>off</w:t>
      </w:r>
      <w:r w:rsidRPr="009740DF">
        <w:t xml:space="preserve"> costs to ensure successful implementation</w:t>
      </w:r>
      <w:r w:rsidR="0097068E">
        <w:t>:</w:t>
      </w:r>
      <w:r>
        <w:t xml:space="preserve"> therefore</w:t>
      </w:r>
      <w:r w:rsidR="0097068E">
        <w:t>,</w:t>
      </w:r>
      <w:r w:rsidDel="000B7C9D">
        <w:t xml:space="preserve"> </w:t>
      </w:r>
      <w:r>
        <w:t>management classifies them</w:t>
      </w:r>
      <w:r w:rsidRPr="009740DF">
        <w:t xml:space="preserve"> as adjusting items. The </w:t>
      </w:r>
      <w:r>
        <w:t xml:space="preserve">integration and restructuring </w:t>
      </w:r>
      <w:r w:rsidRPr="009740DF">
        <w:t xml:space="preserve">costs incurred in </w:t>
      </w:r>
      <w:r>
        <w:t>FY</w:t>
      </w:r>
      <w:r w:rsidRPr="009740DF">
        <w:t>202</w:t>
      </w:r>
      <w:r>
        <w:t>6 and FY2025</w:t>
      </w:r>
      <w:r w:rsidRPr="009740DF">
        <w:t xml:space="preserve"> </w:t>
      </w:r>
      <w:r>
        <w:t xml:space="preserve">mainly </w:t>
      </w:r>
      <w:r w:rsidRPr="009740DF">
        <w:t xml:space="preserve">relate to DG UK </w:t>
      </w:r>
      <w:r>
        <w:t>and DG Australia segments.</w:t>
      </w:r>
    </w:p>
    <w:p w14:paraId="620BF9AB" w14:textId="77777777" w:rsidR="00271E37" w:rsidRDefault="00271E37" w:rsidP="00797A7A">
      <w:pPr>
        <w:rPr>
          <w:b/>
        </w:rPr>
      </w:pPr>
    </w:p>
    <w:p w14:paraId="0075FFAD" w14:textId="5A135692" w:rsidR="00271E37" w:rsidRPr="006E78C2" w:rsidRDefault="00271E37">
      <w:pPr>
        <w:rPr>
          <w:bCs/>
        </w:rPr>
      </w:pPr>
      <w:r w:rsidRPr="006E78C2">
        <w:rPr>
          <w:bCs/>
        </w:rPr>
        <w:t xml:space="preserve">In FY2026 </w:t>
      </w:r>
      <w:r>
        <w:rPr>
          <w:bCs/>
        </w:rPr>
        <w:t>i</w:t>
      </w:r>
      <w:r w:rsidRPr="006E78C2">
        <w:rPr>
          <w:bCs/>
        </w:rPr>
        <w:t>ntegration and restructuring costs of £1.</w:t>
      </w:r>
      <w:r>
        <w:rPr>
          <w:bCs/>
        </w:rPr>
        <w:t>2</w:t>
      </w:r>
      <w:r w:rsidRPr="006E78C2">
        <w:rPr>
          <w:bCs/>
        </w:rPr>
        <w:t xml:space="preserve"> million (2025: £5.7 million) recognised within operating profit</w:t>
      </w:r>
      <w:r>
        <w:rPr>
          <w:bCs/>
        </w:rPr>
        <w:t xml:space="preserve"> related to:</w:t>
      </w:r>
    </w:p>
    <w:p w14:paraId="49DE3696" w14:textId="3936140C" w:rsidR="00271E37" w:rsidRPr="00D33739" w:rsidRDefault="00990EBD" w:rsidP="005B0EAC">
      <w:pPr>
        <w:numPr>
          <w:ilvl w:val="0"/>
          <w:numId w:val="52"/>
        </w:numPr>
        <w:rPr>
          <w:bCs/>
        </w:rPr>
      </w:pPr>
      <w:r>
        <w:rPr>
          <w:bCs/>
        </w:rPr>
        <w:t>o</w:t>
      </w:r>
      <w:r w:rsidR="00271E37" w:rsidRPr="00D33739">
        <w:rPr>
          <w:bCs/>
        </w:rPr>
        <w:t>ngoing DG UK reorganisation activities, including consolidation of Far East sourcing operations (£0.6 million</w:t>
      </w:r>
      <w:r w:rsidR="0027084A">
        <w:rPr>
          <w:bCs/>
        </w:rPr>
        <w:t xml:space="preserve"> cost</w:t>
      </w:r>
      <w:r w:rsidR="00271E37" w:rsidRPr="00D33739">
        <w:rPr>
          <w:bCs/>
        </w:rPr>
        <w:t>);</w:t>
      </w:r>
    </w:p>
    <w:p w14:paraId="6CE0EECF" w14:textId="6AABDD9C" w:rsidR="00271E37" w:rsidRPr="006E78C2" w:rsidRDefault="00990EBD" w:rsidP="005B0EAC">
      <w:pPr>
        <w:numPr>
          <w:ilvl w:val="0"/>
          <w:numId w:val="52"/>
        </w:numPr>
        <w:rPr>
          <w:bCs/>
        </w:rPr>
      </w:pPr>
      <w:r>
        <w:rPr>
          <w:bCs/>
        </w:rPr>
        <w:t>r</w:t>
      </w:r>
      <w:r w:rsidR="00271E37">
        <w:rPr>
          <w:bCs/>
        </w:rPr>
        <w:t>eclassification of exchange differences to income statement on closure of Huizhou operations in China (£0.4 million credit);</w:t>
      </w:r>
      <w:r w:rsidR="00BE1B67">
        <w:rPr>
          <w:bCs/>
        </w:rPr>
        <w:t xml:space="preserve"> and</w:t>
      </w:r>
    </w:p>
    <w:p w14:paraId="0C366A19" w14:textId="5E618DED" w:rsidR="00271E37" w:rsidRDefault="00271E37" w:rsidP="005B0EAC">
      <w:pPr>
        <w:numPr>
          <w:ilvl w:val="0"/>
          <w:numId w:val="52"/>
        </w:numPr>
        <w:rPr>
          <w:bCs/>
        </w:rPr>
      </w:pPr>
      <w:r w:rsidRPr="00BE3AC2">
        <w:rPr>
          <w:bCs/>
        </w:rPr>
        <w:t>DG Australia warehouse relocation</w:t>
      </w:r>
      <w:r>
        <w:rPr>
          <w:bCs/>
        </w:rPr>
        <w:t xml:space="preserve"> costs and</w:t>
      </w:r>
      <w:r w:rsidRPr="00BE3AC2">
        <w:rPr>
          <w:bCs/>
        </w:rPr>
        <w:t xml:space="preserve"> legacy lease obligations</w:t>
      </w:r>
      <w:r>
        <w:rPr>
          <w:bCs/>
        </w:rPr>
        <w:t xml:space="preserve"> (£1.0 million)</w:t>
      </w:r>
      <w:r w:rsidR="00990EBD">
        <w:rPr>
          <w:bCs/>
        </w:rPr>
        <w:t>.</w:t>
      </w:r>
    </w:p>
    <w:p w14:paraId="1E90EDF7" w14:textId="77777777" w:rsidR="00271E37" w:rsidRPr="00BE3AC2" w:rsidRDefault="00271E37">
      <w:pPr>
        <w:rPr>
          <w:bCs/>
        </w:rPr>
      </w:pPr>
    </w:p>
    <w:p w14:paraId="3905EF01" w14:textId="77777777" w:rsidR="00271E37" w:rsidRPr="006E78C2" w:rsidRDefault="00271E37">
      <w:pPr>
        <w:rPr>
          <w:bCs/>
        </w:rPr>
      </w:pPr>
      <w:r>
        <w:rPr>
          <w:bCs/>
        </w:rPr>
        <w:t>In FY2025 i</w:t>
      </w:r>
      <w:r w:rsidRPr="006E78C2">
        <w:rPr>
          <w:bCs/>
        </w:rPr>
        <w:t>ntegration and restructuring costs of £5.7 million were recognised, primarily within administrative expenses (£4.6 million) and cost of sales (£1.1 million).</w:t>
      </w:r>
    </w:p>
    <w:p w14:paraId="33AEBDC6" w14:textId="77777777" w:rsidR="00271E37" w:rsidRPr="006E78C2" w:rsidRDefault="00271E37">
      <w:pPr>
        <w:rPr>
          <w:bCs/>
        </w:rPr>
      </w:pPr>
      <w:r w:rsidRPr="006E78C2">
        <w:rPr>
          <w:bCs/>
        </w:rPr>
        <w:t>These costs were mainly attributable to:</w:t>
      </w:r>
    </w:p>
    <w:p w14:paraId="51B3288D" w14:textId="5F8E9849" w:rsidR="00271E37" w:rsidRPr="006E78C2" w:rsidRDefault="00CF2E86" w:rsidP="005B0EAC">
      <w:pPr>
        <w:numPr>
          <w:ilvl w:val="0"/>
          <w:numId w:val="53"/>
        </w:numPr>
        <w:rPr>
          <w:bCs/>
        </w:rPr>
      </w:pPr>
      <w:r>
        <w:rPr>
          <w:bCs/>
        </w:rPr>
        <w:t>t</w:t>
      </w:r>
      <w:r w:rsidR="00271E37" w:rsidRPr="006E78C2">
        <w:rPr>
          <w:bCs/>
        </w:rPr>
        <w:t>he closure of the China manufacturing site (£4.5 million);</w:t>
      </w:r>
    </w:p>
    <w:p w14:paraId="612777F8" w14:textId="77777777" w:rsidR="00271E37" w:rsidRPr="006E78C2" w:rsidRDefault="00271E37" w:rsidP="005B0EAC">
      <w:pPr>
        <w:numPr>
          <w:ilvl w:val="0"/>
          <w:numId w:val="53"/>
        </w:numPr>
        <w:rPr>
          <w:bCs/>
        </w:rPr>
      </w:pPr>
      <w:r w:rsidRPr="006E78C2">
        <w:rPr>
          <w:bCs/>
        </w:rPr>
        <w:t>DG UK reorganisation and site-related costs; and</w:t>
      </w:r>
    </w:p>
    <w:p w14:paraId="423261A0" w14:textId="77777777" w:rsidR="00271E37" w:rsidRDefault="00271E37" w:rsidP="005B0EAC">
      <w:pPr>
        <w:numPr>
          <w:ilvl w:val="0"/>
          <w:numId w:val="53"/>
        </w:numPr>
        <w:rPr>
          <w:bCs/>
        </w:rPr>
      </w:pPr>
      <w:r w:rsidRPr="006E78C2">
        <w:rPr>
          <w:bCs/>
        </w:rPr>
        <w:t xml:space="preserve">DG Australia relocation activities, including </w:t>
      </w:r>
      <w:r>
        <w:rPr>
          <w:bCs/>
        </w:rPr>
        <w:t xml:space="preserve">warehouse </w:t>
      </w:r>
      <w:r w:rsidRPr="006E78C2">
        <w:rPr>
          <w:bCs/>
        </w:rPr>
        <w:t>double-running costs.</w:t>
      </w:r>
    </w:p>
    <w:p w14:paraId="21D80C9F" w14:textId="77777777" w:rsidR="00271E37" w:rsidRDefault="00271E37">
      <w:pPr>
        <w:rPr>
          <w:bCs/>
        </w:rPr>
      </w:pPr>
    </w:p>
    <w:p w14:paraId="7868ECE6" w14:textId="77777777" w:rsidR="00271E37" w:rsidRDefault="00271E37">
      <w:pPr>
        <w:rPr>
          <w:bCs/>
        </w:rPr>
      </w:pPr>
      <w:r>
        <w:rPr>
          <w:bCs/>
        </w:rPr>
        <w:t xml:space="preserve">In FY2026 the £0.2 million (2025: £0.2 million) of finance expenses relate to the legacy DG Australia lease liability. </w:t>
      </w:r>
    </w:p>
    <w:p w14:paraId="6C553C26" w14:textId="77777777" w:rsidR="00271E37" w:rsidRPr="006E78C2" w:rsidRDefault="00271E37">
      <w:pPr>
        <w:rPr>
          <w:bCs/>
        </w:rPr>
      </w:pPr>
    </w:p>
    <w:p w14:paraId="1CF15CBE" w14:textId="77777777" w:rsidR="00271E37" w:rsidRDefault="00271E37" w:rsidP="00797A7A">
      <w:pPr>
        <w:rPr>
          <w:i/>
        </w:rPr>
      </w:pPr>
      <w:r w:rsidRPr="00DD4F11">
        <w:rPr>
          <w:i/>
        </w:rPr>
        <w:t>Disposal of property</w:t>
      </w:r>
    </w:p>
    <w:p w14:paraId="727F9DE4" w14:textId="77777777" w:rsidR="00271E37" w:rsidRPr="00DD4F11" w:rsidRDefault="00271E37" w:rsidP="00797A7A">
      <w:pPr>
        <w:rPr>
          <w:i/>
        </w:rPr>
      </w:pPr>
    </w:p>
    <w:p w14:paraId="24D92EDD" w14:textId="77777777" w:rsidR="00271E37" w:rsidRDefault="00271E37">
      <w:r>
        <w:t>In FY2026 a</w:t>
      </w:r>
      <w:r w:rsidRPr="00DD4F11">
        <w:t xml:space="preserve"> profit of £3.0 million was recognised within other operating income in relation to the disposal of the</w:t>
      </w:r>
      <w:r>
        <w:t xml:space="preserve"> surplus</w:t>
      </w:r>
      <w:r w:rsidRPr="00DD4F11">
        <w:t xml:space="preserve"> Hirwaun (Wales) site. Associated site holding and maintenance costs of £0.1 million were incurred in the year</w:t>
      </w:r>
      <w:r>
        <w:t xml:space="preserve"> (2025: £0.1 million)</w:t>
      </w:r>
      <w:r w:rsidRPr="00DD4F11">
        <w:t>.</w:t>
      </w:r>
    </w:p>
    <w:p w14:paraId="3AE791A7" w14:textId="77777777" w:rsidR="00271E37" w:rsidRDefault="00271E37"/>
    <w:p w14:paraId="60CB8470" w14:textId="77777777" w:rsidR="00271E37" w:rsidRDefault="00271E37" w:rsidP="00797A7A">
      <w:pPr>
        <w:rPr>
          <w:i/>
        </w:rPr>
      </w:pPr>
      <w:r w:rsidRPr="00153CF2">
        <w:rPr>
          <w:i/>
        </w:rPr>
        <w:t>Provisions for DG Americas commitments</w:t>
      </w:r>
    </w:p>
    <w:p w14:paraId="7AA4B58B" w14:textId="77777777" w:rsidR="00271E37" w:rsidRDefault="00271E37" w:rsidP="00797A7A">
      <w:pPr>
        <w:rPr>
          <w:i/>
        </w:rPr>
      </w:pPr>
    </w:p>
    <w:p w14:paraId="1BD5952D" w14:textId="7C750487" w:rsidR="00271E37" w:rsidRPr="00634F31" w:rsidRDefault="00271E37">
      <w:r w:rsidRPr="00634F31">
        <w:t>Following the disposal of DG Americas, certain Group commitments relating to DG Americas lease</w:t>
      </w:r>
      <w:r w:rsidR="00593239">
        <w:t>s</w:t>
      </w:r>
      <w:r w:rsidRPr="00634F31">
        <w:t xml:space="preserve"> were identified, and provisions were established to cover probable future payments. These obligations became apparent during the progression of the Chapter 11 proceedings, which remain ongoing. As a result, a provision has been recognised representing management’s best estimate of the expenditure required to settle these obligations.</w:t>
      </w:r>
    </w:p>
    <w:p w14:paraId="6BC8A69A" w14:textId="4FCA1D26" w:rsidR="00271E37" w:rsidRPr="00634F31" w:rsidRDefault="00271E37">
      <w:r w:rsidRPr="00634F31">
        <w:t>Th</w:t>
      </w:r>
      <w:r w:rsidR="00437E85">
        <w:t>is</w:t>
      </w:r>
      <w:r w:rsidRPr="00634F31">
        <w:t xml:space="preserve"> provision reflect</w:t>
      </w:r>
      <w:r w:rsidR="00436D0E">
        <w:t>s</w:t>
      </w:r>
      <w:r w:rsidRPr="00634F31">
        <w:t xml:space="preserve"> the expected shortfall after considering anticipated recoveries through the Chapter 11 process, as well as the impact of commercially viable actions to mitigate</w:t>
      </w:r>
      <w:r>
        <w:t xml:space="preserve"> this</w:t>
      </w:r>
      <w:r w:rsidRPr="00634F31">
        <w:t xml:space="preserve"> exposure. However, the estimate remains subject to uncertainty, particularly regarding the timing of cash outflows and the extent to which mitigation efforts will be successful. The ultimate outcome may therefore differ depending on final recovery levels and the effectiveness of mitigation strategies. The position will be reassessed as further information becomes available.</w:t>
      </w:r>
    </w:p>
    <w:p w14:paraId="0BAC5830" w14:textId="77777777" w:rsidR="00271E37" w:rsidRDefault="00271E37" w:rsidP="00797A7A">
      <w:pPr>
        <w:rPr>
          <w:iCs/>
          <w:sz w:val="18"/>
          <w:szCs w:val="22"/>
        </w:rPr>
      </w:pPr>
    </w:p>
    <w:p w14:paraId="6DBFCED3" w14:textId="77777777" w:rsidR="00271E37" w:rsidRPr="00B438FE" w:rsidRDefault="00271E37" w:rsidP="001D3100">
      <w:pPr>
        <w:pStyle w:val="Heading4"/>
        <w:rPr>
          <w:b/>
          <w:bCs/>
        </w:rPr>
      </w:pPr>
      <w:r w:rsidRPr="001D3100">
        <w:rPr>
          <w:rFonts w:ascii="Arial" w:hAnsi="Arial" w:cs="Arial"/>
          <w:b/>
          <w:color w:val="auto"/>
          <w:sz w:val="16"/>
          <w:szCs w:val="16"/>
        </w:rPr>
        <w:t>The cash flow effect of adjusting items</w:t>
      </w:r>
    </w:p>
    <w:p w14:paraId="726E66FD" w14:textId="77777777" w:rsidR="00271E37" w:rsidRDefault="00271E37" w:rsidP="00797A7A">
      <w:r>
        <w:t xml:space="preserve">There was a £1.9 million net adjusting items cash inflow in the current period (2025: £3.8 million net outflow). </w:t>
      </w:r>
    </w:p>
    <w:p w14:paraId="1071FF4F" w14:textId="77777777" w:rsidR="00271E37" w:rsidRDefault="00271E37" w:rsidP="00504CDE"/>
    <w:p w14:paraId="005C35DF" w14:textId="77777777" w:rsidR="00271E37" w:rsidRPr="001F3486" w:rsidRDefault="00271E37" w:rsidP="00504CDE">
      <w:pPr>
        <w:rPr>
          <w:i/>
          <w:iCs/>
        </w:rPr>
      </w:pPr>
      <w:r w:rsidRPr="001F3486">
        <w:rPr>
          <w:i/>
          <w:iCs/>
        </w:rPr>
        <w:t>Key accounting judgements and estimates</w:t>
      </w:r>
    </w:p>
    <w:p w14:paraId="6C8B5A04" w14:textId="345445A7" w:rsidR="00271E37" w:rsidRDefault="00271E37" w:rsidP="00504CDE">
      <w:r>
        <w:t>The following provides information on those policies that management considers key because of the level of judgement and estimation required</w:t>
      </w:r>
      <w:r w:rsidR="00082EAC">
        <w:t>,</w:t>
      </w:r>
      <w:r>
        <w:t xml:space="preserve"> which often involves assumptions regarding future events which can vary from what is anticipated. The Directors believe that </w:t>
      </w:r>
      <w:r>
        <w:lastRenderedPageBreak/>
        <w:t>the financial statements reflect appropriate judgements and estimates and provide a true and fair view of the Group’s performance and financial position.</w:t>
      </w:r>
    </w:p>
    <w:p w14:paraId="39093986" w14:textId="77777777" w:rsidR="00271E37" w:rsidRDefault="00271E37" w:rsidP="00504CDE"/>
    <w:p w14:paraId="31F0AB76" w14:textId="77777777" w:rsidR="00271E37" w:rsidRDefault="00271E37" w:rsidP="00504CDE">
      <w:r>
        <w:t>The following are the critical judgements, apart from those involving estimations (which are dealt with separately below), that the Directors have made in the process of applying the Group’s accounting policies and that have the most significant effect on the amounts recognised in the financial statements.</w:t>
      </w:r>
    </w:p>
    <w:p w14:paraId="78EEA947" w14:textId="77777777" w:rsidR="00271E37" w:rsidRDefault="00271E37" w:rsidP="002E39D4"/>
    <w:p w14:paraId="76E0F9B5" w14:textId="77777777" w:rsidR="00271E37" w:rsidRPr="00E72CFA" w:rsidRDefault="00271E37">
      <w:pPr>
        <w:pStyle w:val="Heading3"/>
      </w:pPr>
      <w:r w:rsidRPr="00E72CFA">
        <w:t>Accounting judgements</w:t>
      </w:r>
    </w:p>
    <w:p w14:paraId="2FD88AC4" w14:textId="77777777" w:rsidR="00271E37" w:rsidRPr="00ED6AF3" w:rsidRDefault="00271E37" w:rsidP="001D3100">
      <w:pPr>
        <w:pStyle w:val="Heading4"/>
        <w:rPr>
          <w:rFonts w:cs="Arial"/>
          <w:szCs w:val="16"/>
          <w:u w:val="single"/>
        </w:rPr>
      </w:pPr>
      <w:r w:rsidRPr="001D3100">
        <w:rPr>
          <w:rFonts w:ascii="Arial" w:hAnsi="Arial" w:cs="Arial"/>
          <w:i w:val="0"/>
          <w:color w:val="auto"/>
          <w:sz w:val="16"/>
          <w:szCs w:val="16"/>
          <w:u w:val="single"/>
        </w:rPr>
        <w:t>(i) Adjusting items</w:t>
      </w:r>
    </w:p>
    <w:p w14:paraId="21505E57" w14:textId="77777777" w:rsidR="00271E37" w:rsidRDefault="00271E37" w:rsidP="002E39D4">
      <w:r>
        <w:t>Judgement is required to determine whether items are appropriately classified as adjusting items and that the values assigned are appropriate. Adjusting items relate to impairments of assets, costs associated with acquisitions or disposals, and significant items by virtue of their size or incidence. Adjusting items are approved by the Board.</w:t>
      </w:r>
    </w:p>
    <w:p w14:paraId="234000FB" w14:textId="77777777" w:rsidR="00271E37" w:rsidRDefault="00271E37" w:rsidP="002E39D4"/>
    <w:p w14:paraId="69725AB3" w14:textId="77777777" w:rsidR="00271E37" w:rsidRPr="00ED6AF3" w:rsidRDefault="00271E37" w:rsidP="001D3100">
      <w:pPr>
        <w:pStyle w:val="Heading4"/>
        <w:rPr>
          <w:rFonts w:cs="Arial"/>
          <w:szCs w:val="16"/>
          <w:u w:val="single"/>
        </w:rPr>
      </w:pPr>
      <w:r w:rsidRPr="001D3100">
        <w:rPr>
          <w:rFonts w:ascii="Arial" w:hAnsi="Arial" w:cs="Arial"/>
          <w:i w:val="0"/>
          <w:color w:val="auto"/>
          <w:sz w:val="16"/>
          <w:szCs w:val="16"/>
          <w:u w:val="single"/>
        </w:rPr>
        <w:t>(ii) Taxation</w:t>
      </w:r>
    </w:p>
    <w:p w14:paraId="630E63BC" w14:textId="77777777" w:rsidR="00271E37" w:rsidRDefault="00271E37" w:rsidP="002E39D4">
      <w:r>
        <w:t xml:space="preserve">Judgement is required in determining the Group’s tax assets and liabilities. Deferred tax assets have been recognised to the extent that management believe that they are recoverable based on profit projections for future years. </w:t>
      </w:r>
    </w:p>
    <w:p w14:paraId="3A1513EA" w14:textId="77777777" w:rsidR="00271E37" w:rsidRDefault="00271E37" w:rsidP="002E39D4"/>
    <w:p w14:paraId="55A9D212" w14:textId="77777777" w:rsidR="00271E37" w:rsidRDefault="00271E37" w:rsidP="002E39D4">
      <w:r>
        <w:t xml:space="preserve">These forecasts are consistent with those used elsewhere in the financial statements (including impairment). Note 11 provides information on the gross temporary differences and unused tax losses on which deferred tax assets have not been recognised. </w:t>
      </w:r>
    </w:p>
    <w:p w14:paraId="6EECE31D" w14:textId="77777777" w:rsidR="00271E37" w:rsidRDefault="00271E37" w:rsidP="002E39D4"/>
    <w:p w14:paraId="10D1C2EE" w14:textId="77777777" w:rsidR="00271E37" w:rsidRPr="00E72CFA" w:rsidRDefault="00271E37">
      <w:pPr>
        <w:pStyle w:val="Heading3"/>
      </w:pPr>
      <w:r w:rsidRPr="00E72CFA">
        <w:t>Accounting estimates</w:t>
      </w:r>
    </w:p>
    <w:p w14:paraId="5A2FCD72" w14:textId="77777777" w:rsidR="00271E37" w:rsidRPr="00ED6AF3" w:rsidRDefault="00271E37" w:rsidP="001D3100">
      <w:pPr>
        <w:pStyle w:val="Heading4"/>
        <w:rPr>
          <w:rFonts w:cs="Arial"/>
          <w:szCs w:val="16"/>
          <w:u w:val="single"/>
        </w:rPr>
      </w:pPr>
      <w:r w:rsidRPr="001D3100">
        <w:rPr>
          <w:rFonts w:ascii="Arial" w:hAnsi="Arial" w:cs="Arial"/>
          <w:i w:val="0"/>
          <w:color w:val="auto"/>
          <w:sz w:val="16"/>
          <w:szCs w:val="16"/>
          <w:u w:val="single"/>
        </w:rPr>
        <w:t>(i) Lease asset impairments</w:t>
      </w:r>
    </w:p>
    <w:p w14:paraId="76E975F6" w14:textId="77777777" w:rsidR="00271E37" w:rsidRDefault="00271E37" w:rsidP="002E39D4"/>
    <w:p w14:paraId="755F5F9E" w14:textId="30DA5869" w:rsidR="00271E37" w:rsidRDefault="00271E37">
      <w:r w:rsidRPr="00E96B53">
        <w:t>The impairment assessment requires management to make estimates regarding expected sublease income, vacancy periods, discount rates, and the likelihood and timing of lease exit or subtenant arrangements, based on current market conditions and property</w:t>
      </w:r>
      <w:r w:rsidRPr="00E96B53">
        <w:noBreakHyphen/>
        <w:t>specific factors.</w:t>
      </w:r>
      <w:r w:rsidRPr="004B214A">
        <w:t xml:space="preserve"> </w:t>
      </w:r>
      <w:r>
        <w:t>The impairments are assessed at each reporting date and if necessary reversed should there be available subtenants for the properties, or early termination agreed with the landlord.</w:t>
      </w:r>
    </w:p>
    <w:p w14:paraId="66E416F9" w14:textId="77777777" w:rsidR="00271E37" w:rsidRDefault="00271E37" w:rsidP="002E39D4"/>
    <w:p w14:paraId="575241EC" w14:textId="65093D08" w:rsidR="00271E37" w:rsidRDefault="00271E37" w:rsidP="002E39D4">
      <w:r>
        <w:t>In 2025 the Group</w:t>
      </w:r>
      <w:r w:rsidDel="00F94C64">
        <w:t xml:space="preserve"> </w:t>
      </w:r>
      <w:r>
        <w:t>impaired the right</w:t>
      </w:r>
      <w:r>
        <w:rPr>
          <w:rFonts w:ascii="Cambria Math" w:hAnsi="Cambria Math" w:cs="Cambria Math"/>
        </w:rPr>
        <w:t>‑</w:t>
      </w:r>
      <w:r>
        <w:t>of</w:t>
      </w:r>
      <w:r>
        <w:rPr>
          <w:rFonts w:ascii="Cambria Math" w:hAnsi="Cambria Math" w:cs="Cambria Math"/>
        </w:rPr>
        <w:t>‑</w:t>
      </w:r>
      <w:r>
        <w:t xml:space="preserve">use assets in respect of several properties that the Group has exited as part of DG Americas integration. </w:t>
      </w:r>
    </w:p>
    <w:p w14:paraId="09B7D10E" w14:textId="77777777" w:rsidR="00271E37" w:rsidRDefault="00271E37"/>
    <w:p w14:paraId="6BDBC326" w14:textId="77777777" w:rsidR="00271E37" w:rsidRPr="001D3100" w:rsidRDefault="00271E37" w:rsidP="001D3100">
      <w:pPr>
        <w:pStyle w:val="Heading4"/>
        <w:rPr>
          <w:rFonts w:cs="Arial"/>
          <w:szCs w:val="16"/>
          <w:u w:val="single"/>
        </w:rPr>
      </w:pPr>
      <w:r w:rsidRPr="001D3100">
        <w:rPr>
          <w:rFonts w:ascii="Arial" w:hAnsi="Arial" w:cs="Arial"/>
          <w:i w:val="0"/>
          <w:color w:val="auto"/>
          <w:sz w:val="16"/>
          <w:szCs w:val="16"/>
          <w:u w:val="single"/>
        </w:rPr>
        <w:t xml:space="preserve"> (ii) Provision for slow-moving inventory</w:t>
      </w:r>
    </w:p>
    <w:p w14:paraId="68DA8A6E" w14:textId="77777777" w:rsidR="00271E37" w:rsidRDefault="00271E37" w:rsidP="002E39D4">
      <w:r w:rsidRPr="4698C191">
        <w:rPr>
          <w:rFonts w:eastAsia="Arial" w:cs="Arial"/>
          <w:szCs w:val="16"/>
        </w:rPr>
        <w:t xml:space="preserve">The Group has guidelines for providing for inventory which may be sold below cost due to its age or condition. </w:t>
      </w:r>
    </w:p>
    <w:p w14:paraId="22FD8118" w14:textId="77777777" w:rsidR="00271E37" w:rsidRDefault="00271E37" w:rsidP="002E39D4">
      <w:r w:rsidRPr="4698C191">
        <w:rPr>
          <w:rFonts w:eastAsia="Arial" w:cs="Arial"/>
          <w:szCs w:val="16"/>
        </w:rPr>
        <w:t xml:space="preserve"> </w:t>
      </w:r>
    </w:p>
    <w:p w14:paraId="724E351B" w14:textId="2E775751" w:rsidR="00271E37" w:rsidRDefault="00271E37" w:rsidP="002E39D4">
      <w:r w:rsidRPr="4698C191">
        <w:rPr>
          <w:rFonts w:eastAsia="Arial" w:cs="Arial"/>
          <w:szCs w:val="16"/>
        </w:rPr>
        <w:t xml:space="preserve">The Directors assess the inventory at each location and in some cases decide that there are specific reasons to provide more than the guideline levels or less if there are specific action plans in place which mean the guideline provision level is not required. Determining the level of inventory provision requires an estimation of likely future realisable value of the inventory in various time frames and comparing with the cost of holding inventory for those time frames. </w:t>
      </w:r>
    </w:p>
    <w:p w14:paraId="3D584046" w14:textId="77777777" w:rsidR="00271E37" w:rsidRDefault="00271E37" w:rsidP="002E39D4"/>
    <w:p w14:paraId="7DA693D2" w14:textId="77777777" w:rsidR="00271E37" w:rsidRDefault="00271E37">
      <w:r w:rsidRPr="5EA3BFF0">
        <w:rPr>
          <w:rFonts w:eastAsia="Arial" w:cs="Arial"/>
          <w:szCs w:val="16"/>
        </w:rPr>
        <w:t xml:space="preserve">This is </w:t>
      </w:r>
      <w:r>
        <w:rPr>
          <w:rFonts w:eastAsia="Arial" w:cs="Arial"/>
          <w:szCs w:val="16"/>
        </w:rPr>
        <w:t>an</w:t>
      </w:r>
      <w:r w:rsidRPr="5EA3BFF0">
        <w:rPr>
          <w:rFonts w:eastAsia="Arial" w:cs="Arial"/>
          <w:szCs w:val="16"/>
        </w:rPr>
        <w:t xml:space="preserve"> estimate and is based on best data at the time of recognition. Regular monitoring of inventory levels, the ageing </w:t>
      </w:r>
      <w:r>
        <w:t xml:space="preserve">of inventory and the level of the provision is carried out by the Directors to reassess this estimate. The assumptions made in relation to the current period are consistent with those in the prior year. </w:t>
      </w:r>
    </w:p>
    <w:p w14:paraId="7A81C9AF" w14:textId="77777777" w:rsidR="00271E37" w:rsidRDefault="00271E37" w:rsidP="002E39D4"/>
    <w:p w14:paraId="60233C14" w14:textId="77777777" w:rsidR="00271E37" w:rsidRPr="00ED6AF3" w:rsidRDefault="00271E37" w:rsidP="001D3100">
      <w:pPr>
        <w:pStyle w:val="Heading4"/>
        <w:rPr>
          <w:rFonts w:cs="Arial"/>
          <w:szCs w:val="16"/>
          <w:u w:val="single"/>
        </w:rPr>
      </w:pPr>
      <w:r w:rsidRPr="001D3100">
        <w:rPr>
          <w:rFonts w:ascii="Arial" w:hAnsi="Arial" w:cs="Arial"/>
          <w:i w:val="0"/>
          <w:color w:val="auto"/>
          <w:sz w:val="16"/>
          <w:szCs w:val="16"/>
          <w:u w:val="single"/>
        </w:rPr>
        <w:t>(iii) Provision for pre-acquisition duties</w:t>
      </w:r>
    </w:p>
    <w:p w14:paraId="42C4AEB2" w14:textId="77777777" w:rsidR="00271E37" w:rsidRPr="00ED68A6" w:rsidRDefault="00271E37">
      <w:r w:rsidRPr="00ED68A6">
        <w:t xml:space="preserve">In prior years, management recognised a provision relating to </w:t>
      </w:r>
      <w:r>
        <w:t xml:space="preserve">custom </w:t>
      </w:r>
      <w:r w:rsidRPr="00ED68A6">
        <w:t xml:space="preserve">duties, interest and penalties associated with </w:t>
      </w:r>
      <w:r>
        <w:t xml:space="preserve">DG Americas </w:t>
      </w:r>
      <w:r w:rsidRPr="00ED68A6">
        <w:t>pre</w:t>
      </w:r>
      <w:r w:rsidRPr="00ED68A6">
        <w:noBreakHyphen/>
        <w:t>acquisition periods</w:t>
      </w:r>
      <w:r>
        <w:t>. Such recognition was</w:t>
      </w:r>
      <w:r w:rsidRPr="00ED68A6">
        <w:t xml:space="preserve"> based on significant estimates, interpretations of relevant regulations and external advice.</w:t>
      </w:r>
    </w:p>
    <w:p w14:paraId="0E6EBDEE" w14:textId="77777777" w:rsidR="00271E37" w:rsidRPr="00ED68A6" w:rsidRDefault="00271E37">
      <w:r w:rsidRPr="00ED68A6">
        <w:t>In FY2025, following further clarification with the relevant authorities, part of the exposure was settled, and the remaining provision was released to income.</w:t>
      </w:r>
    </w:p>
    <w:p w14:paraId="49791014" w14:textId="77777777" w:rsidR="00271E37" w:rsidRDefault="00271E37"/>
    <w:p w14:paraId="446AA715" w14:textId="335D781F" w:rsidR="00271E37" w:rsidRPr="00ED6AF3" w:rsidRDefault="00271E37" w:rsidP="001D3100">
      <w:pPr>
        <w:pStyle w:val="Heading4"/>
        <w:rPr>
          <w:rFonts w:cs="Arial"/>
          <w:szCs w:val="16"/>
          <w:u w:val="single"/>
        </w:rPr>
      </w:pPr>
      <w:r w:rsidRPr="001D3100">
        <w:rPr>
          <w:rFonts w:ascii="Arial" w:hAnsi="Arial" w:cs="Arial"/>
          <w:i w:val="0"/>
          <w:color w:val="auto"/>
          <w:sz w:val="16"/>
          <w:szCs w:val="16"/>
          <w:u w:val="single"/>
        </w:rPr>
        <w:t xml:space="preserve">(iv)  Impairment of goodwill/intangible assets/property, plant </w:t>
      </w:r>
      <w:r w:rsidR="0024101D">
        <w:rPr>
          <w:rFonts w:ascii="Arial" w:hAnsi="Arial" w:cs="Arial"/>
          <w:i w:val="0"/>
          <w:color w:val="auto"/>
          <w:sz w:val="16"/>
          <w:szCs w:val="16"/>
          <w:u w:val="single"/>
        </w:rPr>
        <w:t>and</w:t>
      </w:r>
      <w:r w:rsidRPr="001D3100">
        <w:rPr>
          <w:rFonts w:ascii="Arial" w:hAnsi="Arial" w:cs="Arial"/>
          <w:i w:val="0"/>
          <w:color w:val="auto"/>
          <w:sz w:val="16"/>
          <w:szCs w:val="16"/>
          <w:u w:val="single"/>
        </w:rPr>
        <w:t xml:space="preserve"> equipment</w:t>
      </w:r>
    </w:p>
    <w:p w14:paraId="4A98A5F9" w14:textId="77777777" w:rsidR="00271E37" w:rsidRDefault="00271E37"/>
    <w:p w14:paraId="5D241706" w14:textId="77777777" w:rsidR="00271E37" w:rsidRPr="00080291" w:rsidRDefault="00271E37">
      <w:r w:rsidRPr="00080291">
        <w:t>The impairment assessment requires management to make estimates in determining recoverable amounts, including forecast cash flows, appropriate discount rates and, where relevant, assumptions regarding market valuations, expected disposal proceeds and costs to sell.</w:t>
      </w:r>
    </w:p>
    <w:p w14:paraId="4C942BA7" w14:textId="77777777" w:rsidR="00271E37" w:rsidRDefault="00271E37"/>
    <w:p w14:paraId="6B5B83C7" w14:textId="23D611DC" w:rsidR="00271E37" w:rsidRDefault="00271E37">
      <w:r>
        <w:t xml:space="preserve">The Group tests goodwill annually for impairment or more frequently when there are indicators that it may be impaired. Impairment occurs when the carrying amount of an asset exceeds its recoverable amount. The recoverable amounts of cash-generating units (CGU) are determined as the higher of value in use (VIU) and fair value less costs to sell (FVLCTS). </w:t>
      </w:r>
    </w:p>
    <w:p w14:paraId="30DB4887" w14:textId="77777777" w:rsidR="00271E37" w:rsidRDefault="00271E37"/>
    <w:p w14:paraId="677A37C9" w14:textId="77777777" w:rsidR="00271E37" w:rsidRDefault="00271E37">
      <w:r>
        <w:t>No impairment was identified for any CGUs in FY2026. Further details are provided in note 9.</w:t>
      </w:r>
    </w:p>
    <w:p w14:paraId="56BB0491" w14:textId="77777777" w:rsidR="00271E37" w:rsidRDefault="00271E37"/>
    <w:p w14:paraId="5FAB13C1" w14:textId="4C2DD235" w:rsidR="00271E37" w:rsidRDefault="00271E37">
      <w:r>
        <w:lastRenderedPageBreak/>
        <w:t xml:space="preserve">An impairment loss of £42.0 million was recognised during the year ended 31 March 2025. This included £37.8 million relating to goodwill on the acquisition of DG Americas, £1.3 million in intangible assets, and £2.9 million in plant and equipment.  The impairment was determined based on the fair value of assets less costs to sell. DG Americas division was sold in FY2026 and loss on this disposal was recognised in the income statement. </w:t>
      </w:r>
    </w:p>
    <w:p w14:paraId="4121AE3A" w14:textId="77777777" w:rsidR="00271E37" w:rsidRDefault="00271E37"/>
    <w:p w14:paraId="4425BC1D" w14:textId="77777777" w:rsidR="00271E37" w:rsidRDefault="00271E37">
      <w:pPr>
        <w:pStyle w:val="Heading2"/>
      </w:pPr>
      <w:r w:rsidRPr="001F3486">
        <w:t>2 Segmental information</w:t>
      </w:r>
    </w:p>
    <w:p w14:paraId="76AE8497" w14:textId="77777777" w:rsidR="00271E37" w:rsidRPr="001F3486" w:rsidRDefault="00271E37" w:rsidP="002E39D4">
      <w:pPr>
        <w:rPr>
          <w:b/>
          <w:bCs/>
        </w:rPr>
      </w:pPr>
    </w:p>
    <w:p w14:paraId="20218FD1" w14:textId="6677DB2B" w:rsidR="00271E37" w:rsidRDefault="00271E37" w:rsidP="002E39D4">
      <w:r w:rsidRPr="00CF32A2">
        <w:t xml:space="preserve">The Group has one material business activity, being the design, manufacture and distribution of various celebration and creative products. Following the disposal of DG Americas, the Group has introduced new reporting segments, and previously disclosed segments have been re-presented to reflect the current structure. </w:t>
      </w:r>
    </w:p>
    <w:p w14:paraId="4296FB40" w14:textId="77777777" w:rsidR="00271E37" w:rsidRDefault="00271E37" w:rsidP="002E39D4"/>
    <w:p w14:paraId="3531942D" w14:textId="77777777" w:rsidR="00271E37" w:rsidRDefault="00271E37" w:rsidP="002E39D4">
      <w:r w:rsidRPr="00CF32A2">
        <w:t xml:space="preserve">The Group operates under three reporting segments, which are reviewed and evaluated by the Chief Operating Decision Makers. These segments are: </w:t>
      </w:r>
    </w:p>
    <w:p w14:paraId="4A0E5897" w14:textId="1F1FEDF2" w:rsidR="00271E37" w:rsidRDefault="00271E37" w:rsidP="002E39D4">
      <w:r w:rsidRPr="00CF32A2">
        <w:t xml:space="preserve">• </w:t>
      </w:r>
      <w:r w:rsidRPr="003A34EA">
        <w:rPr>
          <w:b/>
        </w:rPr>
        <w:t>DG UK</w:t>
      </w:r>
      <w:r w:rsidRPr="00CF32A2">
        <w:t xml:space="preserve">: Includes operations in Wales, Newport Pagnell and the Group’s sourcing offices in Asia. </w:t>
      </w:r>
    </w:p>
    <w:p w14:paraId="23697552" w14:textId="77777777" w:rsidR="00271E37" w:rsidRDefault="00271E37" w:rsidP="002E39D4">
      <w:r w:rsidRPr="00CF32A2">
        <w:t xml:space="preserve">• </w:t>
      </w:r>
      <w:r w:rsidRPr="003A34EA">
        <w:rPr>
          <w:b/>
        </w:rPr>
        <w:t>DG Europe</w:t>
      </w:r>
      <w:r w:rsidRPr="00CF32A2">
        <w:t xml:space="preserve">: Comprises operations in the Netherlands and Poland. </w:t>
      </w:r>
    </w:p>
    <w:p w14:paraId="1FC683D0" w14:textId="77777777" w:rsidR="00271E37" w:rsidRDefault="00271E37" w:rsidP="002E39D4">
      <w:r w:rsidRPr="00CF32A2">
        <w:t xml:space="preserve">• </w:t>
      </w:r>
      <w:r w:rsidRPr="003A34EA">
        <w:rPr>
          <w:b/>
        </w:rPr>
        <w:t>DG Australia</w:t>
      </w:r>
      <w:r w:rsidRPr="00CF32A2">
        <w:t xml:space="preserve">: Represents the Group’s joint venture in Australia. </w:t>
      </w:r>
    </w:p>
    <w:p w14:paraId="1DBB7ECF" w14:textId="26F810EB" w:rsidR="00271E37" w:rsidRDefault="00271E37" w:rsidP="002E39D4">
      <w:r w:rsidRPr="00CF32A2">
        <w:t xml:space="preserve">In addition, </w:t>
      </w:r>
      <w:r w:rsidRPr="003A34EA">
        <w:rPr>
          <w:b/>
        </w:rPr>
        <w:t xml:space="preserve">Central and </w:t>
      </w:r>
      <w:r w:rsidR="001C7810">
        <w:rPr>
          <w:b/>
        </w:rPr>
        <w:t>e</w:t>
      </w:r>
      <w:r w:rsidRPr="003A34EA">
        <w:rPr>
          <w:b/>
        </w:rPr>
        <w:t>liminations</w:t>
      </w:r>
      <w:r w:rsidRPr="00CF32A2">
        <w:t xml:space="preserve"> cover Group head office activities and consolidation adjustments</w:t>
      </w:r>
      <w:r w:rsidR="0089157B">
        <w:t>.</w:t>
      </w:r>
    </w:p>
    <w:p w14:paraId="3CFC802D" w14:textId="77777777" w:rsidR="00271E37" w:rsidRDefault="00271E37" w:rsidP="002E39D4"/>
    <w:p w14:paraId="3DCE01EF" w14:textId="77777777" w:rsidR="00271E37" w:rsidRDefault="00271E37" w:rsidP="002E39D4">
      <w:r>
        <w:t>Inter</w:t>
      </w:r>
      <w:r>
        <w:rPr>
          <w:rFonts w:ascii="Cambria Math" w:hAnsi="Cambria Math" w:cs="Cambria Math"/>
        </w:rPr>
        <w:t>‑</w:t>
      </w:r>
      <w:r>
        <w:t>segment pricing is determined on an arm’s length basis. Segment results include items directly attributable to a segment as well as those that can be allocated on a reasonable basis.</w:t>
      </w:r>
    </w:p>
    <w:p w14:paraId="232D0185" w14:textId="77777777" w:rsidR="00271E37" w:rsidRDefault="00271E37" w:rsidP="002E39D4"/>
    <w:p w14:paraId="10A0210A" w14:textId="77777777" w:rsidR="00271E37" w:rsidRDefault="00271E37" w:rsidP="002E39D4">
      <w:r>
        <w:t>Financial performance of each segment is measured on adjusted operating profit before management recharges. Interest and tax are managed on a Group basis and not split between reportable segments. However, the related financial liability and cash have been allocated out into the reportable segments as this is how they are managed by the Group.</w:t>
      </w:r>
    </w:p>
    <w:p w14:paraId="6A202850" w14:textId="77777777" w:rsidR="00271E37" w:rsidRDefault="00271E37" w:rsidP="002E39D4"/>
    <w:p w14:paraId="6EB7814B" w14:textId="77777777" w:rsidR="00271E37" w:rsidRDefault="00271E37" w:rsidP="002E39D4">
      <w:r>
        <w:t>Inter</w:t>
      </w:r>
      <w:r>
        <w:rPr>
          <w:rFonts w:ascii="Cambria Math" w:hAnsi="Cambria Math" w:cs="Cambria Math"/>
        </w:rPr>
        <w:t>‑</w:t>
      </w:r>
      <w:r>
        <w:t>segment receivables and payables are not included within segmental assets and liabilities as they eliminate on consolidation.</w:t>
      </w:r>
    </w:p>
    <w:tbl>
      <w:tblPr>
        <w:tblStyle w:val="tableDUL"/>
        <w:tblW w:w="12886" w:type="dxa"/>
        <w:tblLayout w:type="fixed"/>
        <w:tblLook w:val="04A0" w:firstRow="1" w:lastRow="0" w:firstColumn="1" w:lastColumn="0" w:noHBand="0" w:noVBand="1"/>
      </w:tblPr>
      <w:tblGrid>
        <w:gridCol w:w="2976"/>
        <w:gridCol w:w="420"/>
        <w:gridCol w:w="572"/>
        <w:gridCol w:w="954"/>
        <w:gridCol w:w="38"/>
        <w:gridCol w:w="783"/>
        <w:gridCol w:w="209"/>
        <w:gridCol w:w="612"/>
        <w:gridCol w:w="380"/>
        <w:gridCol w:w="441"/>
        <w:gridCol w:w="551"/>
        <w:gridCol w:w="852"/>
        <w:gridCol w:w="140"/>
        <w:gridCol w:w="992"/>
        <w:gridCol w:w="510"/>
        <w:gridCol w:w="2456"/>
      </w:tblGrid>
      <w:tr w:rsidR="00271E37" w:rsidRPr="00421E15" w14:paraId="433AE4E9" w14:textId="77777777">
        <w:trPr>
          <w:trHeight w:hRule="exact" w:val="20"/>
        </w:trPr>
        <w:tc>
          <w:tcPr>
            <w:tcW w:w="3396" w:type="dxa"/>
            <w:gridSpan w:val="2"/>
            <w:tcBorders>
              <w:top w:val="nil"/>
              <w:left w:val="nil"/>
              <w:bottom w:val="nil"/>
              <w:right w:val="nil"/>
            </w:tcBorders>
          </w:tcPr>
          <w:p w14:paraId="10E7FA3C" w14:textId="77777777" w:rsidR="00271E37" w:rsidRDefault="00271E37">
            <w:pPr>
              <w:rPr>
                <w:sz w:val="2"/>
              </w:rPr>
            </w:pPr>
            <w:bookmarkStart w:id="31" w:name="_90d544fa_c503_46c7_b24f_a9473d52c50c"/>
            <w:bookmarkStart w:id="32" w:name="_68f52762_8cc0_4dd3_b273_b3670a0d26de"/>
            <w:bookmarkEnd w:id="31"/>
          </w:p>
        </w:tc>
        <w:tc>
          <w:tcPr>
            <w:tcW w:w="1526" w:type="dxa"/>
            <w:gridSpan w:val="2"/>
            <w:tcBorders>
              <w:top w:val="nil"/>
              <w:left w:val="nil"/>
              <w:bottom w:val="nil"/>
              <w:right w:val="nil"/>
            </w:tcBorders>
          </w:tcPr>
          <w:p w14:paraId="2E777723" w14:textId="77777777" w:rsidR="00271E37" w:rsidRPr="001B4584" w:rsidRDefault="00271E37" w:rsidP="000923EA">
            <w:pPr>
              <w:rPr>
                <w:b/>
                <w:vertAlign w:val="superscript"/>
              </w:rPr>
            </w:pPr>
          </w:p>
        </w:tc>
        <w:tc>
          <w:tcPr>
            <w:tcW w:w="821" w:type="dxa"/>
            <w:gridSpan w:val="2"/>
            <w:tcBorders>
              <w:top w:val="nil"/>
              <w:left w:val="nil"/>
              <w:bottom w:val="nil"/>
              <w:right w:val="nil"/>
            </w:tcBorders>
          </w:tcPr>
          <w:p w14:paraId="38223B0E" w14:textId="77777777" w:rsidR="00271E37" w:rsidRPr="001B4584" w:rsidRDefault="00271E37" w:rsidP="000923EA">
            <w:pPr>
              <w:rPr>
                <w:b/>
                <w:vertAlign w:val="superscript"/>
              </w:rPr>
            </w:pPr>
          </w:p>
          <w:p w14:paraId="14404A8D" w14:textId="77777777" w:rsidR="00271E37" w:rsidRDefault="00271E37">
            <w:pPr>
              <w:rPr>
                <w:sz w:val="2"/>
              </w:rPr>
            </w:pPr>
          </w:p>
        </w:tc>
        <w:tc>
          <w:tcPr>
            <w:tcW w:w="821" w:type="dxa"/>
            <w:gridSpan w:val="2"/>
            <w:tcBorders>
              <w:top w:val="nil"/>
              <w:left w:val="nil"/>
              <w:bottom w:val="nil"/>
              <w:right w:val="nil"/>
            </w:tcBorders>
          </w:tcPr>
          <w:p w14:paraId="0178BB20" w14:textId="77777777" w:rsidR="00271E37" w:rsidRDefault="00271E37">
            <w:pPr>
              <w:rPr>
                <w:sz w:val="2"/>
              </w:rPr>
            </w:pPr>
          </w:p>
        </w:tc>
        <w:tc>
          <w:tcPr>
            <w:tcW w:w="821" w:type="dxa"/>
            <w:gridSpan w:val="2"/>
          </w:tcPr>
          <w:p w14:paraId="0FAF5B12" w14:textId="77777777" w:rsidR="00271E37" w:rsidRDefault="00271E37">
            <w:pPr>
              <w:rPr>
                <w:sz w:val="2"/>
              </w:rPr>
            </w:pPr>
          </w:p>
        </w:tc>
        <w:tc>
          <w:tcPr>
            <w:tcW w:w="1403" w:type="dxa"/>
            <w:gridSpan w:val="2"/>
          </w:tcPr>
          <w:p w14:paraId="55458DF7" w14:textId="77777777" w:rsidR="00271E37" w:rsidRDefault="00271E37">
            <w:pPr>
              <w:rPr>
                <w:sz w:val="2"/>
              </w:rPr>
            </w:pPr>
          </w:p>
        </w:tc>
        <w:tc>
          <w:tcPr>
            <w:tcW w:w="1642" w:type="dxa"/>
            <w:gridSpan w:val="3"/>
            <w:tcBorders>
              <w:top w:val="nil"/>
              <w:left w:val="nil"/>
              <w:bottom w:val="nil"/>
              <w:right w:val="nil"/>
            </w:tcBorders>
          </w:tcPr>
          <w:p w14:paraId="68642C8F" w14:textId="77777777" w:rsidR="00271E37" w:rsidRDefault="00271E37">
            <w:pPr>
              <w:rPr>
                <w:sz w:val="2"/>
              </w:rPr>
            </w:pPr>
          </w:p>
        </w:tc>
        <w:tc>
          <w:tcPr>
            <w:tcW w:w="2456" w:type="dxa"/>
            <w:tcBorders>
              <w:top w:val="nil"/>
              <w:left w:val="nil"/>
              <w:bottom w:val="nil"/>
              <w:right w:val="nil"/>
            </w:tcBorders>
          </w:tcPr>
          <w:p w14:paraId="660E5ACA" w14:textId="77777777" w:rsidR="00271E37" w:rsidRPr="001B4584" w:rsidRDefault="00271E37" w:rsidP="000923EA">
            <w:pPr>
              <w:rPr>
                <w:b/>
                <w:bCs/>
              </w:rPr>
            </w:pPr>
          </w:p>
          <w:p w14:paraId="4FBDE65A" w14:textId="77777777" w:rsidR="00271E37" w:rsidRDefault="00271E37">
            <w:pPr>
              <w:rPr>
                <w:sz w:val="2"/>
              </w:rPr>
            </w:pPr>
          </w:p>
        </w:tc>
      </w:tr>
      <w:tr w:rsidR="00271E37" w:rsidRPr="00421E15" w14:paraId="262FE0DD" w14:textId="77777777">
        <w:trPr>
          <w:gridAfter w:val="2"/>
          <w:wAfter w:w="2966" w:type="dxa"/>
        </w:trPr>
        <w:tc>
          <w:tcPr>
            <w:tcW w:w="2976" w:type="dxa"/>
          </w:tcPr>
          <w:p w14:paraId="456C8CCB" w14:textId="77777777" w:rsidR="00271E37" w:rsidRPr="00421E15" w:rsidRDefault="00271E37" w:rsidP="000923EA">
            <w:pPr>
              <w:jc w:val="left"/>
            </w:pPr>
            <w:r w:rsidRPr="00421E15">
              <w:t> </w:t>
            </w:r>
          </w:p>
        </w:tc>
        <w:tc>
          <w:tcPr>
            <w:tcW w:w="992" w:type="dxa"/>
            <w:gridSpan w:val="2"/>
            <w:vAlign w:val="bottom"/>
          </w:tcPr>
          <w:p w14:paraId="706232E4" w14:textId="77777777" w:rsidR="00271E37" w:rsidRPr="001B4584" w:rsidRDefault="00271E37">
            <w:pPr>
              <w:rPr>
                <w:b/>
                <w:bCs/>
              </w:rPr>
            </w:pPr>
            <w:r>
              <w:rPr>
                <w:b/>
                <w:bCs/>
              </w:rPr>
              <w:t>DG Europe</w:t>
            </w:r>
          </w:p>
        </w:tc>
        <w:tc>
          <w:tcPr>
            <w:tcW w:w="992" w:type="dxa"/>
            <w:gridSpan w:val="2"/>
            <w:vAlign w:val="bottom"/>
          </w:tcPr>
          <w:p w14:paraId="02474B4B" w14:textId="77777777" w:rsidR="00271E37" w:rsidRPr="001B4584" w:rsidRDefault="00271E37">
            <w:pPr>
              <w:rPr>
                <w:b/>
                <w:bCs/>
              </w:rPr>
            </w:pPr>
            <w:r>
              <w:rPr>
                <w:rFonts w:cs="Arial"/>
                <w:b/>
                <w:bCs/>
                <w:color w:val="000000"/>
                <w:szCs w:val="16"/>
              </w:rPr>
              <w:t>DG UK</w:t>
            </w:r>
          </w:p>
        </w:tc>
        <w:tc>
          <w:tcPr>
            <w:tcW w:w="992" w:type="dxa"/>
            <w:gridSpan w:val="2"/>
            <w:vAlign w:val="bottom"/>
          </w:tcPr>
          <w:p w14:paraId="04203678" w14:textId="77777777" w:rsidR="00271E37" w:rsidRDefault="00271E37">
            <w:pPr>
              <w:rPr>
                <w:rFonts w:cs="Arial"/>
                <w:b/>
                <w:bCs/>
                <w:color w:val="000000"/>
                <w:szCs w:val="16"/>
              </w:rPr>
            </w:pPr>
            <w:r>
              <w:rPr>
                <w:rFonts w:cs="Arial"/>
                <w:b/>
                <w:bCs/>
                <w:color w:val="000000"/>
                <w:szCs w:val="16"/>
              </w:rPr>
              <w:t>DG</w:t>
            </w:r>
          </w:p>
          <w:p w14:paraId="62D6523D" w14:textId="77777777" w:rsidR="00271E37" w:rsidRPr="00B31FA7" w:rsidRDefault="00271E37">
            <w:pPr>
              <w:rPr>
                <w:rFonts w:cs="Arial"/>
                <w:b/>
                <w:bCs/>
                <w:color w:val="000000"/>
                <w:szCs w:val="16"/>
              </w:rPr>
            </w:pPr>
            <w:r>
              <w:rPr>
                <w:rFonts w:cs="Arial"/>
                <w:b/>
                <w:bCs/>
                <w:color w:val="000000"/>
                <w:szCs w:val="16"/>
              </w:rPr>
              <w:t xml:space="preserve"> Australia</w:t>
            </w:r>
          </w:p>
        </w:tc>
        <w:tc>
          <w:tcPr>
            <w:tcW w:w="992" w:type="dxa"/>
            <w:gridSpan w:val="2"/>
          </w:tcPr>
          <w:p w14:paraId="531DEB48" w14:textId="77777777" w:rsidR="00271E37" w:rsidRDefault="00271E37">
            <w:pPr>
              <w:rPr>
                <w:b/>
                <w:bCs/>
              </w:rPr>
            </w:pPr>
          </w:p>
          <w:p w14:paraId="3DD800BF" w14:textId="77777777" w:rsidR="00271E37" w:rsidRPr="001B4584" w:rsidRDefault="00271E37" w:rsidP="000923EA">
            <w:pPr>
              <w:rPr>
                <w:b/>
                <w:bCs/>
              </w:rPr>
            </w:pPr>
            <w:r w:rsidRPr="001B4584">
              <w:rPr>
                <w:b/>
                <w:bCs/>
              </w:rPr>
              <w:t>Central and eliminations</w:t>
            </w:r>
          </w:p>
        </w:tc>
        <w:tc>
          <w:tcPr>
            <w:tcW w:w="992" w:type="dxa"/>
            <w:gridSpan w:val="2"/>
            <w:tcBorders>
              <w:bottom w:val="nil"/>
            </w:tcBorders>
          </w:tcPr>
          <w:p w14:paraId="22A18631" w14:textId="77777777" w:rsidR="00271E37" w:rsidRDefault="00271E37">
            <w:pPr>
              <w:rPr>
                <w:b/>
                <w:bCs/>
              </w:rPr>
            </w:pPr>
          </w:p>
          <w:p w14:paraId="29A5C15F" w14:textId="77777777" w:rsidR="00271E37" w:rsidRDefault="00271E37">
            <w:pPr>
              <w:rPr>
                <w:b/>
                <w:bCs/>
              </w:rPr>
            </w:pPr>
            <w:r>
              <w:rPr>
                <w:b/>
                <w:bCs/>
              </w:rPr>
              <w:t>Continuing Group</w:t>
            </w:r>
          </w:p>
        </w:tc>
        <w:tc>
          <w:tcPr>
            <w:tcW w:w="992" w:type="dxa"/>
            <w:gridSpan w:val="2"/>
            <w:tcBorders>
              <w:bottom w:val="nil"/>
            </w:tcBorders>
          </w:tcPr>
          <w:p w14:paraId="56F81C7F" w14:textId="77777777" w:rsidR="00271E37" w:rsidRDefault="00271E37">
            <w:pPr>
              <w:rPr>
                <w:b/>
                <w:bCs/>
              </w:rPr>
            </w:pPr>
          </w:p>
          <w:p w14:paraId="076A1CD1" w14:textId="77777777" w:rsidR="00271E37" w:rsidRDefault="00271E37">
            <w:pPr>
              <w:rPr>
                <w:b/>
                <w:bCs/>
              </w:rPr>
            </w:pPr>
            <w:r>
              <w:rPr>
                <w:b/>
                <w:bCs/>
              </w:rPr>
              <w:t>DG Americas</w:t>
            </w:r>
          </w:p>
        </w:tc>
        <w:tc>
          <w:tcPr>
            <w:tcW w:w="992" w:type="dxa"/>
            <w:tcBorders>
              <w:bottom w:val="nil"/>
            </w:tcBorders>
          </w:tcPr>
          <w:p w14:paraId="0CE027E4" w14:textId="77777777" w:rsidR="00271E37" w:rsidRDefault="00271E37">
            <w:pPr>
              <w:rPr>
                <w:b/>
                <w:bCs/>
              </w:rPr>
            </w:pPr>
          </w:p>
          <w:p w14:paraId="0E66FE84" w14:textId="77777777" w:rsidR="00271E37" w:rsidRPr="001B4584" w:rsidRDefault="00271E37">
            <w:pPr>
              <w:rPr>
                <w:b/>
                <w:bCs/>
              </w:rPr>
            </w:pPr>
            <w:r>
              <w:rPr>
                <w:b/>
                <w:bCs/>
              </w:rPr>
              <w:t>Total</w:t>
            </w:r>
          </w:p>
          <w:p w14:paraId="203ED9A2" w14:textId="77777777" w:rsidR="00271E37" w:rsidRPr="001B4584" w:rsidRDefault="00271E37" w:rsidP="000923EA">
            <w:pPr>
              <w:rPr>
                <w:b/>
                <w:bCs/>
              </w:rPr>
            </w:pPr>
            <w:r w:rsidRPr="001B4584">
              <w:rPr>
                <w:b/>
                <w:bCs/>
              </w:rPr>
              <w:t>Group</w:t>
            </w:r>
          </w:p>
        </w:tc>
      </w:tr>
      <w:tr w:rsidR="00271E37" w:rsidRPr="00421E15" w14:paraId="19155804" w14:textId="77777777">
        <w:trPr>
          <w:gridAfter w:val="2"/>
          <w:wAfter w:w="2966" w:type="dxa"/>
        </w:trPr>
        <w:tc>
          <w:tcPr>
            <w:tcW w:w="2976" w:type="dxa"/>
            <w:tcBorders>
              <w:bottom w:val="single" w:sz="4" w:space="0" w:color="000000" w:themeColor="text1"/>
            </w:tcBorders>
          </w:tcPr>
          <w:p w14:paraId="15D23CEE" w14:textId="77777777" w:rsidR="00271E37" w:rsidRPr="00421E15" w:rsidRDefault="00271E37" w:rsidP="000923EA">
            <w:pPr>
              <w:jc w:val="left"/>
            </w:pPr>
          </w:p>
        </w:tc>
        <w:tc>
          <w:tcPr>
            <w:tcW w:w="992" w:type="dxa"/>
            <w:gridSpan w:val="2"/>
            <w:tcBorders>
              <w:bottom w:val="single" w:sz="4" w:space="0" w:color="000000" w:themeColor="text1"/>
            </w:tcBorders>
          </w:tcPr>
          <w:p w14:paraId="3D78243E" w14:textId="77777777" w:rsidR="00271E37" w:rsidRDefault="00271E37" w:rsidP="000923EA">
            <w:pPr>
              <w:rPr>
                <w:b/>
                <w:bCs/>
              </w:rPr>
            </w:pPr>
            <w:r>
              <w:rPr>
                <w:b/>
                <w:bCs/>
              </w:rPr>
              <w:t>£</w:t>
            </w:r>
            <w:r w:rsidRPr="00DD777C">
              <w:rPr>
                <w:b/>
                <w:bCs/>
              </w:rPr>
              <w:t>000</w:t>
            </w:r>
          </w:p>
        </w:tc>
        <w:tc>
          <w:tcPr>
            <w:tcW w:w="992" w:type="dxa"/>
            <w:gridSpan w:val="2"/>
            <w:tcBorders>
              <w:bottom w:val="single" w:sz="4" w:space="0" w:color="000000" w:themeColor="text1"/>
            </w:tcBorders>
          </w:tcPr>
          <w:p w14:paraId="451337B0" w14:textId="77777777" w:rsidR="00271E37" w:rsidRPr="00DD777C" w:rsidRDefault="00271E37" w:rsidP="000923EA">
            <w:pPr>
              <w:rPr>
                <w:b/>
                <w:bCs/>
              </w:rPr>
            </w:pPr>
            <w:r>
              <w:rPr>
                <w:b/>
                <w:bCs/>
              </w:rPr>
              <w:t>£</w:t>
            </w:r>
            <w:r w:rsidRPr="00DD777C">
              <w:rPr>
                <w:b/>
                <w:bCs/>
              </w:rPr>
              <w:t>000</w:t>
            </w:r>
          </w:p>
        </w:tc>
        <w:tc>
          <w:tcPr>
            <w:tcW w:w="992" w:type="dxa"/>
            <w:gridSpan w:val="2"/>
            <w:tcBorders>
              <w:bottom w:val="single" w:sz="4" w:space="0" w:color="000000" w:themeColor="text1"/>
            </w:tcBorders>
          </w:tcPr>
          <w:p w14:paraId="0D4C3AA0" w14:textId="77777777" w:rsidR="00271E37" w:rsidRPr="00DD777C" w:rsidRDefault="00271E37" w:rsidP="000923EA">
            <w:pPr>
              <w:rPr>
                <w:b/>
                <w:bCs/>
              </w:rPr>
            </w:pPr>
            <w:r>
              <w:rPr>
                <w:b/>
                <w:bCs/>
              </w:rPr>
              <w:t>£</w:t>
            </w:r>
            <w:r w:rsidRPr="00DD777C">
              <w:rPr>
                <w:b/>
                <w:bCs/>
              </w:rPr>
              <w:t>000</w:t>
            </w:r>
          </w:p>
        </w:tc>
        <w:tc>
          <w:tcPr>
            <w:tcW w:w="992" w:type="dxa"/>
            <w:gridSpan w:val="2"/>
            <w:tcBorders>
              <w:bottom w:val="single" w:sz="4" w:space="0" w:color="000000" w:themeColor="text1"/>
            </w:tcBorders>
          </w:tcPr>
          <w:p w14:paraId="4071BDE1" w14:textId="77777777" w:rsidR="00271E37" w:rsidRPr="00DD777C" w:rsidRDefault="00271E37" w:rsidP="000923EA">
            <w:pPr>
              <w:rPr>
                <w:b/>
                <w:bCs/>
              </w:rPr>
            </w:pPr>
            <w:r>
              <w:rPr>
                <w:b/>
                <w:bCs/>
              </w:rPr>
              <w:t>£</w:t>
            </w:r>
            <w:r w:rsidRPr="00DD777C">
              <w:rPr>
                <w:b/>
                <w:bCs/>
              </w:rPr>
              <w:t>000</w:t>
            </w:r>
          </w:p>
        </w:tc>
        <w:tc>
          <w:tcPr>
            <w:tcW w:w="992" w:type="dxa"/>
            <w:gridSpan w:val="2"/>
            <w:tcBorders>
              <w:bottom w:val="single" w:sz="4" w:space="0" w:color="auto"/>
            </w:tcBorders>
          </w:tcPr>
          <w:p w14:paraId="668E2B97" w14:textId="77777777" w:rsidR="00271E37" w:rsidRDefault="00271E37">
            <w:pPr>
              <w:rPr>
                <w:b/>
                <w:bCs/>
              </w:rPr>
            </w:pPr>
            <w:r>
              <w:rPr>
                <w:b/>
                <w:bCs/>
              </w:rPr>
              <w:t>£</w:t>
            </w:r>
            <w:r w:rsidRPr="00DD777C">
              <w:rPr>
                <w:b/>
                <w:bCs/>
              </w:rPr>
              <w:t>000</w:t>
            </w:r>
          </w:p>
        </w:tc>
        <w:tc>
          <w:tcPr>
            <w:tcW w:w="992" w:type="dxa"/>
            <w:gridSpan w:val="2"/>
            <w:tcBorders>
              <w:bottom w:val="single" w:sz="4" w:space="0" w:color="auto"/>
            </w:tcBorders>
          </w:tcPr>
          <w:p w14:paraId="772B2B4D" w14:textId="77777777" w:rsidR="00271E37" w:rsidRDefault="00271E37">
            <w:pPr>
              <w:rPr>
                <w:b/>
                <w:bCs/>
              </w:rPr>
            </w:pPr>
            <w:r>
              <w:rPr>
                <w:b/>
                <w:bCs/>
              </w:rPr>
              <w:t>£</w:t>
            </w:r>
            <w:r w:rsidRPr="00DD777C">
              <w:rPr>
                <w:b/>
                <w:bCs/>
              </w:rPr>
              <w:t>000</w:t>
            </w:r>
          </w:p>
        </w:tc>
        <w:tc>
          <w:tcPr>
            <w:tcW w:w="992" w:type="dxa"/>
            <w:tcBorders>
              <w:bottom w:val="single" w:sz="4" w:space="0" w:color="auto"/>
            </w:tcBorders>
          </w:tcPr>
          <w:p w14:paraId="4E2914F2" w14:textId="77777777" w:rsidR="00271E37" w:rsidRPr="001B4584" w:rsidRDefault="00271E37" w:rsidP="000923EA">
            <w:pPr>
              <w:rPr>
                <w:b/>
                <w:bCs/>
              </w:rPr>
            </w:pPr>
            <w:r>
              <w:rPr>
                <w:b/>
                <w:bCs/>
              </w:rPr>
              <w:t>£</w:t>
            </w:r>
            <w:r w:rsidRPr="001B4584">
              <w:rPr>
                <w:b/>
                <w:bCs/>
              </w:rPr>
              <w:t>000</w:t>
            </w:r>
          </w:p>
        </w:tc>
      </w:tr>
      <w:tr w:rsidR="00271E37" w:rsidRPr="00421E15" w14:paraId="6DA7A97A" w14:textId="77777777">
        <w:trPr>
          <w:gridAfter w:val="2"/>
          <w:wAfter w:w="2966" w:type="dxa"/>
        </w:trPr>
        <w:tc>
          <w:tcPr>
            <w:tcW w:w="2976" w:type="dxa"/>
            <w:tcBorders>
              <w:top w:val="single" w:sz="4" w:space="0" w:color="000000" w:themeColor="text1"/>
            </w:tcBorders>
          </w:tcPr>
          <w:p w14:paraId="62DE4B98" w14:textId="77777777" w:rsidR="00271E37" w:rsidRPr="001B4584" w:rsidRDefault="00271E37" w:rsidP="000923EA">
            <w:pPr>
              <w:jc w:val="left"/>
              <w:rPr>
                <w:b/>
                <w:bCs/>
              </w:rPr>
            </w:pPr>
            <w:r w:rsidRPr="001B4584">
              <w:rPr>
                <w:b/>
                <w:bCs/>
              </w:rPr>
              <w:t>Year ended 31 March 202</w:t>
            </w:r>
            <w:r>
              <w:rPr>
                <w:b/>
                <w:bCs/>
              </w:rPr>
              <w:t>6</w:t>
            </w:r>
          </w:p>
        </w:tc>
        <w:tc>
          <w:tcPr>
            <w:tcW w:w="992" w:type="dxa"/>
            <w:gridSpan w:val="2"/>
            <w:tcBorders>
              <w:top w:val="single" w:sz="4" w:space="0" w:color="000000" w:themeColor="text1"/>
            </w:tcBorders>
          </w:tcPr>
          <w:p w14:paraId="050704A0" w14:textId="77777777" w:rsidR="00271E37" w:rsidRPr="00421E15" w:rsidRDefault="00271E37" w:rsidP="000923EA"/>
        </w:tc>
        <w:tc>
          <w:tcPr>
            <w:tcW w:w="992" w:type="dxa"/>
            <w:gridSpan w:val="2"/>
            <w:tcBorders>
              <w:top w:val="single" w:sz="4" w:space="0" w:color="000000" w:themeColor="text1"/>
            </w:tcBorders>
          </w:tcPr>
          <w:p w14:paraId="79493202" w14:textId="77777777" w:rsidR="00271E37" w:rsidRPr="00421E15" w:rsidRDefault="00271E37" w:rsidP="000923EA"/>
        </w:tc>
        <w:tc>
          <w:tcPr>
            <w:tcW w:w="992" w:type="dxa"/>
            <w:gridSpan w:val="2"/>
            <w:tcBorders>
              <w:top w:val="single" w:sz="4" w:space="0" w:color="000000" w:themeColor="text1"/>
            </w:tcBorders>
          </w:tcPr>
          <w:p w14:paraId="0810664C" w14:textId="77777777" w:rsidR="00271E37" w:rsidRPr="00421E15" w:rsidRDefault="00271E37" w:rsidP="000923EA"/>
        </w:tc>
        <w:tc>
          <w:tcPr>
            <w:tcW w:w="992" w:type="dxa"/>
            <w:gridSpan w:val="2"/>
            <w:tcBorders>
              <w:top w:val="single" w:sz="4" w:space="0" w:color="000000" w:themeColor="text1"/>
            </w:tcBorders>
          </w:tcPr>
          <w:p w14:paraId="783136EA" w14:textId="77777777" w:rsidR="00271E37" w:rsidRPr="00421E15" w:rsidRDefault="00271E37">
            <w:pPr>
              <w:jc w:val="center"/>
            </w:pPr>
          </w:p>
        </w:tc>
        <w:tc>
          <w:tcPr>
            <w:tcW w:w="992" w:type="dxa"/>
            <w:gridSpan w:val="2"/>
            <w:tcBorders>
              <w:top w:val="single" w:sz="4" w:space="0" w:color="auto"/>
            </w:tcBorders>
          </w:tcPr>
          <w:p w14:paraId="1314AFE3" w14:textId="77777777" w:rsidR="00271E37" w:rsidRPr="00874BE9" w:rsidRDefault="00271E37">
            <w:pPr>
              <w:jc w:val="center"/>
            </w:pPr>
          </w:p>
        </w:tc>
        <w:tc>
          <w:tcPr>
            <w:tcW w:w="992" w:type="dxa"/>
            <w:gridSpan w:val="2"/>
            <w:tcBorders>
              <w:top w:val="single" w:sz="4" w:space="0" w:color="auto"/>
            </w:tcBorders>
          </w:tcPr>
          <w:p w14:paraId="1BAC5B21" w14:textId="77777777" w:rsidR="00271E37" w:rsidRPr="001B4584" w:rsidRDefault="00271E37">
            <w:pPr>
              <w:rPr>
                <w:b/>
                <w:bCs/>
              </w:rPr>
            </w:pPr>
          </w:p>
        </w:tc>
        <w:tc>
          <w:tcPr>
            <w:tcW w:w="992" w:type="dxa"/>
            <w:tcBorders>
              <w:top w:val="single" w:sz="4" w:space="0" w:color="auto"/>
            </w:tcBorders>
          </w:tcPr>
          <w:p w14:paraId="3E30B54A" w14:textId="77777777" w:rsidR="00271E37" w:rsidRPr="001B4584" w:rsidRDefault="00271E37" w:rsidP="000923EA">
            <w:pPr>
              <w:rPr>
                <w:b/>
                <w:bCs/>
              </w:rPr>
            </w:pPr>
          </w:p>
        </w:tc>
      </w:tr>
      <w:tr w:rsidR="00271E37" w:rsidRPr="00421E15" w14:paraId="00CCD775" w14:textId="77777777">
        <w:trPr>
          <w:gridAfter w:val="2"/>
          <w:wAfter w:w="2966" w:type="dxa"/>
        </w:trPr>
        <w:tc>
          <w:tcPr>
            <w:tcW w:w="2976" w:type="dxa"/>
          </w:tcPr>
          <w:p w14:paraId="541DA61B" w14:textId="77777777" w:rsidR="00271E37" w:rsidRPr="00421E15" w:rsidRDefault="00271E37">
            <w:pPr>
              <w:jc w:val="left"/>
            </w:pPr>
            <w:r w:rsidRPr="00421E15">
              <w:t>Revenue – external</w:t>
            </w:r>
          </w:p>
        </w:tc>
        <w:tc>
          <w:tcPr>
            <w:tcW w:w="992" w:type="dxa"/>
            <w:gridSpan w:val="2"/>
            <w:vAlign w:val="center"/>
          </w:tcPr>
          <w:p w14:paraId="107A2C28" w14:textId="77777777" w:rsidR="00271E37" w:rsidRPr="00BD7771" w:rsidRDefault="00271E37">
            <w:r>
              <w:rPr>
                <w:rFonts w:cs="Arial"/>
                <w:color w:val="000000"/>
                <w:szCs w:val="16"/>
              </w:rPr>
              <w:t xml:space="preserve">102,880 </w:t>
            </w:r>
          </w:p>
        </w:tc>
        <w:tc>
          <w:tcPr>
            <w:tcW w:w="992" w:type="dxa"/>
            <w:gridSpan w:val="2"/>
            <w:vAlign w:val="center"/>
          </w:tcPr>
          <w:p w14:paraId="39FCC5E9" w14:textId="77777777" w:rsidR="00271E37" w:rsidRPr="00BD7771" w:rsidRDefault="00271E37">
            <w:r>
              <w:rPr>
                <w:rFonts w:cs="Arial"/>
                <w:color w:val="000000"/>
                <w:szCs w:val="16"/>
              </w:rPr>
              <w:t xml:space="preserve">81,460 </w:t>
            </w:r>
          </w:p>
        </w:tc>
        <w:tc>
          <w:tcPr>
            <w:tcW w:w="992" w:type="dxa"/>
            <w:gridSpan w:val="2"/>
            <w:vAlign w:val="center"/>
          </w:tcPr>
          <w:p w14:paraId="31414B25" w14:textId="77777777" w:rsidR="00271E37" w:rsidRPr="00BD7771" w:rsidRDefault="00271E37">
            <w:r>
              <w:rPr>
                <w:rFonts w:cs="Arial"/>
                <w:color w:val="000000"/>
                <w:szCs w:val="16"/>
              </w:rPr>
              <w:t xml:space="preserve">33,534 </w:t>
            </w:r>
          </w:p>
        </w:tc>
        <w:tc>
          <w:tcPr>
            <w:tcW w:w="992" w:type="dxa"/>
            <w:gridSpan w:val="2"/>
            <w:vAlign w:val="center"/>
          </w:tcPr>
          <w:p w14:paraId="30EC9991" w14:textId="77777777" w:rsidR="00271E37" w:rsidRPr="00BD7771" w:rsidRDefault="00271E37">
            <w:r>
              <w:rPr>
                <w:rFonts w:cs="Arial"/>
                <w:color w:val="000000"/>
                <w:szCs w:val="16"/>
              </w:rPr>
              <w:t xml:space="preserve"> - </w:t>
            </w:r>
          </w:p>
        </w:tc>
        <w:tc>
          <w:tcPr>
            <w:tcW w:w="992" w:type="dxa"/>
            <w:gridSpan w:val="2"/>
            <w:vAlign w:val="center"/>
          </w:tcPr>
          <w:p w14:paraId="7FCC2251" w14:textId="77777777" w:rsidR="00271E37" w:rsidRPr="00BD7771" w:rsidRDefault="00271E37">
            <w:pPr>
              <w:rPr>
                <w:b/>
                <w:bCs/>
              </w:rPr>
            </w:pPr>
            <w:r>
              <w:rPr>
                <w:rFonts w:cs="Arial"/>
                <w:b/>
                <w:bCs/>
                <w:color w:val="000000"/>
                <w:szCs w:val="16"/>
              </w:rPr>
              <w:t xml:space="preserve">217,874 </w:t>
            </w:r>
          </w:p>
        </w:tc>
        <w:tc>
          <w:tcPr>
            <w:tcW w:w="992" w:type="dxa"/>
            <w:gridSpan w:val="2"/>
            <w:vAlign w:val="center"/>
          </w:tcPr>
          <w:p w14:paraId="554D8B0A" w14:textId="77777777" w:rsidR="00271E37" w:rsidRPr="00BD7771" w:rsidRDefault="00271E37">
            <w:pPr>
              <w:rPr>
                <w:b/>
                <w:bCs/>
              </w:rPr>
            </w:pPr>
            <w:r>
              <w:rPr>
                <w:rFonts w:cs="Arial"/>
                <w:color w:val="000000"/>
                <w:szCs w:val="16"/>
              </w:rPr>
              <w:t xml:space="preserve">21,770 </w:t>
            </w:r>
          </w:p>
        </w:tc>
        <w:tc>
          <w:tcPr>
            <w:tcW w:w="992" w:type="dxa"/>
            <w:vAlign w:val="center"/>
          </w:tcPr>
          <w:p w14:paraId="1ADBE42A" w14:textId="77777777" w:rsidR="00271E37" w:rsidRPr="00BD7771" w:rsidRDefault="00271E37">
            <w:pPr>
              <w:rPr>
                <w:b/>
                <w:bCs/>
              </w:rPr>
            </w:pPr>
            <w:r>
              <w:rPr>
                <w:rFonts w:cs="Arial"/>
                <w:b/>
                <w:bCs/>
                <w:color w:val="000000"/>
                <w:szCs w:val="16"/>
              </w:rPr>
              <w:t xml:space="preserve">239,644 </w:t>
            </w:r>
          </w:p>
        </w:tc>
      </w:tr>
      <w:tr w:rsidR="00271E37" w:rsidRPr="00421E15" w14:paraId="08D3040F" w14:textId="77777777">
        <w:trPr>
          <w:gridAfter w:val="2"/>
          <w:wAfter w:w="2966" w:type="dxa"/>
        </w:trPr>
        <w:tc>
          <w:tcPr>
            <w:tcW w:w="2976" w:type="dxa"/>
            <w:tcBorders>
              <w:bottom w:val="single" w:sz="4" w:space="0" w:color="000000" w:themeColor="text1"/>
            </w:tcBorders>
          </w:tcPr>
          <w:p w14:paraId="4D725FD2" w14:textId="77777777" w:rsidR="00271E37" w:rsidRPr="00421E15" w:rsidRDefault="00271E37">
            <w:pPr>
              <w:jc w:val="left"/>
            </w:pPr>
            <w:r>
              <w:t xml:space="preserve">               </w:t>
            </w:r>
            <w:r w:rsidRPr="00421E15">
              <w:t>– inter-segment</w:t>
            </w:r>
          </w:p>
        </w:tc>
        <w:tc>
          <w:tcPr>
            <w:tcW w:w="992" w:type="dxa"/>
            <w:gridSpan w:val="2"/>
            <w:tcBorders>
              <w:bottom w:val="single" w:sz="4" w:space="0" w:color="000000" w:themeColor="text1"/>
            </w:tcBorders>
            <w:vAlign w:val="center"/>
          </w:tcPr>
          <w:p w14:paraId="37D2DD99" w14:textId="77777777" w:rsidR="00271E37" w:rsidRPr="00BD7771" w:rsidRDefault="00271E37">
            <w:r>
              <w:rPr>
                <w:rFonts w:cs="Arial"/>
                <w:color w:val="000000"/>
                <w:szCs w:val="16"/>
              </w:rPr>
              <w:t xml:space="preserve"> - </w:t>
            </w:r>
          </w:p>
        </w:tc>
        <w:tc>
          <w:tcPr>
            <w:tcW w:w="992" w:type="dxa"/>
            <w:gridSpan w:val="2"/>
            <w:tcBorders>
              <w:bottom w:val="single" w:sz="4" w:space="0" w:color="000000" w:themeColor="text1"/>
            </w:tcBorders>
            <w:vAlign w:val="center"/>
          </w:tcPr>
          <w:p w14:paraId="2F8C0183" w14:textId="77777777" w:rsidR="00271E37" w:rsidRPr="00BD7771" w:rsidRDefault="00271E37">
            <w:r>
              <w:rPr>
                <w:rFonts w:cs="Arial"/>
                <w:color w:val="000000"/>
                <w:szCs w:val="16"/>
              </w:rPr>
              <w:t xml:space="preserve">520 </w:t>
            </w:r>
          </w:p>
        </w:tc>
        <w:tc>
          <w:tcPr>
            <w:tcW w:w="992" w:type="dxa"/>
            <w:gridSpan w:val="2"/>
            <w:tcBorders>
              <w:bottom w:val="single" w:sz="4" w:space="0" w:color="000000" w:themeColor="text1"/>
            </w:tcBorders>
            <w:vAlign w:val="center"/>
          </w:tcPr>
          <w:p w14:paraId="2922CAA5" w14:textId="77777777" w:rsidR="00271E37" w:rsidRPr="00BD7771" w:rsidRDefault="00271E37">
            <w:r>
              <w:rPr>
                <w:rFonts w:cs="Arial"/>
                <w:color w:val="000000"/>
                <w:szCs w:val="16"/>
              </w:rPr>
              <w:t xml:space="preserve"> - </w:t>
            </w:r>
          </w:p>
        </w:tc>
        <w:tc>
          <w:tcPr>
            <w:tcW w:w="992" w:type="dxa"/>
            <w:gridSpan w:val="2"/>
            <w:tcBorders>
              <w:bottom w:val="single" w:sz="4" w:space="0" w:color="000000" w:themeColor="text1"/>
            </w:tcBorders>
            <w:vAlign w:val="center"/>
          </w:tcPr>
          <w:p w14:paraId="36C4DD6E" w14:textId="77777777" w:rsidR="00271E37" w:rsidRPr="00BD7771" w:rsidRDefault="00271E37">
            <w:r>
              <w:rPr>
                <w:rFonts w:cs="Arial"/>
                <w:color w:val="000000"/>
                <w:szCs w:val="16"/>
              </w:rPr>
              <w:t>(520)</w:t>
            </w:r>
          </w:p>
        </w:tc>
        <w:tc>
          <w:tcPr>
            <w:tcW w:w="992" w:type="dxa"/>
            <w:gridSpan w:val="2"/>
            <w:tcBorders>
              <w:bottom w:val="single" w:sz="4" w:space="0" w:color="auto"/>
            </w:tcBorders>
            <w:vAlign w:val="center"/>
          </w:tcPr>
          <w:p w14:paraId="396F955C" w14:textId="77777777" w:rsidR="00271E37" w:rsidRPr="00BD7771" w:rsidRDefault="00271E37">
            <w:pPr>
              <w:rPr>
                <w:b/>
                <w:bCs/>
              </w:rPr>
            </w:pPr>
            <w:r>
              <w:rPr>
                <w:rFonts w:cs="Arial"/>
                <w:b/>
                <w:bCs/>
                <w:color w:val="000000"/>
                <w:szCs w:val="16"/>
              </w:rPr>
              <w:t xml:space="preserve"> - </w:t>
            </w:r>
          </w:p>
        </w:tc>
        <w:tc>
          <w:tcPr>
            <w:tcW w:w="992" w:type="dxa"/>
            <w:gridSpan w:val="2"/>
            <w:tcBorders>
              <w:bottom w:val="single" w:sz="4" w:space="0" w:color="auto"/>
            </w:tcBorders>
            <w:vAlign w:val="center"/>
          </w:tcPr>
          <w:p w14:paraId="08C1C071" w14:textId="77777777" w:rsidR="00271E37" w:rsidRPr="00BD7771" w:rsidRDefault="00271E37">
            <w:pPr>
              <w:rPr>
                <w:b/>
                <w:bCs/>
              </w:rPr>
            </w:pPr>
            <w:r>
              <w:rPr>
                <w:rFonts w:cs="Arial"/>
                <w:color w:val="000000"/>
                <w:szCs w:val="16"/>
              </w:rPr>
              <w:t xml:space="preserve"> - </w:t>
            </w:r>
          </w:p>
        </w:tc>
        <w:tc>
          <w:tcPr>
            <w:tcW w:w="992" w:type="dxa"/>
            <w:tcBorders>
              <w:bottom w:val="single" w:sz="4" w:space="0" w:color="000000" w:themeColor="text1"/>
            </w:tcBorders>
            <w:vAlign w:val="center"/>
          </w:tcPr>
          <w:p w14:paraId="0C00769C" w14:textId="77777777" w:rsidR="00271E37" w:rsidRPr="00BD7771" w:rsidRDefault="00271E37">
            <w:pPr>
              <w:rPr>
                <w:b/>
                <w:bCs/>
              </w:rPr>
            </w:pPr>
            <w:r>
              <w:rPr>
                <w:rFonts w:cs="Arial"/>
                <w:b/>
                <w:bCs/>
                <w:color w:val="000000"/>
                <w:szCs w:val="16"/>
              </w:rPr>
              <w:t xml:space="preserve"> - </w:t>
            </w:r>
          </w:p>
        </w:tc>
      </w:tr>
      <w:tr w:rsidR="00271E37" w:rsidRPr="00421E15" w14:paraId="313DE6BA" w14:textId="77777777">
        <w:trPr>
          <w:gridAfter w:val="2"/>
          <w:wAfter w:w="2966" w:type="dxa"/>
        </w:trPr>
        <w:tc>
          <w:tcPr>
            <w:tcW w:w="2976" w:type="dxa"/>
            <w:tcBorders>
              <w:top w:val="single" w:sz="4" w:space="0" w:color="000000" w:themeColor="text1"/>
              <w:bottom w:val="none" w:sz="4" w:space="0" w:color="000000" w:themeColor="text1"/>
            </w:tcBorders>
          </w:tcPr>
          <w:p w14:paraId="224F6E92" w14:textId="77777777" w:rsidR="00271E37" w:rsidRPr="001B4584" w:rsidRDefault="00271E37">
            <w:pPr>
              <w:jc w:val="left"/>
              <w:rPr>
                <w:b/>
                <w:bCs/>
              </w:rPr>
            </w:pPr>
            <w:r w:rsidRPr="001B4584">
              <w:rPr>
                <w:b/>
                <w:bCs/>
              </w:rPr>
              <w:t>Total segment revenue</w:t>
            </w:r>
          </w:p>
        </w:tc>
        <w:tc>
          <w:tcPr>
            <w:tcW w:w="992" w:type="dxa"/>
            <w:gridSpan w:val="2"/>
            <w:tcBorders>
              <w:top w:val="single" w:sz="4" w:space="0" w:color="000000" w:themeColor="text1"/>
              <w:bottom w:val="none" w:sz="4" w:space="0" w:color="000000" w:themeColor="text1"/>
            </w:tcBorders>
            <w:vAlign w:val="center"/>
          </w:tcPr>
          <w:p w14:paraId="5C519694" w14:textId="77777777" w:rsidR="00271E37" w:rsidRPr="00BD7771" w:rsidRDefault="00271E37">
            <w:r>
              <w:rPr>
                <w:rFonts w:cs="Arial"/>
                <w:color w:val="000000"/>
                <w:szCs w:val="16"/>
              </w:rPr>
              <w:t xml:space="preserve">102,880 </w:t>
            </w:r>
          </w:p>
        </w:tc>
        <w:tc>
          <w:tcPr>
            <w:tcW w:w="992" w:type="dxa"/>
            <w:gridSpan w:val="2"/>
            <w:tcBorders>
              <w:top w:val="single" w:sz="4" w:space="0" w:color="000000" w:themeColor="text1"/>
              <w:bottom w:val="none" w:sz="4" w:space="0" w:color="000000" w:themeColor="text1"/>
            </w:tcBorders>
            <w:vAlign w:val="center"/>
          </w:tcPr>
          <w:p w14:paraId="410A86CE" w14:textId="77777777" w:rsidR="00271E37" w:rsidRPr="00BD7771" w:rsidRDefault="00271E37">
            <w:r>
              <w:rPr>
                <w:rFonts w:cs="Arial"/>
                <w:color w:val="000000"/>
                <w:szCs w:val="16"/>
              </w:rPr>
              <w:t xml:space="preserve">81,980 </w:t>
            </w:r>
          </w:p>
        </w:tc>
        <w:tc>
          <w:tcPr>
            <w:tcW w:w="992" w:type="dxa"/>
            <w:gridSpan w:val="2"/>
            <w:tcBorders>
              <w:top w:val="single" w:sz="4" w:space="0" w:color="000000" w:themeColor="text1"/>
              <w:bottom w:val="none" w:sz="4" w:space="0" w:color="000000" w:themeColor="text1"/>
            </w:tcBorders>
            <w:vAlign w:val="center"/>
          </w:tcPr>
          <w:p w14:paraId="4BE25AE9" w14:textId="77777777" w:rsidR="00271E37" w:rsidRPr="00BD7771" w:rsidRDefault="00271E37">
            <w:r>
              <w:rPr>
                <w:rFonts w:cs="Arial"/>
                <w:color w:val="000000"/>
                <w:szCs w:val="16"/>
              </w:rPr>
              <w:t xml:space="preserve">33,534 </w:t>
            </w:r>
          </w:p>
        </w:tc>
        <w:tc>
          <w:tcPr>
            <w:tcW w:w="992" w:type="dxa"/>
            <w:gridSpan w:val="2"/>
            <w:tcBorders>
              <w:top w:val="single" w:sz="4" w:space="0" w:color="000000" w:themeColor="text1"/>
              <w:bottom w:val="none" w:sz="4" w:space="0" w:color="000000" w:themeColor="text1"/>
            </w:tcBorders>
            <w:vAlign w:val="center"/>
          </w:tcPr>
          <w:p w14:paraId="45C680D3" w14:textId="77777777" w:rsidR="00271E37" w:rsidRPr="00BD7771" w:rsidRDefault="00271E37">
            <w:r>
              <w:rPr>
                <w:rFonts w:cs="Arial"/>
                <w:color w:val="000000"/>
                <w:szCs w:val="16"/>
              </w:rPr>
              <w:t>(520)</w:t>
            </w:r>
          </w:p>
        </w:tc>
        <w:tc>
          <w:tcPr>
            <w:tcW w:w="992" w:type="dxa"/>
            <w:gridSpan w:val="2"/>
            <w:tcBorders>
              <w:top w:val="single" w:sz="4" w:space="0" w:color="auto"/>
              <w:bottom w:val="single" w:sz="12" w:space="0" w:color="auto"/>
            </w:tcBorders>
            <w:vAlign w:val="center"/>
          </w:tcPr>
          <w:p w14:paraId="6B48F2DF" w14:textId="77777777" w:rsidR="00271E37" w:rsidRPr="00BD7771" w:rsidRDefault="00271E37">
            <w:pPr>
              <w:rPr>
                <w:b/>
                <w:bCs/>
              </w:rPr>
            </w:pPr>
            <w:r>
              <w:rPr>
                <w:rFonts w:cs="Arial"/>
                <w:b/>
                <w:bCs/>
                <w:color w:val="000000"/>
                <w:szCs w:val="16"/>
              </w:rPr>
              <w:t xml:space="preserve">217,874 </w:t>
            </w:r>
          </w:p>
        </w:tc>
        <w:tc>
          <w:tcPr>
            <w:tcW w:w="992" w:type="dxa"/>
            <w:gridSpan w:val="2"/>
            <w:tcBorders>
              <w:top w:val="single" w:sz="4" w:space="0" w:color="auto"/>
              <w:bottom w:val="single" w:sz="12" w:space="0" w:color="auto"/>
            </w:tcBorders>
            <w:vAlign w:val="center"/>
          </w:tcPr>
          <w:p w14:paraId="689A3524" w14:textId="77777777" w:rsidR="00271E37" w:rsidRPr="00BD7771" w:rsidRDefault="00271E37">
            <w:pPr>
              <w:rPr>
                <w:b/>
                <w:bCs/>
              </w:rPr>
            </w:pPr>
            <w:r>
              <w:rPr>
                <w:rFonts w:cs="Arial"/>
                <w:color w:val="000000"/>
                <w:szCs w:val="16"/>
              </w:rPr>
              <w:t xml:space="preserve">21,770 </w:t>
            </w:r>
          </w:p>
        </w:tc>
        <w:tc>
          <w:tcPr>
            <w:tcW w:w="992" w:type="dxa"/>
            <w:tcBorders>
              <w:top w:val="single" w:sz="4" w:space="0" w:color="000000" w:themeColor="text1"/>
              <w:bottom w:val="none" w:sz="4" w:space="0" w:color="000000" w:themeColor="text1"/>
            </w:tcBorders>
            <w:vAlign w:val="center"/>
          </w:tcPr>
          <w:p w14:paraId="7EF5A813" w14:textId="77777777" w:rsidR="00271E37" w:rsidRPr="00BD7771" w:rsidRDefault="00271E37">
            <w:pPr>
              <w:rPr>
                <w:b/>
                <w:bCs/>
              </w:rPr>
            </w:pPr>
            <w:r>
              <w:rPr>
                <w:rFonts w:cs="Arial"/>
                <w:b/>
                <w:bCs/>
                <w:color w:val="000000"/>
                <w:szCs w:val="16"/>
              </w:rPr>
              <w:t xml:space="preserve">239,644 </w:t>
            </w:r>
          </w:p>
        </w:tc>
      </w:tr>
      <w:tr w:rsidR="00271E37" w:rsidRPr="00421E15" w14:paraId="74EB3D04" w14:textId="77777777">
        <w:trPr>
          <w:gridAfter w:val="2"/>
          <w:wAfter w:w="2966" w:type="dxa"/>
        </w:trPr>
        <w:tc>
          <w:tcPr>
            <w:tcW w:w="2976" w:type="dxa"/>
            <w:tcBorders>
              <w:top w:val="single" w:sz="12" w:space="0" w:color="000000" w:themeColor="text1"/>
            </w:tcBorders>
          </w:tcPr>
          <w:p w14:paraId="2EC930EF" w14:textId="453C24A0" w:rsidR="00271E37" w:rsidRPr="001B4584" w:rsidRDefault="00271E37">
            <w:pPr>
              <w:jc w:val="left"/>
              <w:rPr>
                <w:b/>
                <w:bCs/>
              </w:rPr>
            </w:pPr>
            <w:r w:rsidRPr="001B4584">
              <w:rPr>
                <w:b/>
                <w:bCs/>
              </w:rPr>
              <w:t>Segment profit</w:t>
            </w:r>
            <w:r w:rsidR="00F26B72">
              <w:rPr>
                <w:b/>
                <w:bCs/>
              </w:rPr>
              <w:t>/(loss)</w:t>
            </w:r>
            <w:r w:rsidRPr="001B4584">
              <w:rPr>
                <w:b/>
                <w:bCs/>
              </w:rPr>
              <w:t xml:space="preserve"> before adjusting items</w:t>
            </w:r>
          </w:p>
        </w:tc>
        <w:tc>
          <w:tcPr>
            <w:tcW w:w="992" w:type="dxa"/>
            <w:gridSpan w:val="2"/>
            <w:tcBorders>
              <w:top w:val="single" w:sz="12" w:space="0" w:color="000000" w:themeColor="text1"/>
            </w:tcBorders>
            <w:vAlign w:val="center"/>
          </w:tcPr>
          <w:p w14:paraId="7766FF9C" w14:textId="77777777" w:rsidR="00271E37" w:rsidRPr="00BD7771" w:rsidRDefault="00271E37">
            <w:pPr>
              <w:rPr>
                <w:b/>
                <w:bCs/>
              </w:rPr>
            </w:pPr>
            <w:r>
              <w:rPr>
                <w:rFonts w:cs="Arial"/>
                <w:color w:val="000000"/>
                <w:szCs w:val="16"/>
              </w:rPr>
              <w:t xml:space="preserve">11,487 </w:t>
            </w:r>
          </w:p>
        </w:tc>
        <w:tc>
          <w:tcPr>
            <w:tcW w:w="992" w:type="dxa"/>
            <w:gridSpan w:val="2"/>
            <w:tcBorders>
              <w:top w:val="single" w:sz="12" w:space="0" w:color="000000" w:themeColor="text1"/>
            </w:tcBorders>
            <w:vAlign w:val="center"/>
          </w:tcPr>
          <w:p w14:paraId="45690C1E" w14:textId="77777777" w:rsidR="00271E37" w:rsidRPr="00BD7771" w:rsidRDefault="00271E37">
            <w:pPr>
              <w:rPr>
                <w:b/>
                <w:bCs/>
              </w:rPr>
            </w:pPr>
            <w:r>
              <w:rPr>
                <w:rFonts w:cs="Arial"/>
                <w:color w:val="000000"/>
                <w:szCs w:val="16"/>
              </w:rPr>
              <w:t xml:space="preserve">3,130 </w:t>
            </w:r>
          </w:p>
        </w:tc>
        <w:tc>
          <w:tcPr>
            <w:tcW w:w="992" w:type="dxa"/>
            <w:gridSpan w:val="2"/>
            <w:tcBorders>
              <w:top w:val="single" w:sz="12" w:space="0" w:color="000000" w:themeColor="text1"/>
            </w:tcBorders>
            <w:vAlign w:val="center"/>
          </w:tcPr>
          <w:p w14:paraId="6A02ABE5" w14:textId="77777777" w:rsidR="00271E37" w:rsidRPr="00BD7771" w:rsidRDefault="00271E37">
            <w:pPr>
              <w:rPr>
                <w:b/>
                <w:bCs/>
              </w:rPr>
            </w:pPr>
            <w:r>
              <w:rPr>
                <w:rFonts w:cs="Arial"/>
                <w:color w:val="000000"/>
                <w:szCs w:val="16"/>
              </w:rPr>
              <w:t xml:space="preserve">1,755 </w:t>
            </w:r>
          </w:p>
        </w:tc>
        <w:tc>
          <w:tcPr>
            <w:tcW w:w="992" w:type="dxa"/>
            <w:gridSpan w:val="2"/>
            <w:tcBorders>
              <w:top w:val="single" w:sz="12" w:space="0" w:color="000000" w:themeColor="text1"/>
            </w:tcBorders>
            <w:vAlign w:val="center"/>
          </w:tcPr>
          <w:p w14:paraId="03895799" w14:textId="77777777" w:rsidR="00271E37" w:rsidRPr="00946E77" w:rsidRDefault="00271E37">
            <w:pPr>
              <w:rPr>
                <w:b/>
                <w:bCs/>
              </w:rPr>
            </w:pPr>
            <w:r w:rsidRPr="00946E77">
              <w:rPr>
                <w:rFonts w:cs="Arial"/>
                <w:szCs w:val="16"/>
              </w:rPr>
              <w:t>(6,757)</w:t>
            </w:r>
          </w:p>
        </w:tc>
        <w:tc>
          <w:tcPr>
            <w:tcW w:w="992" w:type="dxa"/>
            <w:gridSpan w:val="2"/>
            <w:tcBorders>
              <w:top w:val="single" w:sz="12" w:space="0" w:color="auto"/>
              <w:bottom w:val="nil"/>
            </w:tcBorders>
            <w:vAlign w:val="center"/>
          </w:tcPr>
          <w:p w14:paraId="46F22F2C" w14:textId="77777777" w:rsidR="00271E37" w:rsidRPr="00946E77" w:rsidRDefault="00271E37">
            <w:pPr>
              <w:rPr>
                <w:b/>
                <w:bCs/>
              </w:rPr>
            </w:pPr>
            <w:r w:rsidRPr="00946E77">
              <w:rPr>
                <w:rFonts w:cs="Arial"/>
                <w:b/>
                <w:bCs/>
                <w:szCs w:val="16"/>
              </w:rPr>
              <w:t>9,61</w:t>
            </w:r>
            <w:r>
              <w:rPr>
                <w:rFonts w:cs="Arial"/>
                <w:b/>
                <w:bCs/>
                <w:szCs w:val="16"/>
              </w:rPr>
              <w:t>5</w:t>
            </w:r>
            <w:r w:rsidRPr="00946E77">
              <w:rPr>
                <w:rFonts w:cs="Arial"/>
                <w:b/>
                <w:bCs/>
                <w:szCs w:val="16"/>
              </w:rPr>
              <w:t xml:space="preserve"> </w:t>
            </w:r>
          </w:p>
        </w:tc>
        <w:tc>
          <w:tcPr>
            <w:tcW w:w="992" w:type="dxa"/>
            <w:gridSpan w:val="2"/>
            <w:tcBorders>
              <w:top w:val="single" w:sz="12" w:space="0" w:color="auto"/>
              <w:bottom w:val="nil"/>
            </w:tcBorders>
            <w:vAlign w:val="center"/>
          </w:tcPr>
          <w:p w14:paraId="5408735D" w14:textId="07B9AFB5" w:rsidR="00271E37" w:rsidRPr="00B8452B" w:rsidRDefault="00271E37">
            <w:pPr>
              <w:rPr>
                <w:b/>
              </w:rPr>
            </w:pPr>
            <w:r w:rsidRPr="00B8452B">
              <w:rPr>
                <w:rFonts w:cs="Arial"/>
                <w:color w:val="000000"/>
                <w:szCs w:val="16"/>
              </w:rPr>
              <w:t>(6,6</w:t>
            </w:r>
            <w:r w:rsidR="00947D6C" w:rsidRPr="00B8452B">
              <w:rPr>
                <w:rFonts w:cs="Arial"/>
                <w:color w:val="000000"/>
                <w:szCs w:val="16"/>
              </w:rPr>
              <w:t>79</w:t>
            </w:r>
            <w:r w:rsidRPr="00B8452B">
              <w:rPr>
                <w:rFonts w:cs="Arial"/>
                <w:color w:val="000000"/>
                <w:szCs w:val="16"/>
              </w:rPr>
              <w:t>)</w:t>
            </w:r>
          </w:p>
        </w:tc>
        <w:tc>
          <w:tcPr>
            <w:tcW w:w="992" w:type="dxa"/>
            <w:tcBorders>
              <w:top w:val="single" w:sz="12" w:space="0" w:color="000000" w:themeColor="text1"/>
            </w:tcBorders>
            <w:vAlign w:val="center"/>
          </w:tcPr>
          <w:p w14:paraId="633EA275" w14:textId="7996670D" w:rsidR="00271E37" w:rsidRPr="00B8452B" w:rsidRDefault="00271E37">
            <w:pPr>
              <w:rPr>
                <w:b/>
              </w:rPr>
            </w:pPr>
            <w:r w:rsidRPr="00B8452B">
              <w:rPr>
                <w:rFonts w:cs="Arial"/>
                <w:b/>
                <w:color w:val="000000"/>
                <w:szCs w:val="16"/>
              </w:rPr>
              <w:t>2,93</w:t>
            </w:r>
            <w:r w:rsidR="00947D6C" w:rsidRPr="00B8452B">
              <w:rPr>
                <w:rFonts w:cs="Arial"/>
                <w:b/>
                <w:color w:val="000000"/>
                <w:szCs w:val="16"/>
              </w:rPr>
              <w:t>6</w:t>
            </w:r>
            <w:r w:rsidRPr="00B8452B">
              <w:rPr>
                <w:rFonts w:cs="Arial"/>
                <w:b/>
                <w:color w:val="000000"/>
                <w:szCs w:val="16"/>
              </w:rPr>
              <w:t xml:space="preserve"> </w:t>
            </w:r>
          </w:p>
        </w:tc>
      </w:tr>
      <w:tr w:rsidR="00271E37" w:rsidRPr="00421E15" w14:paraId="33DBEBE9" w14:textId="77777777">
        <w:trPr>
          <w:gridAfter w:val="2"/>
          <w:wAfter w:w="2966" w:type="dxa"/>
        </w:trPr>
        <w:tc>
          <w:tcPr>
            <w:tcW w:w="2976" w:type="dxa"/>
            <w:tcBorders>
              <w:bottom w:val="single" w:sz="4" w:space="0" w:color="000000" w:themeColor="text1"/>
            </w:tcBorders>
          </w:tcPr>
          <w:p w14:paraId="7F90AC79" w14:textId="77777777" w:rsidR="00271E37" w:rsidRPr="00421E15" w:rsidRDefault="00271E37">
            <w:pPr>
              <w:jc w:val="left"/>
            </w:pPr>
            <w:r w:rsidRPr="00421E15">
              <w:t xml:space="preserve">Adjusting items (note </w:t>
            </w:r>
            <w:r>
              <w:t>1</w:t>
            </w:r>
            <w:r w:rsidRPr="00421E15">
              <w:t>)</w:t>
            </w:r>
          </w:p>
        </w:tc>
        <w:tc>
          <w:tcPr>
            <w:tcW w:w="992" w:type="dxa"/>
            <w:gridSpan w:val="2"/>
            <w:tcBorders>
              <w:bottom w:val="single" w:sz="4" w:space="0" w:color="000000" w:themeColor="text1"/>
            </w:tcBorders>
            <w:vAlign w:val="center"/>
          </w:tcPr>
          <w:p w14:paraId="6C359F0E" w14:textId="77777777" w:rsidR="00271E37" w:rsidRPr="00BD7771" w:rsidRDefault="00271E37">
            <w:r>
              <w:rPr>
                <w:rFonts w:cs="Arial"/>
                <w:color w:val="000000"/>
                <w:szCs w:val="16"/>
              </w:rPr>
              <w:t xml:space="preserve"> - </w:t>
            </w:r>
          </w:p>
        </w:tc>
        <w:tc>
          <w:tcPr>
            <w:tcW w:w="992" w:type="dxa"/>
            <w:gridSpan w:val="2"/>
            <w:tcBorders>
              <w:bottom w:val="single" w:sz="4" w:space="0" w:color="000000" w:themeColor="text1"/>
            </w:tcBorders>
            <w:vAlign w:val="center"/>
          </w:tcPr>
          <w:p w14:paraId="6023DB16" w14:textId="77777777" w:rsidR="00271E37" w:rsidRPr="00BD7771" w:rsidRDefault="00271E37">
            <w:r>
              <w:rPr>
                <w:rFonts w:cs="Arial"/>
                <w:color w:val="000000"/>
                <w:szCs w:val="16"/>
              </w:rPr>
              <w:t xml:space="preserve">2,198 </w:t>
            </w:r>
          </w:p>
        </w:tc>
        <w:tc>
          <w:tcPr>
            <w:tcW w:w="992" w:type="dxa"/>
            <w:gridSpan w:val="2"/>
            <w:tcBorders>
              <w:bottom w:val="single" w:sz="4" w:space="0" w:color="000000" w:themeColor="text1"/>
            </w:tcBorders>
            <w:vAlign w:val="center"/>
          </w:tcPr>
          <w:p w14:paraId="5A98D6B3" w14:textId="77777777" w:rsidR="00271E37" w:rsidRPr="00BD7771" w:rsidRDefault="00271E37">
            <w:r>
              <w:rPr>
                <w:rFonts w:cs="Arial"/>
                <w:color w:val="000000"/>
                <w:szCs w:val="16"/>
              </w:rPr>
              <w:t>(841)</w:t>
            </w:r>
          </w:p>
        </w:tc>
        <w:tc>
          <w:tcPr>
            <w:tcW w:w="992" w:type="dxa"/>
            <w:gridSpan w:val="2"/>
            <w:tcBorders>
              <w:bottom w:val="single" w:sz="4" w:space="0" w:color="000000" w:themeColor="text1"/>
            </w:tcBorders>
            <w:vAlign w:val="center"/>
          </w:tcPr>
          <w:p w14:paraId="34716699" w14:textId="77777777" w:rsidR="00271E37" w:rsidRPr="00BD7771" w:rsidRDefault="00271E37">
            <w:r>
              <w:t>(3,435)</w:t>
            </w:r>
          </w:p>
        </w:tc>
        <w:tc>
          <w:tcPr>
            <w:tcW w:w="992" w:type="dxa"/>
            <w:gridSpan w:val="2"/>
            <w:tcBorders>
              <w:bottom w:val="single" w:sz="4" w:space="0" w:color="auto"/>
            </w:tcBorders>
            <w:vAlign w:val="center"/>
          </w:tcPr>
          <w:p w14:paraId="7D79BFB0" w14:textId="77777777" w:rsidR="00271E37" w:rsidRPr="00BD7771" w:rsidRDefault="00271E37">
            <w:pPr>
              <w:rPr>
                <w:b/>
                <w:bCs/>
              </w:rPr>
            </w:pPr>
            <w:r>
              <w:rPr>
                <w:rFonts w:cs="Arial"/>
                <w:b/>
                <w:bCs/>
                <w:color w:val="000000"/>
                <w:szCs w:val="16"/>
              </w:rPr>
              <w:t xml:space="preserve">(2,078) </w:t>
            </w:r>
          </w:p>
        </w:tc>
        <w:tc>
          <w:tcPr>
            <w:tcW w:w="992" w:type="dxa"/>
            <w:gridSpan w:val="2"/>
            <w:tcBorders>
              <w:bottom w:val="single" w:sz="4" w:space="0" w:color="auto"/>
            </w:tcBorders>
            <w:vAlign w:val="center"/>
          </w:tcPr>
          <w:p w14:paraId="42BBC769" w14:textId="77777777" w:rsidR="00271E37" w:rsidRPr="003E398B" w:rsidRDefault="00271E37">
            <w:pPr>
              <w:rPr>
                <w:b/>
                <w:bCs/>
              </w:rPr>
            </w:pPr>
            <w:r w:rsidRPr="003E398B">
              <w:rPr>
                <w:rFonts w:cs="Arial"/>
                <w:szCs w:val="16"/>
              </w:rPr>
              <w:t>(10</w:t>
            </w:r>
            <w:r>
              <w:rPr>
                <w:rFonts w:cs="Arial"/>
                <w:szCs w:val="16"/>
              </w:rPr>
              <w:t>9</w:t>
            </w:r>
            <w:r w:rsidRPr="003E398B">
              <w:rPr>
                <w:rFonts w:cs="Arial"/>
                <w:szCs w:val="16"/>
              </w:rPr>
              <w:t>,964)</w:t>
            </w:r>
          </w:p>
        </w:tc>
        <w:tc>
          <w:tcPr>
            <w:tcW w:w="992" w:type="dxa"/>
            <w:tcBorders>
              <w:bottom w:val="single" w:sz="4" w:space="0" w:color="000000" w:themeColor="text1"/>
            </w:tcBorders>
            <w:vAlign w:val="center"/>
          </w:tcPr>
          <w:p w14:paraId="38DDE661" w14:textId="77777777" w:rsidR="00271E37" w:rsidRPr="003E398B" w:rsidRDefault="00271E37">
            <w:pPr>
              <w:rPr>
                <w:b/>
                <w:bCs/>
              </w:rPr>
            </w:pPr>
            <w:r w:rsidRPr="003E398B">
              <w:rPr>
                <w:rFonts w:cs="Arial"/>
                <w:b/>
                <w:bCs/>
                <w:szCs w:val="16"/>
              </w:rPr>
              <w:t>(1</w:t>
            </w:r>
            <w:r>
              <w:rPr>
                <w:rFonts w:cs="Arial"/>
                <w:b/>
                <w:bCs/>
                <w:szCs w:val="16"/>
              </w:rPr>
              <w:t>12</w:t>
            </w:r>
            <w:r w:rsidRPr="003E398B">
              <w:rPr>
                <w:rFonts w:cs="Arial"/>
                <w:b/>
                <w:bCs/>
                <w:szCs w:val="16"/>
              </w:rPr>
              <w:t>,</w:t>
            </w:r>
            <w:r>
              <w:rPr>
                <w:rFonts w:cs="Arial"/>
                <w:b/>
                <w:bCs/>
                <w:szCs w:val="16"/>
              </w:rPr>
              <w:t>042</w:t>
            </w:r>
            <w:r w:rsidRPr="003E398B">
              <w:rPr>
                <w:rFonts w:cs="Arial"/>
                <w:b/>
                <w:bCs/>
                <w:szCs w:val="16"/>
              </w:rPr>
              <w:t>)</w:t>
            </w:r>
          </w:p>
        </w:tc>
      </w:tr>
      <w:tr w:rsidR="00271E37" w:rsidRPr="003529E2" w14:paraId="5B4BE8EA" w14:textId="77777777">
        <w:trPr>
          <w:gridAfter w:val="2"/>
          <w:wAfter w:w="2966" w:type="dxa"/>
        </w:trPr>
        <w:tc>
          <w:tcPr>
            <w:tcW w:w="2976" w:type="dxa"/>
            <w:tcBorders>
              <w:top w:val="single" w:sz="4" w:space="0" w:color="000000" w:themeColor="text1"/>
            </w:tcBorders>
          </w:tcPr>
          <w:p w14:paraId="16F606DD" w14:textId="0C57CFED" w:rsidR="00271E37" w:rsidRPr="001B4584" w:rsidRDefault="00271E37">
            <w:pPr>
              <w:jc w:val="left"/>
              <w:rPr>
                <w:b/>
                <w:bCs/>
              </w:rPr>
            </w:pPr>
            <w:r w:rsidRPr="001B4584">
              <w:rPr>
                <w:b/>
                <w:bCs/>
              </w:rPr>
              <w:t xml:space="preserve">Operating </w:t>
            </w:r>
            <w:r w:rsidR="00006D7B">
              <w:rPr>
                <w:b/>
                <w:bCs/>
              </w:rPr>
              <w:t>profit/(loss)</w:t>
            </w:r>
          </w:p>
        </w:tc>
        <w:tc>
          <w:tcPr>
            <w:tcW w:w="992" w:type="dxa"/>
            <w:gridSpan w:val="2"/>
            <w:tcBorders>
              <w:top w:val="single" w:sz="4" w:space="0" w:color="000000" w:themeColor="text1"/>
            </w:tcBorders>
            <w:vAlign w:val="center"/>
          </w:tcPr>
          <w:p w14:paraId="77720F1E" w14:textId="77777777" w:rsidR="00271E37" w:rsidRPr="00BD7771" w:rsidRDefault="00271E37">
            <w:r>
              <w:rPr>
                <w:rFonts w:cs="Arial"/>
                <w:color w:val="000000"/>
                <w:szCs w:val="16"/>
              </w:rPr>
              <w:t xml:space="preserve">11,487 </w:t>
            </w:r>
          </w:p>
        </w:tc>
        <w:tc>
          <w:tcPr>
            <w:tcW w:w="992" w:type="dxa"/>
            <w:gridSpan w:val="2"/>
            <w:tcBorders>
              <w:top w:val="single" w:sz="4" w:space="0" w:color="000000" w:themeColor="text1"/>
            </w:tcBorders>
            <w:vAlign w:val="center"/>
          </w:tcPr>
          <w:p w14:paraId="6DBAF2FF" w14:textId="77777777" w:rsidR="00271E37" w:rsidRPr="00BD7771" w:rsidRDefault="00271E37">
            <w:r>
              <w:rPr>
                <w:rFonts w:cs="Arial"/>
                <w:color w:val="000000"/>
                <w:szCs w:val="16"/>
              </w:rPr>
              <w:t xml:space="preserve">5,328 </w:t>
            </w:r>
          </w:p>
        </w:tc>
        <w:tc>
          <w:tcPr>
            <w:tcW w:w="992" w:type="dxa"/>
            <w:gridSpan w:val="2"/>
            <w:tcBorders>
              <w:top w:val="single" w:sz="4" w:space="0" w:color="000000" w:themeColor="text1"/>
            </w:tcBorders>
            <w:vAlign w:val="center"/>
          </w:tcPr>
          <w:p w14:paraId="38091FA4" w14:textId="77777777" w:rsidR="00271E37" w:rsidRPr="00BD7771" w:rsidRDefault="00271E37">
            <w:r>
              <w:rPr>
                <w:rFonts w:cs="Arial"/>
                <w:color w:val="000000"/>
                <w:szCs w:val="16"/>
              </w:rPr>
              <w:t xml:space="preserve">914 </w:t>
            </w:r>
          </w:p>
        </w:tc>
        <w:tc>
          <w:tcPr>
            <w:tcW w:w="992" w:type="dxa"/>
            <w:gridSpan w:val="2"/>
            <w:tcBorders>
              <w:top w:val="single" w:sz="4" w:space="0" w:color="000000" w:themeColor="text1"/>
            </w:tcBorders>
            <w:vAlign w:val="center"/>
          </w:tcPr>
          <w:p w14:paraId="510FABEC" w14:textId="77777777" w:rsidR="00271E37" w:rsidRPr="00BD7771" w:rsidRDefault="00271E37">
            <w:r>
              <w:rPr>
                <w:rFonts w:cs="Arial"/>
                <w:color w:val="000000"/>
                <w:szCs w:val="16"/>
              </w:rPr>
              <w:t>(10,192)</w:t>
            </w:r>
          </w:p>
        </w:tc>
        <w:tc>
          <w:tcPr>
            <w:tcW w:w="992" w:type="dxa"/>
            <w:gridSpan w:val="2"/>
            <w:tcBorders>
              <w:top w:val="single" w:sz="4" w:space="0" w:color="auto"/>
            </w:tcBorders>
            <w:vAlign w:val="center"/>
          </w:tcPr>
          <w:p w14:paraId="6143524D" w14:textId="77777777" w:rsidR="00271E37" w:rsidRPr="00BD7771" w:rsidRDefault="00271E37">
            <w:pPr>
              <w:rPr>
                <w:b/>
                <w:bCs/>
              </w:rPr>
            </w:pPr>
            <w:r>
              <w:rPr>
                <w:rFonts w:cs="Arial"/>
                <w:b/>
                <w:bCs/>
                <w:color w:val="000000"/>
                <w:szCs w:val="16"/>
              </w:rPr>
              <w:t xml:space="preserve">7,537 </w:t>
            </w:r>
          </w:p>
        </w:tc>
        <w:tc>
          <w:tcPr>
            <w:tcW w:w="992" w:type="dxa"/>
            <w:gridSpan w:val="2"/>
            <w:tcBorders>
              <w:top w:val="single" w:sz="4" w:space="0" w:color="auto"/>
            </w:tcBorders>
            <w:vAlign w:val="center"/>
          </w:tcPr>
          <w:p w14:paraId="6EB93E71" w14:textId="19FC55AF" w:rsidR="00271E37" w:rsidRPr="00B8452B" w:rsidRDefault="00271E37">
            <w:pPr>
              <w:rPr>
                <w:b/>
              </w:rPr>
            </w:pPr>
            <w:r w:rsidRPr="00B8452B">
              <w:rPr>
                <w:rFonts w:cs="Arial"/>
                <w:color w:val="000000"/>
                <w:szCs w:val="16"/>
              </w:rPr>
              <w:t>(116,64</w:t>
            </w:r>
            <w:r w:rsidR="0058276F" w:rsidRPr="00B8452B">
              <w:rPr>
                <w:rFonts w:cs="Arial"/>
                <w:color w:val="000000"/>
                <w:szCs w:val="16"/>
              </w:rPr>
              <w:t>3</w:t>
            </w:r>
            <w:r w:rsidRPr="00B8452B">
              <w:rPr>
                <w:rFonts w:cs="Arial"/>
                <w:color w:val="000000"/>
                <w:szCs w:val="16"/>
              </w:rPr>
              <w:t>)</w:t>
            </w:r>
          </w:p>
        </w:tc>
        <w:tc>
          <w:tcPr>
            <w:tcW w:w="992" w:type="dxa"/>
            <w:tcBorders>
              <w:top w:val="single" w:sz="4" w:space="0" w:color="000000" w:themeColor="text1"/>
            </w:tcBorders>
            <w:vAlign w:val="center"/>
          </w:tcPr>
          <w:p w14:paraId="539D7986" w14:textId="006FED13" w:rsidR="00271E37" w:rsidRPr="00B8452B" w:rsidRDefault="00271E37">
            <w:pPr>
              <w:rPr>
                <w:b/>
              </w:rPr>
            </w:pPr>
            <w:r w:rsidRPr="00B8452B">
              <w:rPr>
                <w:rFonts w:cs="Arial"/>
                <w:b/>
                <w:color w:val="000000"/>
                <w:szCs w:val="16"/>
              </w:rPr>
              <w:t>(109,10</w:t>
            </w:r>
            <w:r w:rsidR="003529E2" w:rsidRPr="00B8452B">
              <w:rPr>
                <w:rFonts w:cs="Arial"/>
                <w:b/>
                <w:color w:val="000000"/>
                <w:szCs w:val="16"/>
              </w:rPr>
              <w:t>6</w:t>
            </w:r>
            <w:r w:rsidRPr="00B8452B">
              <w:rPr>
                <w:rFonts w:cs="Arial"/>
                <w:b/>
                <w:color w:val="000000"/>
                <w:szCs w:val="16"/>
              </w:rPr>
              <w:t>)</w:t>
            </w:r>
          </w:p>
        </w:tc>
      </w:tr>
      <w:tr w:rsidR="00271E37" w:rsidRPr="00421E15" w14:paraId="6E8BE6EB" w14:textId="77777777">
        <w:trPr>
          <w:gridAfter w:val="2"/>
          <w:wAfter w:w="2966" w:type="dxa"/>
        </w:trPr>
        <w:tc>
          <w:tcPr>
            <w:tcW w:w="2976" w:type="dxa"/>
          </w:tcPr>
          <w:p w14:paraId="0A332DAE" w14:textId="77777777" w:rsidR="00271E37" w:rsidRPr="00421E15" w:rsidRDefault="00271E37">
            <w:pPr>
              <w:jc w:val="left"/>
            </w:pPr>
            <w:r w:rsidRPr="00421E15">
              <w:t>Finance income</w:t>
            </w:r>
          </w:p>
        </w:tc>
        <w:tc>
          <w:tcPr>
            <w:tcW w:w="992" w:type="dxa"/>
            <w:gridSpan w:val="2"/>
            <w:vAlign w:val="center"/>
          </w:tcPr>
          <w:p w14:paraId="686C296D" w14:textId="77777777" w:rsidR="00271E37" w:rsidRPr="00BD7771" w:rsidRDefault="00271E37"/>
        </w:tc>
        <w:tc>
          <w:tcPr>
            <w:tcW w:w="992" w:type="dxa"/>
            <w:gridSpan w:val="2"/>
            <w:vAlign w:val="center"/>
          </w:tcPr>
          <w:p w14:paraId="187E23CD" w14:textId="77777777" w:rsidR="00271E37" w:rsidRPr="00BD7771" w:rsidRDefault="00271E37"/>
        </w:tc>
        <w:tc>
          <w:tcPr>
            <w:tcW w:w="992" w:type="dxa"/>
            <w:gridSpan w:val="2"/>
            <w:vAlign w:val="center"/>
          </w:tcPr>
          <w:p w14:paraId="3A3023D9" w14:textId="77777777" w:rsidR="00271E37" w:rsidRPr="00BD7771" w:rsidRDefault="00271E37"/>
        </w:tc>
        <w:tc>
          <w:tcPr>
            <w:tcW w:w="992" w:type="dxa"/>
            <w:gridSpan w:val="2"/>
            <w:vAlign w:val="center"/>
          </w:tcPr>
          <w:p w14:paraId="63DC1465" w14:textId="77777777" w:rsidR="00271E37" w:rsidRPr="00BD7771" w:rsidRDefault="00271E37"/>
        </w:tc>
        <w:tc>
          <w:tcPr>
            <w:tcW w:w="992" w:type="dxa"/>
            <w:gridSpan w:val="2"/>
            <w:vAlign w:val="center"/>
          </w:tcPr>
          <w:p w14:paraId="0D075B5C" w14:textId="77777777" w:rsidR="00271E37" w:rsidRPr="00BD7771" w:rsidRDefault="00271E37">
            <w:pPr>
              <w:rPr>
                <w:b/>
                <w:bCs/>
              </w:rPr>
            </w:pPr>
            <w:r>
              <w:rPr>
                <w:rFonts w:cs="Arial"/>
                <w:b/>
                <w:bCs/>
                <w:color w:val="000000"/>
                <w:szCs w:val="16"/>
              </w:rPr>
              <w:t xml:space="preserve">772 </w:t>
            </w:r>
          </w:p>
        </w:tc>
        <w:tc>
          <w:tcPr>
            <w:tcW w:w="992" w:type="dxa"/>
            <w:gridSpan w:val="2"/>
            <w:vAlign w:val="center"/>
          </w:tcPr>
          <w:p w14:paraId="6E4884C7" w14:textId="77777777" w:rsidR="00271E37" w:rsidRPr="00BD7771" w:rsidRDefault="00271E37">
            <w:pPr>
              <w:rPr>
                <w:b/>
                <w:bCs/>
              </w:rPr>
            </w:pPr>
            <w:r>
              <w:rPr>
                <w:rFonts w:cs="Arial"/>
                <w:color w:val="000000"/>
                <w:szCs w:val="16"/>
              </w:rPr>
              <w:t xml:space="preserve">65 </w:t>
            </w:r>
          </w:p>
        </w:tc>
        <w:tc>
          <w:tcPr>
            <w:tcW w:w="992" w:type="dxa"/>
            <w:vAlign w:val="center"/>
          </w:tcPr>
          <w:p w14:paraId="6F1AB483" w14:textId="77777777" w:rsidR="00271E37" w:rsidRPr="00BD7771" w:rsidRDefault="00271E37">
            <w:pPr>
              <w:rPr>
                <w:b/>
                <w:bCs/>
              </w:rPr>
            </w:pPr>
            <w:r>
              <w:rPr>
                <w:rFonts w:cs="Arial"/>
                <w:b/>
                <w:bCs/>
                <w:color w:val="000000"/>
                <w:szCs w:val="16"/>
              </w:rPr>
              <w:t xml:space="preserve">837 </w:t>
            </w:r>
          </w:p>
        </w:tc>
      </w:tr>
      <w:tr w:rsidR="00271E37" w:rsidRPr="00421E15" w14:paraId="44962FB9" w14:textId="77777777">
        <w:trPr>
          <w:gridAfter w:val="2"/>
          <w:wAfter w:w="2966" w:type="dxa"/>
        </w:trPr>
        <w:tc>
          <w:tcPr>
            <w:tcW w:w="2976" w:type="dxa"/>
            <w:tcBorders>
              <w:bottom w:val="nil"/>
            </w:tcBorders>
          </w:tcPr>
          <w:p w14:paraId="0826C3C7" w14:textId="77777777" w:rsidR="00271E37" w:rsidRPr="00421E15" w:rsidRDefault="00271E37">
            <w:pPr>
              <w:jc w:val="left"/>
            </w:pPr>
            <w:r w:rsidRPr="00421E15">
              <w:t>Finance costs</w:t>
            </w:r>
          </w:p>
        </w:tc>
        <w:tc>
          <w:tcPr>
            <w:tcW w:w="992" w:type="dxa"/>
            <w:gridSpan w:val="2"/>
            <w:tcBorders>
              <w:bottom w:val="nil"/>
            </w:tcBorders>
            <w:vAlign w:val="center"/>
          </w:tcPr>
          <w:p w14:paraId="52316D41" w14:textId="77777777" w:rsidR="00271E37" w:rsidRPr="00BD7771" w:rsidRDefault="00271E37"/>
        </w:tc>
        <w:tc>
          <w:tcPr>
            <w:tcW w:w="992" w:type="dxa"/>
            <w:gridSpan w:val="2"/>
            <w:tcBorders>
              <w:bottom w:val="nil"/>
            </w:tcBorders>
            <w:vAlign w:val="center"/>
          </w:tcPr>
          <w:p w14:paraId="4D3926C9" w14:textId="77777777" w:rsidR="00271E37" w:rsidRPr="00BD7771" w:rsidRDefault="00271E37"/>
        </w:tc>
        <w:tc>
          <w:tcPr>
            <w:tcW w:w="992" w:type="dxa"/>
            <w:gridSpan w:val="2"/>
            <w:tcBorders>
              <w:bottom w:val="nil"/>
            </w:tcBorders>
            <w:vAlign w:val="center"/>
          </w:tcPr>
          <w:p w14:paraId="2491D47F" w14:textId="77777777" w:rsidR="00271E37" w:rsidRPr="00BD7771" w:rsidRDefault="00271E37"/>
        </w:tc>
        <w:tc>
          <w:tcPr>
            <w:tcW w:w="992" w:type="dxa"/>
            <w:gridSpan w:val="2"/>
            <w:tcBorders>
              <w:bottom w:val="nil"/>
            </w:tcBorders>
            <w:vAlign w:val="center"/>
          </w:tcPr>
          <w:p w14:paraId="0991E00F" w14:textId="77777777" w:rsidR="00271E37" w:rsidRPr="00BD7771" w:rsidRDefault="00271E37"/>
        </w:tc>
        <w:tc>
          <w:tcPr>
            <w:tcW w:w="992" w:type="dxa"/>
            <w:gridSpan w:val="2"/>
            <w:tcBorders>
              <w:bottom w:val="nil"/>
            </w:tcBorders>
            <w:vAlign w:val="center"/>
          </w:tcPr>
          <w:p w14:paraId="3C4D63B6" w14:textId="77777777" w:rsidR="00271E37" w:rsidRPr="00BD7771" w:rsidRDefault="00271E37">
            <w:pPr>
              <w:rPr>
                <w:b/>
                <w:bCs/>
              </w:rPr>
            </w:pPr>
            <w:r>
              <w:rPr>
                <w:rFonts w:cs="Arial"/>
                <w:b/>
                <w:bCs/>
                <w:color w:val="000000"/>
                <w:szCs w:val="16"/>
              </w:rPr>
              <w:t>(1,970)</w:t>
            </w:r>
          </w:p>
        </w:tc>
        <w:tc>
          <w:tcPr>
            <w:tcW w:w="992" w:type="dxa"/>
            <w:gridSpan w:val="2"/>
            <w:tcBorders>
              <w:bottom w:val="nil"/>
            </w:tcBorders>
            <w:vAlign w:val="center"/>
          </w:tcPr>
          <w:p w14:paraId="7FF702CC" w14:textId="77777777" w:rsidR="00271E37" w:rsidRPr="00BD7771" w:rsidRDefault="00271E37">
            <w:pPr>
              <w:rPr>
                <w:b/>
                <w:bCs/>
              </w:rPr>
            </w:pPr>
            <w:r>
              <w:rPr>
                <w:rFonts w:cs="Arial"/>
                <w:color w:val="000000"/>
                <w:szCs w:val="16"/>
              </w:rPr>
              <w:t>(993)</w:t>
            </w:r>
          </w:p>
        </w:tc>
        <w:tc>
          <w:tcPr>
            <w:tcW w:w="992" w:type="dxa"/>
            <w:tcBorders>
              <w:bottom w:val="nil"/>
            </w:tcBorders>
            <w:vAlign w:val="center"/>
          </w:tcPr>
          <w:p w14:paraId="42334977" w14:textId="77777777" w:rsidR="00271E37" w:rsidRPr="00BD7771" w:rsidRDefault="00271E37">
            <w:pPr>
              <w:rPr>
                <w:b/>
                <w:bCs/>
              </w:rPr>
            </w:pPr>
            <w:r>
              <w:rPr>
                <w:rFonts w:cs="Arial"/>
                <w:b/>
                <w:bCs/>
                <w:color w:val="000000"/>
                <w:szCs w:val="16"/>
              </w:rPr>
              <w:t>(2,963)</w:t>
            </w:r>
          </w:p>
        </w:tc>
      </w:tr>
      <w:tr w:rsidR="00271E37" w:rsidRPr="003529E2" w14:paraId="06DFDDA3" w14:textId="77777777">
        <w:trPr>
          <w:gridAfter w:val="2"/>
          <w:wAfter w:w="2966" w:type="dxa"/>
        </w:trPr>
        <w:tc>
          <w:tcPr>
            <w:tcW w:w="2976" w:type="dxa"/>
            <w:tcBorders>
              <w:bottom w:val="nil"/>
            </w:tcBorders>
          </w:tcPr>
          <w:p w14:paraId="50B1AFB6" w14:textId="77777777" w:rsidR="00271E37" w:rsidRPr="00421E15" w:rsidRDefault="00271E37">
            <w:pPr>
              <w:jc w:val="left"/>
            </w:pPr>
            <w:r w:rsidRPr="00421E15">
              <w:t>Income tax</w:t>
            </w:r>
          </w:p>
        </w:tc>
        <w:tc>
          <w:tcPr>
            <w:tcW w:w="992" w:type="dxa"/>
            <w:gridSpan w:val="2"/>
            <w:tcBorders>
              <w:bottom w:val="nil"/>
            </w:tcBorders>
            <w:vAlign w:val="center"/>
          </w:tcPr>
          <w:p w14:paraId="4BAEBB59" w14:textId="77777777" w:rsidR="00271E37" w:rsidRPr="00BD7771" w:rsidRDefault="00271E37"/>
        </w:tc>
        <w:tc>
          <w:tcPr>
            <w:tcW w:w="992" w:type="dxa"/>
            <w:gridSpan w:val="2"/>
            <w:tcBorders>
              <w:bottom w:val="nil"/>
            </w:tcBorders>
            <w:vAlign w:val="center"/>
          </w:tcPr>
          <w:p w14:paraId="09562432" w14:textId="77777777" w:rsidR="00271E37" w:rsidRPr="00BD7771" w:rsidRDefault="00271E37"/>
        </w:tc>
        <w:tc>
          <w:tcPr>
            <w:tcW w:w="992" w:type="dxa"/>
            <w:gridSpan w:val="2"/>
            <w:tcBorders>
              <w:bottom w:val="nil"/>
            </w:tcBorders>
            <w:vAlign w:val="center"/>
          </w:tcPr>
          <w:p w14:paraId="48B743FE" w14:textId="77777777" w:rsidR="00271E37" w:rsidRPr="00BD7771" w:rsidRDefault="00271E37"/>
        </w:tc>
        <w:tc>
          <w:tcPr>
            <w:tcW w:w="992" w:type="dxa"/>
            <w:gridSpan w:val="2"/>
            <w:tcBorders>
              <w:bottom w:val="nil"/>
            </w:tcBorders>
            <w:vAlign w:val="center"/>
          </w:tcPr>
          <w:p w14:paraId="39B83919" w14:textId="77777777" w:rsidR="00271E37" w:rsidRPr="00BD7771" w:rsidRDefault="00271E37"/>
        </w:tc>
        <w:tc>
          <w:tcPr>
            <w:tcW w:w="992" w:type="dxa"/>
            <w:gridSpan w:val="2"/>
            <w:tcBorders>
              <w:bottom w:val="nil"/>
            </w:tcBorders>
            <w:vAlign w:val="center"/>
          </w:tcPr>
          <w:p w14:paraId="6B73350B" w14:textId="77777777" w:rsidR="00271E37" w:rsidRPr="00BD7771" w:rsidRDefault="00271E37">
            <w:pPr>
              <w:rPr>
                <w:b/>
                <w:bCs/>
              </w:rPr>
            </w:pPr>
            <w:r>
              <w:rPr>
                <w:rFonts w:cs="Arial"/>
                <w:b/>
                <w:bCs/>
                <w:color w:val="000000"/>
                <w:szCs w:val="16"/>
              </w:rPr>
              <w:t>(989)</w:t>
            </w:r>
          </w:p>
        </w:tc>
        <w:tc>
          <w:tcPr>
            <w:tcW w:w="992" w:type="dxa"/>
            <w:gridSpan w:val="2"/>
            <w:tcBorders>
              <w:bottom w:val="nil"/>
            </w:tcBorders>
            <w:vAlign w:val="center"/>
          </w:tcPr>
          <w:p w14:paraId="3DC6D358" w14:textId="60E6A4DA" w:rsidR="00271E37" w:rsidRPr="00B8452B" w:rsidRDefault="00271E37">
            <w:pPr>
              <w:rPr>
                <w:b/>
              </w:rPr>
            </w:pPr>
            <w:r w:rsidRPr="00B8452B">
              <w:rPr>
                <w:rFonts w:cs="Arial"/>
                <w:color w:val="000000"/>
                <w:szCs w:val="16"/>
              </w:rPr>
              <w:t>(9</w:t>
            </w:r>
            <w:r w:rsidR="00D67D0A" w:rsidRPr="00B8452B">
              <w:rPr>
                <w:rFonts w:cs="Arial"/>
                <w:color w:val="000000"/>
                <w:szCs w:val="16"/>
              </w:rPr>
              <w:t>6</w:t>
            </w:r>
            <w:r w:rsidRPr="00B8452B">
              <w:rPr>
                <w:rFonts w:cs="Arial"/>
                <w:color w:val="000000"/>
                <w:szCs w:val="16"/>
              </w:rPr>
              <w:t>)</w:t>
            </w:r>
          </w:p>
        </w:tc>
        <w:tc>
          <w:tcPr>
            <w:tcW w:w="992" w:type="dxa"/>
            <w:tcBorders>
              <w:bottom w:val="nil"/>
            </w:tcBorders>
            <w:vAlign w:val="center"/>
          </w:tcPr>
          <w:p w14:paraId="0FA6A3A0" w14:textId="0B4F2CD2" w:rsidR="00271E37" w:rsidRPr="00B8452B" w:rsidRDefault="00271E37">
            <w:pPr>
              <w:rPr>
                <w:b/>
              </w:rPr>
            </w:pPr>
            <w:r w:rsidRPr="00B8452B">
              <w:rPr>
                <w:rFonts w:cs="Arial"/>
                <w:b/>
                <w:color w:val="000000"/>
                <w:szCs w:val="16"/>
              </w:rPr>
              <w:t>(1,08</w:t>
            </w:r>
            <w:r w:rsidR="003529E2" w:rsidRPr="00B8452B">
              <w:rPr>
                <w:rFonts w:cs="Arial"/>
                <w:b/>
                <w:color w:val="000000"/>
                <w:szCs w:val="16"/>
              </w:rPr>
              <w:t>5</w:t>
            </w:r>
            <w:r w:rsidRPr="00B8452B">
              <w:rPr>
                <w:rFonts w:cs="Arial"/>
                <w:b/>
                <w:color w:val="000000"/>
                <w:szCs w:val="16"/>
              </w:rPr>
              <w:t>)</w:t>
            </w:r>
          </w:p>
        </w:tc>
      </w:tr>
      <w:tr w:rsidR="00271E37" w:rsidRPr="00421E15" w14:paraId="02711BA9" w14:textId="77777777">
        <w:trPr>
          <w:gridAfter w:val="2"/>
          <w:wAfter w:w="2966" w:type="dxa"/>
        </w:trPr>
        <w:tc>
          <w:tcPr>
            <w:tcW w:w="2976" w:type="dxa"/>
            <w:tcBorders>
              <w:top w:val="single" w:sz="4" w:space="0" w:color="000000" w:themeColor="text1"/>
              <w:bottom w:val="single" w:sz="4" w:space="0" w:color="000000" w:themeColor="text1"/>
            </w:tcBorders>
          </w:tcPr>
          <w:p w14:paraId="554665A5" w14:textId="14E60CA1" w:rsidR="00271E37" w:rsidRPr="001B4584" w:rsidRDefault="00D8248F">
            <w:pPr>
              <w:jc w:val="left"/>
              <w:rPr>
                <w:b/>
                <w:bCs/>
              </w:rPr>
            </w:pPr>
            <w:r>
              <w:rPr>
                <w:b/>
                <w:bCs/>
              </w:rPr>
              <w:t>Profit/(l</w:t>
            </w:r>
            <w:r w:rsidR="00271E37">
              <w:rPr>
                <w:b/>
                <w:bCs/>
              </w:rPr>
              <w:t>oss</w:t>
            </w:r>
            <w:r>
              <w:rPr>
                <w:b/>
                <w:bCs/>
              </w:rPr>
              <w:t>)</w:t>
            </w:r>
            <w:r w:rsidR="00271E37" w:rsidRPr="001B4584">
              <w:rPr>
                <w:b/>
                <w:bCs/>
              </w:rPr>
              <w:t xml:space="preserve"> for the year ended 31 March 202</w:t>
            </w:r>
            <w:r w:rsidR="00271E37">
              <w:rPr>
                <w:b/>
                <w:bCs/>
              </w:rPr>
              <w:t>6</w:t>
            </w:r>
          </w:p>
        </w:tc>
        <w:tc>
          <w:tcPr>
            <w:tcW w:w="992" w:type="dxa"/>
            <w:gridSpan w:val="2"/>
            <w:tcBorders>
              <w:top w:val="single" w:sz="4" w:space="0" w:color="000000" w:themeColor="text1"/>
              <w:bottom w:val="single" w:sz="4" w:space="0" w:color="000000" w:themeColor="text1"/>
            </w:tcBorders>
            <w:vAlign w:val="center"/>
          </w:tcPr>
          <w:p w14:paraId="08B643F6" w14:textId="77777777" w:rsidR="00271E37" w:rsidRPr="00BD7771" w:rsidRDefault="00271E37">
            <w:r>
              <w:rPr>
                <w:rFonts w:cs="Arial"/>
                <w:color w:val="000000"/>
                <w:szCs w:val="16"/>
              </w:rPr>
              <w:t> </w:t>
            </w:r>
          </w:p>
        </w:tc>
        <w:tc>
          <w:tcPr>
            <w:tcW w:w="992" w:type="dxa"/>
            <w:gridSpan w:val="2"/>
            <w:tcBorders>
              <w:top w:val="single" w:sz="4" w:space="0" w:color="000000" w:themeColor="text1"/>
              <w:bottom w:val="single" w:sz="4" w:space="0" w:color="000000" w:themeColor="text1"/>
            </w:tcBorders>
            <w:vAlign w:val="center"/>
          </w:tcPr>
          <w:p w14:paraId="5359DFC0" w14:textId="77777777" w:rsidR="00271E37" w:rsidRPr="00BD7771" w:rsidRDefault="00271E37">
            <w:r>
              <w:rPr>
                <w:rFonts w:cs="Arial"/>
                <w:color w:val="000000"/>
                <w:szCs w:val="16"/>
              </w:rPr>
              <w:t> </w:t>
            </w:r>
          </w:p>
        </w:tc>
        <w:tc>
          <w:tcPr>
            <w:tcW w:w="992" w:type="dxa"/>
            <w:gridSpan w:val="2"/>
            <w:tcBorders>
              <w:top w:val="single" w:sz="4" w:space="0" w:color="000000" w:themeColor="text1"/>
              <w:bottom w:val="single" w:sz="4" w:space="0" w:color="000000" w:themeColor="text1"/>
            </w:tcBorders>
            <w:vAlign w:val="center"/>
          </w:tcPr>
          <w:p w14:paraId="39E9A91C" w14:textId="77777777" w:rsidR="00271E37" w:rsidRPr="00BD7771" w:rsidRDefault="00271E37">
            <w:r>
              <w:rPr>
                <w:rFonts w:cs="Arial"/>
                <w:color w:val="000000"/>
                <w:szCs w:val="16"/>
              </w:rPr>
              <w:t> </w:t>
            </w:r>
          </w:p>
        </w:tc>
        <w:tc>
          <w:tcPr>
            <w:tcW w:w="992" w:type="dxa"/>
            <w:gridSpan w:val="2"/>
            <w:tcBorders>
              <w:top w:val="single" w:sz="4" w:space="0" w:color="000000" w:themeColor="text1"/>
              <w:bottom w:val="single" w:sz="4" w:space="0" w:color="000000" w:themeColor="text1"/>
            </w:tcBorders>
            <w:vAlign w:val="center"/>
          </w:tcPr>
          <w:p w14:paraId="54096146" w14:textId="77777777" w:rsidR="00271E37" w:rsidRPr="00BD7771" w:rsidRDefault="00271E37">
            <w:r>
              <w:rPr>
                <w:rFonts w:cs="Arial"/>
                <w:color w:val="000000"/>
                <w:szCs w:val="16"/>
              </w:rPr>
              <w:t> </w:t>
            </w:r>
          </w:p>
        </w:tc>
        <w:tc>
          <w:tcPr>
            <w:tcW w:w="992" w:type="dxa"/>
            <w:gridSpan w:val="2"/>
            <w:tcBorders>
              <w:top w:val="single" w:sz="4" w:space="0" w:color="auto"/>
              <w:bottom w:val="single" w:sz="4" w:space="0" w:color="auto"/>
            </w:tcBorders>
            <w:vAlign w:val="center"/>
          </w:tcPr>
          <w:p w14:paraId="06E5ACED" w14:textId="77777777" w:rsidR="00271E37" w:rsidRPr="00BD7771" w:rsidRDefault="00271E37">
            <w:pPr>
              <w:rPr>
                <w:b/>
                <w:bCs/>
              </w:rPr>
            </w:pPr>
            <w:r>
              <w:rPr>
                <w:rFonts w:cs="Arial"/>
                <w:b/>
                <w:bCs/>
                <w:color w:val="000000"/>
                <w:szCs w:val="16"/>
              </w:rPr>
              <w:t xml:space="preserve">5,350 </w:t>
            </w:r>
          </w:p>
        </w:tc>
        <w:tc>
          <w:tcPr>
            <w:tcW w:w="992" w:type="dxa"/>
            <w:gridSpan w:val="2"/>
            <w:tcBorders>
              <w:top w:val="single" w:sz="4" w:space="0" w:color="auto"/>
              <w:bottom w:val="single" w:sz="4" w:space="0" w:color="auto"/>
            </w:tcBorders>
            <w:vAlign w:val="center"/>
          </w:tcPr>
          <w:p w14:paraId="3427A231" w14:textId="77777777" w:rsidR="00271E37" w:rsidRPr="00BD7771" w:rsidRDefault="00271E37">
            <w:pPr>
              <w:rPr>
                <w:b/>
                <w:bCs/>
              </w:rPr>
            </w:pPr>
            <w:r>
              <w:rPr>
                <w:rFonts w:cs="Arial"/>
                <w:b/>
                <w:bCs/>
                <w:color w:val="000000"/>
                <w:szCs w:val="16"/>
              </w:rPr>
              <w:t>(117,667)</w:t>
            </w:r>
          </w:p>
        </w:tc>
        <w:tc>
          <w:tcPr>
            <w:tcW w:w="992" w:type="dxa"/>
            <w:tcBorders>
              <w:top w:val="single" w:sz="4" w:space="0" w:color="000000" w:themeColor="text1"/>
              <w:bottom w:val="single" w:sz="4" w:space="0" w:color="000000" w:themeColor="text1"/>
            </w:tcBorders>
            <w:vAlign w:val="center"/>
          </w:tcPr>
          <w:p w14:paraId="6F85FE13" w14:textId="77777777" w:rsidR="00271E37" w:rsidRPr="00BD7771" w:rsidRDefault="00271E37">
            <w:pPr>
              <w:rPr>
                <w:b/>
                <w:bCs/>
              </w:rPr>
            </w:pPr>
            <w:r>
              <w:rPr>
                <w:rFonts w:cs="Arial"/>
                <w:b/>
                <w:bCs/>
                <w:color w:val="000000"/>
                <w:szCs w:val="16"/>
              </w:rPr>
              <w:t>(112,317)</w:t>
            </w:r>
          </w:p>
        </w:tc>
      </w:tr>
      <w:tr w:rsidR="00271E37" w:rsidRPr="00421E15" w14:paraId="622ACD52" w14:textId="77777777">
        <w:trPr>
          <w:gridAfter w:val="2"/>
          <w:wAfter w:w="2966" w:type="dxa"/>
        </w:trPr>
        <w:tc>
          <w:tcPr>
            <w:tcW w:w="2976" w:type="dxa"/>
            <w:tcBorders>
              <w:top w:val="single" w:sz="4" w:space="0" w:color="000000" w:themeColor="text1"/>
            </w:tcBorders>
          </w:tcPr>
          <w:p w14:paraId="483EE681" w14:textId="77777777" w:rsidR="00271E37" w:rsidRPr="001B4584" w:rsidRDefault="00271E37" w:rsidP="000923EA">
            <w:pPr>
              <w:jc w:val="left"/>
              <w:rPr>
                <w:b/>
                <w:bCs/>
              </w:rPr>
            </w:pPr>
            <w:r w:rsidRPr="001B4584">
              <w:rPr>
                <w:b/>
                <w:bCs/>
              </w:rPr>
              <w:t>Balances at 31 March 202</w:t>
            </w:r>
            <w:r>
              <w:rPr>
                <w:b/>
                <w:bCs/>
              </w:rPr>
              <w:t>6</w:t>
            </w:r>
          </w:p>
        </w:tc>
        <w:tc>
          <w:tcPr>
            <w:tcW w:w="992" w:type="dxa"/>
            <w:gridSpan w:val="2"/>
            <w:tcBorders>
              <w:top w:val="single" w:sz="4" w:space="0" w:color="000000" w:themeColor="text1"/>
            </w:tcBorders>
          </w:tcPr>
          <w:p w14:paraId="301DC0FA" w14:textId="77777777" w:rsidR="00271E37" w:rsidRPr="00421E15" w:rsidRDefault="00271E37" w:rsidP="000923EA"/>
        </w:tc>
        <w:tc>
          <w:tcPr>
            <w:tcW w:w="992" w:type="dxa"/>
            <w:gridSpan w:val="2"/>
            <w:tcBorders>
              <w:top w:val="single" w:sz="4" w:space="0" w:color="000000" w:themeColor="text1"/>
            </w:tcBorders>
          </w:tcPr>
          <w:p w14:paraId="008106B3" w14:textId="77777777" w:rsidR="00271E37" w:rsidRPr="00421E15" w:rsidRDefault="00271E37" w:rsidP="000923EA"/>
        </w:tc>
        <w:tc>
          <w:tcPr>
            <w:tcW w:w="992" w:type="dxa"/>
            <w:gridSpan w:val="2"/>
            <w:tcBorders>
              <w:top w:val="single" w:sz="4" w:space="0" w:color="000000" w:themeColor="text1"/>
            </w:tcBorders>
          </w:tcPr>
          <w:p w14:paraId="70EAA644" w14:textId="77777777" w:rsidR="00271E37" w:rsidRPr="00421E15" w:rsidRDefault="00271E37" w:rsidP="000923EA"/>
        </w:tc>
        <w:tc>
          <w:tcPr>
            <w:tcW w:w="992" w:type="dxa"/>
            <w:gridSpan w:val="2"/>
            <w:tcBorders>
              <w:top w:val="single" w:sz="4" w:space="0" w:color="000000" w:themeColor="text1"/>
            </w:tcBorders>
          </w:tcPr>
          <w:p w14:paraId="74F9631B" w14:textId="77777777" w:rsidR="00271E37" w:rsidRPr="00421E15" w:rsidRDefault="00271E37" w:rsidP="000923EA"/>
        </w:tc>
        <w:tc>
          <w:tcPr>
            <w:tcW w:w="992" w:type="dxa"/>
            <w:gridSpan w:val="2"/>
            <w:tcBorders>
              <w:top w:val="single" w:sz="4" w:space="0" w:color="auto"/>
            </w:tcBorders>
          </w:tcPr>
          <w:p w14:paraId="1E5BF779" w14:textId="77777777" w:rsidR="00271E37" w:rsidRPr="001B4584" w:rsidRDefault="00271E37">
            <w:pPr>
              <w:rPr>
                <w:b/>
                <w:bCs/>
              </w:rPr>
            </w:pPr>
          </w:p>
        </w:tc>
        <w:tc>
          <w:tcPr>
            <w:tcW w:w="992" w:type="dxa"/>
            <w:gridSpan w:val="2"/>
            <w:tcBorders>
              <w:top w:val="single" w:sz="4" w:space="0" w:color="auto"/>
            </w:tcBorders>
          </w:tcPr>
          <w:p w14:paraId="4931AFC1" w14:textId="77777777" w:rsidR="00271E37" w:rsidRPr="001B4584" w:rsidRDefault="00271E37">
            <w:pPr>
              <w:rPr>
                <w:b/>
                <w:bCs/>
              </w:rPr>
            </w:pPr>
          </w:p>
        </w:tc>
        <w:tc>
          <w:tcPr>
            <w:tcW w:w="992" w:type="dxa"/>
            <w:tcBorders>
              <w:top w:val="single" w:sz="4" w:space="0" w:color="000000" w:themeColor="text1"/>
            </w:tcBorders>
          </w:tcPr>
          <w:p w14:paraId="12304DF1" w14:textId="77777777" w:rsidR="00271E37" w:rsidRPr="001B4584" w:rsidRDefault="00271E37" w:rsidP="000923EA">
            <w:pPr>
              <w:rPr>
                <w:b/>
                <w:bCs/>
              </w:rPr>
            </w:pPr>
          </w:p>
        </w:tc>
      </w:tr>
      <w:tr w:rsidR="00271E37" w:rsidRPr="00421E15" w14:paraId="714B4702" w14:textId="77777777">
        <w:trPr>
          <w:gridAfter w:val="2"/>
          <w:wAfter w:w="2966" w:type="dxa"/>
        </w:trPr>
        <w:tc>
          <w:tcPr>
            <w:tcW w:w="2976" w:type="dxa"/>
            <w:tcBorders>
              <w:bottom w:val="single" w:sz="4" w:space="0" w:color="000000" w:themeColor="text1"/>
            </w:tcBorders>
          </w:tcPr>
          <w:p w14:paraId="1F13BA87" w14:textId="77777777" w:rsidR="00271E37" w:rsidRPr="001B4584" w:rsidRDefault="00271E37">
            <w:pPr>
              <w:jc w:val="left"/>
              <w:rPr>
                <w:b/>
                <w:bCs/>
              </w:rPr>
            </w:pPr>
            <w:r w:rsidRPr="001B4584">
              <w:rPr>
                <w:b/>
                <w:bCs/>
              </w:rPr>
              <w:t>Segment assets</w:t>
            </w:r>
          </w:p>
        </w:tc>
        <w:tc>
          <w:tcPr>
            <w:tcW w:w="992" w:type="dxa"/>
            <w:gridSpan w:val="2"/>
            <w:tcBorders>
              <w:bottom w:val="single" w:sz="4" w:space="0" w:color="000000" w:themeColor="text1"/>
            </w:tcBorders>
            <w:vAlign w:val="center"/>
          </w:tcPr>
          <w:p w14:paraId="52E78A8F" w14:textId="77777777" w:rsidR="00271E37" w:rsidRPr="005D44F0" w:rsidRDefault="00271E37">
            <w:pPr>
              <w:rPr>
                <w:b/>
                <w:bCs/>
              </w:rPr>
            </w:pPr>
            <w:r>
              <w:rPr>
                <w:rFonts w:cs="Arial"/>
                <w:b/>
                <w:bCs/>
                <w:color w:val="000000"/>
                <w:szCs w:val="16"/>
              </w:rPr>
              <w:t xml:space="preserve">53,643 </w:t>
            </w:r>
          </w:p>
        </w:tc>
        <w:tc>
          <w:tcPr>
            <w:tcW w:w="992" w:type="dxa"/>
            <w:gridSpan w:val="2"/>
            <w:tcBorders>
              <w:bottom w:val="single" w:sz="4" w:space="0" w:color="000000" w:themeColor="text1"/>
            </w:tcBorders>
            <w:vAlign w:val="center"/>
          </w:tcPr>
          <w:p w14:paraId="17BB6EA9" w14:textId="77777777" w:rsidR="00271E37" w:rsidRPr="005D44F0" w:rsidRDefault="00271E37">
            <w:pPr>
              <w:rPr>
                <w:b/>
                <w:bCs/>
              </w:rPr>
            </w:pPr>
            <w:r>
              <w:rPr>
                <w:rFonts w:cs="Arial"/>
                <w:b/>
                <w:bCs/>
                <w:color w:val="000000"/>
                <w:szCs w:val="16"/>
              </w:rPr>
              <w:t xml:space="preserve">50,302 </w:t>
            </w:r>
          </w:p>
        </w:tc>
        <w:tc>
          <w:tcPr>
            <w:tcW w:w="992" w:type="dxa"/>
            <w:gridSpan w:val="2"/>
            <w:tcBorders>
              <w:bottom w:val="single" w:sz="4" w:space="0" w:color="000000" w:themeColor="text1"/>
            </w:tcBorders>
            <w:vAlign w:val="center"/>
          </w:tcPr>
          <w:p w14:paraId="0C9113A7" w14:textId="77777777" w:rsidR="00271E37" w:rsidRPr="005D44F0" w:rsidRDefault="00271E37">
            <w:pPr>
              <w:rPr>
                <w:b/>
                <w:bCs/>
              </w:rPr>
            </w:pPr>
            <w:r>
              <w:rPr>
                <w:rFonts w:cs="Arial"/>
                <w:b/>
                <w:bCs/>
                <w:color w:val="000000"/>
                <w:szCs w:val="16"/>
              </w:rPr>
              <w:t xml:space="preserve">30,603 </w:t>
            </w:r>
          </w:p>
        </w:tc>
        <w:tc>
          <w:tcPr>
            <w:tcW w:w="992" w:type="dxa"/>
            <w:gridSpan w:val="2"/>
            <w:tcBorders>
              <w:bottom w:val="single" w:sz="4" w:space="0" w:color="000000" w:themeColor="text1"/>
            </w:tcBorders>
            <w:vAlign w:val="center"/>
          </w:tcPr>
          <w:p w14:paraId="34ABA15F" w14:textId="77777777" w:rsidR="00271E37" w:rsidRPr="00F268BA" w:rsidRDefault="00271E37">
            <w:pPr>
              <w:rPr>
                <w:b/>
                <w:bCs/>
              </w:rPr>
            </w:pPr>
            <w:r w:rsidRPr="00F268BA">
              <w:rPr>
                <w:rFonts w:cs="Arial"/>
                <w:b/>
                <w:bCs/>
                <w:szCs w:val="16"/>
              </w:rPr>
              <w:t xml:space="preserve">48,515 </w:t>
            </w:r>
          </w:p>
        </w:tc>
        <w:tc>
          <w:tcPr>
            <w:tcW w:w="992" w:type="dxa"/>
            <w:gridSpan w:val="2"/>
            <w:tcBorders>
              <w:bottom w:val="single" w:sz="4" w:space="0" w:color="auto"/>
            </w:tcBorders>
            <w:vAlign w:val="center"/>
          </w:tcPr>
          <w:p w14:paraId="375A79BA" w14:textId="77777777" w:rsidR="00271E37" w:rsidRPr="005D44F0" w:rsidRDefault="00271E37">
            <w:pPr>
              <w:rPr>
                <w:b/>
                <w:bCs/>
              </w:rPr>
            </w:pPr>
            <w:r>
              <w:rPr>
                <w:rFonts w:cs="Arial"/>
                <w:b/>
                <w:bCs/>
                <w:color w:val="000000"/>
                <w:szCs w:val="16"/>
              </w:rPr>
              <w:t xml:space="preserve">183,063 </w:t>
            </w:r>
          </w:p>
        </w:tc>
        <w:tc>
          <w:tcPr>
            <w:tcW w:w="992" w:type="dxa"/>
            <w:gridSpan w:val="2"/>
            <w:tcBorders>
              <w:bottom w:val="single" w:sz="4" w:space="0" w:color="auto"/>
            </w:tcBorders>
            <w:vAlign w:val="center"/>
          </w:tcPr>
          <w:p w14:paraId="24FCA199" w14:textId="77777777" w:rsidR="00271E37" w:rsidRPr="005D44F0" w:rsidRDefault="00271E37">
            <w:pPr>
              <w:rPr>
                <w:b/>
                <w:bCs/>
              </w:rPr>
            </w:pPr>
            <w:r>
              <w:rPr>
                <w:rFonts w:cs="Arial"/>
                <w:b/>
                <w:bCs/>
                <w:color w:val="000000"/>
                <w:szCs w:val="16"/>
              </w:rPr>
              <w:t xml:space="preserve"> - </w:t>
            </w:r>
          </w:p>
        </w:tc>
        <w:tc>
          <w:tcPr>
            <w:tcW w:w="992" w:type="dxa"/>
            <w:tcBorders>
              <w:bottom w:val="single" w:sz="4" w:space="0" w:color="000000" w:themeColor="text1"/>
            </w:tcBorders>
            <w:vAlign w:val="center"/>
          </w:tcPr>
          <w:p w14:paraId="0AD039EF" w14:textId="77777777" w:rsidR="00271E37" w:rsidRPr="005D44F0" w:rsidRDefault="00271E37">
            <w:pPr>
              <w:rPr>
                <w:b/>
                <w:bCs/>
              </w:rPr>
            </w:pPr>
            <w:r>
              <w:rPr>
                <w:rFonts w:cs="Arial"/>
                <w:b/>
                <w:bCs/>
                <w:color w:val="000000"/>
                <w:szCs w:val="16"/>
              </w:rPr>
              <w:t xml:space="preserve">183,063 </w:t>
            </w:r>
          </w:p>
        </w:tc>
      </w:tr>
      <w:tr w:rsidR="00271E37" w:rsidRPr="00421E15" w14:paraId="2731AAD1" w14:textId="77777777">
        <w:trPr>
          <w:gridAfter w:val="2"/>
          <w:wAfter w:w="2966" w:type="dxa"/>
        </w:trPr>
        <w:tc>
          <w:tcPr>
            <w:tcW w:w="2976" w:type="dxa"/>
            <w:tcBorders>
              <w:top w:val="single" w:sz="4" w:space="0" w:color="000000" w:themeColor="text1"/>
              <w:bottom w:val="single" w:sz="4" w:space="0" w:color="000000" w:themeColor="text1"/>
            </w:tcBorders>
          </w:tcPr>
          <w:p w14:paraId="6FF018FA" w14:textId="77777777" w:rsidR="00271E37" w:rsidRPr="001B4584" w:rsidRDefault="00271E37">
            <w:pPr>
              <w:jc w:val="left"/>
              <w:rPr>
                <w:b/>
                <w:bCs/>
              </w:rPr>
            </w:pPr>
            <w:r w:rsidRPr="001B4584">
              <w:rPr>
                <w:b/>
                <w:bCs/>
              </w:rPr>
              <w:t>Segment liabilities</w:t>
            </w:r>
          </w:p>
        </w:tc>
        <w:tc>
          <w:tcPr>
            <w:tcW w:w="992" w:type="dxa"/>
            <w:gridSpan w:val="2"/>
            <w:tcBorders>
              <w:top w:val="single" w:sz="4" w:space="0" w:color="000000" w:themeColor="text1"/>
              <w:bottom w:val="single" w:sz="4" w:space="0" w:color="000000" w:themeColor="text1"/>
            </w:tcBorders>
            <w:vAlign w:val="center"/>
          </w:tcPr>
          <w:p w14:paraId="68FB1565" w14:textId="77777777" w:rsidR="00271E37" w:rsidRPr="005D44F0" w:rsidRDefault="00271E37">
            <w:pPr>
              <w:rPr>
                <w:b/>
                <w:bCs/>
              </w:rPr>
            </w:pPr>
            <w:r>
              <w:rPr>
                <w:rFonts w:cs="Arial"/>
                <w:b/>
                <w:bCs/>
                <w:color w:val="000000"/>
                <w:szCs w:val="16"/>
              </w:rPr>
              <w:t>(17,687)</w:t>
            </w:r>
          </w:p>
        </w:tc>
        <w:tc>
          <w:tcPr>
            <w:tcW w:w="992" w:type="dxa"/>
            <w:gridSpan w:val="2"/>
            <w:tcBorders>
              <w:top w:val="single" w:sz="4" w:space="0" w:color="000000" w:themeColor="text1"/>
              <w:bottom w:val="single" w:sz="4" w:space="0" w:color="000000" w:themeColor="text1"/>
            </w:tcBorders>
            <w:vAlign w:val="center"/>
          </w:tcPr>
          <w:p w14:paraId="0370B729" w14:textId="77777777" w:rsidR="00271E37" w:rsidRPr="005D44F0" w:rsidRDefault="00271E37">
            <w:pPr>
              <w:rPr>
                <w:b/>
                <w:bCs/>
              </w:rPr>
            </w:pPr>
            <w:r>
              <w:rPr>
                <w:rFonts w:cs="Arial"/>
                <w:b/>
                <w:bCs/>
                <w:color w:val="000000"/>
                <w:szCs w:val="16"/>
              </w:rPr>
              <w:t>(37,388)</w:t>
            </w:r>
          </w:p>
        </w:tc>
        <w:tc>
          <w:tcPr>
            <w:tcW w:w="992" w:type="dxa"/>
            <w:gridSpan w:val="2"/>
            <w:tcBorders>
              <w:top w:val="single" w:sz="4" w:space="0" w:color="000000" w:themeColor="text1"/>
              <w:bottom w:val="single" w:sz="4" w:space="0" w:color="000000" w:themeColor="text1"/>
            </w:tcBorders>
            <w:vAlign w:val="center"/>
          </w:tcPr>
          <w:p w14:paraId="162F4FDA" w14:textId="77777777" w:rsidR="00271E37" w:rsidRPr="005D44F0" w:rsidRDefault="00271E37">
            <w:pPr>
              <w:rPr>
                <w:b/>
                <w:bCs/>
              </w:rPr>
            </w:pPr>
            <w:r>
              <w:rPr>
                <w:rFonts w:cs="Arial"/>
                <w:b/>
                <w:bCs/>
                <w:color w:val="000000"/>
                <w:szCs w:val="16"/>
              </w:rPr>
              <w:t>(17,302)</w:t>
            </w:r>
          </w:p>
        </w:tc>
        <w:tc>
          <w:tcPr>
            <w:tcW w:w="992" w:type="dxa"/>
            <w:gridSpan w:val="2"/>
            <w:tcBorders>
              <w:top w:val="single" w:sz="4" w:space="0" w:color="000000" w:themeColor="text1"/>
              <w:bottom w:val="single" w:sz="4" w:space="0" w:color="000000" w:themeColor="text1"/>
            </w:tcBorders>
            <w:vAlign w:val="center"/>
          </w:tcPr>
          <w:p w14:paraId="30171B43" w14:textId="77777777" w:rsidR="00271E37" w:rsidRPr="00F268BA" w:rsidRDefault="00271E37">
            <w:pPr>
              <w:rPr>
                <w:b/>
                <w:bCs/>
              </w:rPr>
            </w:pPr>
            <w:r w:rsidRPr="00F268BA">
              <w:rPr>
                <w:rFonts w:cs="Arial"/>
                <w:b/>
                <w:bCs/>
                <w:szCs w:val="16"/>
              </w:rPr>
              <w:t>(</w:t>
            </w:r>
            <w:r>
              <w:rPr>
                <w:rFonts w:cs="Arial"/>
                <w:b/>
                <w:bCs/>
                <w:szCs w:val="16"/>
              </w:rPr>
              <w:t>4,109</w:t>
            </w:r>
            <w:r w:rsidRPr="00F268BA">
              <w:rPr>
                <w:rFonts w:cs="Arial"/>
                <w:b/>
                <w:bCs/>
                <w:szCs w:val="16"/>
              </w:rPr>
              <w:t>)</w:t>
            </w:r>
          </w:p>
        </w:tc>
        <w:tc>
          <w:tcPr>
            <w:tcW w:w="992" w:type="dxa"/>
            <w:gridSpan w:val="2"/>
            <w:tcBorders>
              <w:top w:val="single" w:sz="4" w:space="0" w:color="auto"/>
              <w:bottom w:val="single" w:sz="4" w:space="0" w:color="auto"/>
            </w:tcBorders>
            <w:vAlign w:val="center"/>
          </w:tcPr>
          <w:p w14:paraId="017DB49B" w14:textId="77777777" w:rsidR="00271E37" w:rsidRPr="005D44F0" w:rsidRDefault="00271E37">
            <w:pPr>
              <w:rPr>
                <w:b/>
                <w:bCs/>
              </w:rPr>
            </w:pPr>
            <w:r>
              <w:rPr>
                <w:rFonts w:cs="Arial"/>
                <w:b/>
                <w:bCs/>
                <w:color w:val="000000"/>
                <w:szCs w:val="16"/>
              </w:rPr>
              <w:t>(76,486)</w:t>
            </w:r>
          </w:p>
        </w:tc>
        <w:tc>
          <w:tcPr>
            <w:tcW w:w="992" w:type="dxa"/>
            <w:gridSpan w:val="2"/>
            <w:tcBorders>
              <w:top w:val="single" w:sz="4" w:space="0" w:color="auto"/>
              <w:bottom w:val="single" w:sz="4" w:space="0" w:color="auto"/>
            </w:tcBorders>
            <w:vAlign w:val="center"/>
          </w:tcPr>
          <w:p w14:paraId="4E865AED" w14:textId="77777777" w:rsidR="00271E37" w:rsidRPr="005D44F0" w:rsidRDefault="00271E37">
            <w:pPr>
              <w:rPr>
                <w:b/>
                <w:bCs/>
              </w:rPr>
            </w:pPr>
            <w:r>
              <w:rPr>
                <w:rFonts w:cs="Arial"/>
                <w:b/>
                <w:bCs/>
                <w:color w:val="000000"/>
                <w:szCs w:val="16"/>
              </w:rPr>
              <w:t xml:space="preserve"> - </w:t>
            </w:r>
          </w:p>
        </w:tc>
        <w:tc>
          <w:tcPr>
            <w:tcW w:w="992" w:type="dxa"/>
            <w:tcBorders>
              <w:top w:val="single" w:sz="4" w:space="0" w:color="000000" w:themeColor="text1"/>
              <w:bottom w:val="single" w:sz="4" w:space="0" w:color="000000" w:themeColor="text1"/>
            </w:tcBorders>
            <w:vAlign w:val="center"/>
          </w:tcPr>
          <w:p w14:paraId="135B0DEB" w14:textId="77777777" w:rsidR="00271E37" w:rsidRPr="005D44F0" w:rsidRDefault="00271E37">
            <w:pPr>
              <w:rPr>
                <w:b/>
                <w:bCs/>
              </w:rPr>
            </w:pPr>
            <w:r>
              <w:rPr>
                <w:rFonts w:cs="Arial"/>
                <w:b/>
                <w:bCs/>
                <w:color w:val="000000"/>
                <w:szCs w:val="16"/>
              </w:rPr>
              <w:t>(76,486)</w:t>
            </w:r>
          </w:p>
        </w:tc>
      </w:tr>
      <w:tr w:rsidR="00271E37" w:rsidRPr="00421E15" w14:paraId="0F9075D9" w14:textId="77777777">
        <w:trPr>
          <w:gridAfter w:val="2"/>
          <w:wAfter w:w="2966" w:type="dxa"/>
        </w:trPr>
        <w:tc>
          <w:tcPr>
            <w:tcW w:w="2976" w:type="dxa"/>
            <w:tcBorders>
              <w:top w:val="single" w:sz="4" w:space="0" w:color="000000" w:themeColor="text1"/>
            </w:tcBorders>
          </w:tcPr>
          <w:p w14:paraId="3772E17A" w14:textId="77777777" w:rsidR="00271E37" w:rsidRPr="00421E15" w:rsidRDefault="00271E37">
            <w:pPr>
              <w:jc w:val="left"/>
            </w:pPr>
            <w:r w:rsidRPr="00421E15">
              <w:t>Capital expenditure additions</w:t>
            </w:r>
          </w:p>
        </w:tc>
        <w:tc>
          <w:tcPr>
            <w:tcW w:w="992" w:type="dxa"/>
            <w:gridSpan w:val="2"/>
            <w:tcBorders>
              <w:top w:val="single" w:sz="4" w:space="0" w:color="000000" w:themeColor="text1"/>
            </w:tcBorders>
            <w:vAlign w:val="center"/>
          </w:tcPr>
          <w:p w14:paraId="4D40DF15" w14:textId="77777777" w:rsidR="00271E37" w:rsidRPr="001B4584" w:rsidRDefault="00271E37">
            <w:pPr>
              <w:rPr>
                <w:b/>
                <w:bCs/>
              </w:rPr>
            </w:pPr>
          </w:p>
        </w:tc>
        <w:tc>
          <w:tcPr>
            <w:tcW w:w="992" w:type="dxa"/>
            <w:gridSpan w:val="2"/>
            <w:tcBorders>
              <w:top w:val="single" w:sz="4" w:space="0" w:color="000000" w:themeColor="text1"/>
            </w:tcBorders>
            <w:vAlign w:val="center"/>
          </w:tcPr>
          <w:p w14:paraId="4CBB19B2" w14:textId="77777777" w:rsidR="00271E37" w:rsidRPr="001B4584" w:rsidRDefault="00271E37">
            <w:pPr>
              <w:rPr>
                <w:b/>
                <w:bCs/>
              </w:rPr>
            </w:pPr>
          </w:p>
        </w:tc>
        <w:tc>
          <w:tcPr>
            <w:tcW w:w="992" w:type="dxa"/>
            <w:gridSpan w:val="2"/>
            <w:tcBorders>
              <w:top w:val="single" w:sz="4" w:space="0" w:color="000000" w:themeColor="text1"/>
            </w:tcBorders>
            <w:vAlign w:val="center"/>
          </w:tcPr>
          <w:p w14:paraId="40D59F2D" w14:textId="77777777" w:rsidR="00271E37" w:rsidRPr="001B4584" w:rsidRDefault="00271E37">
            <w:pPr>
              <w:rPr>
                <w:b/>
                <w:bCs/>
              </w:rPr>
            </w:pPr>
          </w:p>
        </w:tc>
        <w:tc>
          <w:tcPr>
            <w:tcW w:w="992" w:type="dxa"/>
            <w:gridSpan w:val="2"/>
            <w:tcBorders>
              <w:top w:val="single" w:sz="4" w:space="0" w:color="000000" w:themeColor="text1"/>
            </w:tcBorders>
            <w:vAlign w:val="center"/>
          </w:tcPr>
          <w:p w14:paraId="5E484F32" w14:textId="77777777" w:rsidR="00271E37" w:rsidRPr="00F268BA" w:rsidRDefault="00271E37">
            <w:pPr>
              <w:rPr>
                <w:b/>
                <w:bCs/>
              </w:rPr>
            </w:pPr>
          </w:p>
        </w:tc>
        <w:tc>
          <w:tcPr>
            <w:tcW w:w="992" w:type="dxa"/>
            <w:gridSpan w:val="2"/>
            <w:tcBorders>
              <w:top w:val="single" w:sz="4" w:space="0" w:color="auto"/>
            </w:tcBorders>
            <w:vAlign w:val="center"/>
          </w:tcPr>
          <w:p w14:paraId="171326CE" w14:textId="77777777" w:rsidR="00271E37" w:rsidRPr="001B4584" w:rsidRDefault="00271E37">
            <w:pPr>
              <w:rPr>
                <w:b/>
                <w:bCs/>
              </w:rPr>
            </w:pPr>
          </w:p>
        </w:tc>
        <w:tc>
          <w:tcPr>
            <w:tcW w:w="992" w:type="dxa"/>
            <w:gridSpan w:val="2"/>
            <w:tcBorders>
              <w:top w:val="single" w:sz="4" w:space="0" w:color="auto"/>
            </w:tcBorders>
            <w:vAlign w:val="center"/>
          </w:tcPr>
          <w:p w14:paraId="54C4670E" w14:textId="77777777" w:rsidR="00271E37" w:rsidRPr="001B4584" w:rsidRDefault="00271E37">
            <w:pPr>
              <w:rPr>
                <w:b/>
                <w:bCs/>
              </w:rPr>
            </w:pPr>
          </w:p>
        </w:tc>
        <w:tc>
          <w:tcPr>
            <w:tcW w:w="992" w:type="dxa"/>
            <w:tcBorders>
              <w:top w:val="single" w:sz="4" w:space="0" w:color="000000" w:themeColor="text1"/>
            </w:tcBorders>
            <w:vAlign w:val="center"/>
          </w:tcPr>
          <w:p w14:paraId="0DB26319" w14:textId="77777777" w:rsidR="00271E37" w:rsidRPr="001B4584" w:rsidRDefault="00271E37">
            <w:pPr>
              <w:rPr>
                <w:b/>
                <w:bCs/>
              </w:rPr>
            </w:pPr>
          </w:p>
        </w:tc>
      </w:tr>
      <w:tr w:rsidR="00271E37" w:rsidRPr="00421E15" w14:paraId="0A82C58C" w14:textId="77777777">
        <w:trPr>
          <w:gridAfter w:val="2"/>
          <w:wAfter w:w="2966" w:type="dxa"/>
        </w:trPr>
        <w:tc>
          <w:tcPr>
            <w:tcW w:w="2976" w:type="dxa"/>
          </w:tcPr>
          <w:p w14:paraId="3405CF6A" w14:textId="77777777" w:rsidR="00271E37" w:rsidRPr="00421E15" w:rsidRDefault="00271E37">
            <w:pPr>
              <w:jc w:val="left"/>
            </w:pPr>
            <w:r w:rsidRPr="00421E15">
              <w:t>– property, plant and equipment</w:t>
            </w:r>
          </w:p>
        </w:tc>
        <w:tc>
          <w:tcPr>
            <w:tcW w:w="992" w:type="dxa"/>
            <w:gridSpan w:val="2"/>
            <w:vAlign w:val="center"/>
          </w:tcPr>
          <w:p w14:paraId="5DF2D738" w14:textId="77777777" w:rsidR="00271E37" w:rsidRPr="005D44F0" w:rsidRDefault="00271E37">
            <w:pPr>
              <w:rPr>
                <w:b/>
                <w:bCs/>
              </w:rPr>
            </w:pPr>
            <w:r>
              <w:rPr>
                <w:rFonts w:cs="Arial"/>
                <w:color w:val="000000"/>
                <w:szCs w:val="16"/>
              </w:rPr>
              <w:t xml:space="preserve">787 </w:t>
            </w:r>
          </w:p>
        </w:tc>
        <w:tc>
          <w:tcPr>
            <w:tcW w:w="992" w:type="dxa"/>
            <w:gridSpan w:val="2"/>
            <w:vAlign w:val="center"/>
          </w:tcPr>
          <w:p w14:paraId="483764A6" w14:textId="77777777" w:rsidR="00271E37" w:rsidRPr="005D44F0" w:rsidRDefault="00271E37">
            <w:pPr>
              <w:rPr>
                <w:b/>
                <w:bCs/>
              </w:rPr>
            </w:pPr>
            <w:r>
              <w:rPr>
                <w:rFonts w:cs="Arial"/>
                <w:color w:val="000000"/>
                <w:szCs w:val="16"/>
              </w:rPr>
              <w:t xml:space="preserve">938 </w:t>
            </w:r>
          </w:p>
        </w:tc>
        <w:tc>
          <w:tcPr>
            <w:tcW w:w="992" w:type="dxa"/>
            <w:gridSpan w:val="2"/>
            <w:vAlign w:val="center"/>
          </w:tcPr>
          <w:p w14:paraId="101CFDF6" w14:textId="77777777" w:rsidR="00271E37" w:rsidRPr="005D44F0" w:rsidRDefault="00271E37">
            <w:pPr>
              <w:rPr>
                <w:b/>
                <w:bCs/>
              </w:rPr>
            </w:pPr>
            <w:r>
              <w:rPr>
                <w:rFonts w:cs="Arial"/>
                <w:color w:val="000000"/>
                <w:szCs w:val="16"/>
              </w:rPr>
              <w:t xml:space="preserve">784 </w:t>
            </w:r>
          </w:p>
        </w:tc>
        <w:tc>
          <w:tcPr>
            <w:tcW w:w="992" w:type="dxa"/>
            <w:gridSpan w:val="2"/>
            <w:vAlign w:val="center"/>
          </w:tcPr>
          <w:p w14:paraId="43478F0C" w14:textId="77777777" w:rsidR="00271E37" w:rsidRPr="00F268BA" w:rsidRDefault="00271E37">
            <w:pPr>
              <w:rPr>
                <w:b/>
                <w:bCs/>
              </w:rPr>
            </w:pPr>
            <w:r w:rsidRPr="00F268BA">
              <w:rPr>
                <w:rFonts w:cs="Arial"/>
                <w:szCs w:val="16"/>
              </w:rPr>
              <w:t xml:space="preserve">6 </w:t>
            </w:r>
          </w:p>
        </w:tc>
        <w:tc>
          <w:tcPr>
            <w:tcW w:w="992" w:type="dxa"/>
            <w:gridSpan w:val="2"/>
            <w:vAlign w:val="center"/>
          </w:tcPr>
          <w:p w14:paraId="2B47A08B" w14:textId="77777777" w:rsidR="00271E37" w:rsidRPr="005D44F0" w:rsidRDefault="00271E37">
            <w:pPr>
              <w:rPr>
                <w:b/>
                <w:bCs/>
              </w:rPr>
            </w:pPr>
            <w:r>
              <w:rPr>
                <w:rFonts w:cs="Arial"/>
                <w:b/>
                <w:bCs/>
                <w:color w:val="000000"/>
                <w:szCs w:val="16"/>
              </w:rPr>
              <w:t xml:space="preserve">2,515 </w:t>
            </w:r>
          </w:p>
        </w:tc>
        <w:tc>
          <w:tcPr>
            <w:tcW w:w="992" w:type="dxa"/>
            <w:gridSpan w:val="2"/>
            <w:vAlign w:val="center"/>
          </w:tcPr>
          <w:p w14:paraId="75E6BE86" w14:textId="77777777" w:rsidR="00271E37" w:rsidRPr="005D44F0" w:rsidRDefault="00271E37">
            <w:pPr>
              <w:rPr>
                <w:b/>
                <w:bCs/>
              </w:rPr>
            </w:pPr>
            <w:r>
              <w:rPr>
                <w:rFonts w:cs="Arial"/>
                <w:color w:val="000000"/>
                <w:szCs w:val="16"/>
              </w:rPr>
              <w:t xml:space="preserve">157 </w:t>
            </w:r>
          </w:p>
        </w:tc>
        <w:tc>
          <w:tcPr>
            <w:tcW w:w="992" w:type="dxa"/>
            <w:vAlign w:val="center"/>
          </w:tcPr>
          <w:p w14:paraId="30280634" w14:textId="77777777" w:rsidR="00271E37" w:rsidRPr="005D44F0" w:rsidRDefault="00271E37">
            <w:pPr>
              <w:rPr>
                <w:b/>
                <w:bCs/>
              </w:rPr>
            </w:pPr>
            <w:r>
              <w:rPr>
                <w:rFonts w:cs="Arial"/>
                <w:b/>
                <w:bCs/>
                <w:color w:val="000000"/>
                <w:szCs w:val="16"/>
              </w:rPr>
              <w:t xml:space="preserve">2,672 </w:t>
            </w:r>
          </w:p>
        </w:tc>
      </w:tr>
      <w:tr w:rsidR="00271E37" w:rsidRPr="00421E15" w14:paraId="19EB85AF" w14:textId="77777777">
        <w:trPr>
          <w:gridAfter w:val="2"/>
          <w:wAfter w:w="2966" w:type="dxa"/>
        </w:trPr>
        <w:tc>
          <w:tcPr>
            <w:tcW w:w="2976" w:type="dxa"/>
          </w:tcPr>
          <w:p w14:paraId="55E1385E" w14:textId="77777777" w:rsidR="00271E37" w:rsidRPr="00421E15" w:rsidRDefault="00271E37">
            <w:pPr>
              <w:jc w:val="left"/>
            </w:pPr>
            <w:r w:rsidRPr="00421E15">
              <w:t>– intangible assets</w:t>
            </w:r>
          </w:p>
        </w:tc>
        <w:tc>
          <w:tcPr>
            <w:tcW w:w="992" w:type="dxa"/>
            <w:gridSpan w:val="2"/>
            <w:vAlign w:val="center"/>
          </w:tcPr>
          <w:p w14:paraId="3C3C43F1" w14:textId="77777777" w:rsidR="00271E37" w:rsidRPr="005D44F0" w:rsidRDefault="00271E37">
            <w:pPr>
              <w:rPr>
                <w:b/>
                <w:bCs/>
              </w:rPr>
            </w:pPr>
            <w:r>
              <w:rPr>
                <w:rFonts w:cs="Arial"/>
                <w:color w:val="000000"/>
                <w:szCs w:val="16"/>
              </w:rPr>
              <w:t xml:space="preserve"> - </w:t>
            </w:r>
          </w:p>
        </w:tc>
        <w:tc>
          <w:tcPr>
            <w:tcW w:w="992" w:type="dxa"/>
            <w:gridSpan w:val="2"/>
            <w:vAlign w:val="center"/>
          </w:tcPr>
          <w:p w14:paraId="6F074D90" w14:textId="77777777" w:rsidR="00271E37" w:rsidRPr="005D44F0" w:rsidRDefault="00271E37">
            <w:pPr>
              <w:rPr>
                <w:b/>
                <w:bCs/>
              </w:rPr>
            </w:pPr>
            <w:r>
              <w:rPr>
                <w:rFonts w:cs="Arial"/>
                <w:color w:val="000000"/>
                <w:szCs w:val="16"/>
              </w:rPr>
              <w:t xml:space="preserve">196 </w:t>
            </w:r>
          </w:p>
        </w:tc>
        <w:tc>
          <w:tcPr>
            <w:tcW w:w="992" w:type="dxa"/>
            <w:gridSpan w:val="2"/>
            <w:vAlign w:val="center"/>
          </w:tcPr>
          <w:p w14:paraId="0637856D" w14:textId="77777777" w:rsidR="00271E37" w:rsidRPr="005D44F0" w:rsidRDefault="00271E37">
            <w:pPr>
              <w:rPr>
                <w:b/>
                <w:bCs/>
              </w:rPr>
            </w:pPr>
            <w:r>
              <w:rPr>
                <w:rFonts w:cs="Arial"/>
                <w:color w:val="000000"/>
                <w:szCs w:val="16"/>
              </w:rPr>
              <w:t xml:space="preserve"> - </w:t>
            </w:r>
          </w:p>
        </w:tc>
        <w:tc>
          <w:tcPr>
            <w:tcW w:w="992" w:type="dxa"/>
            <w:gridSpan w:val="2"/>
            <w:vAlign w:val="center"/>
          </w:tcPr>
          <w:p w14:paraId="1B0660AB" w14:textId="77777777" w:rsidR="00271E37" w:rsidRPr="00F268BA" w:rsidRDefault="00271E37">
            <w:pPr>
              <w:rPr>
                <w:b/>
                <w:bCs/>
              </w:rPr>
            </w:pPr>
            <w:r w:rsidRPr="00F268BA">
              <w:rPr>
                <w:rFonts w:cs="Arial"/>
                <w:szCs w:val="16"/>
              </w:rPr>
              <w:t xml:space="preserve"> - </w:t>
            </w:r>
          </w:p>
        </w:tc>
        <w:tc>
          <w:tcPr>
            <w:tcW w:w="992" w:type="dxa"/>
            <w:gridSpan w:val="2"/>
            <w:vAlign w:val="center"/>
          </w:tcPr>
          <w:p w14:paraId="5EB75131" w14:textId="77777777" w:rsidR="00271E37" w:rsidRPr="005D44F0" w:rsidRDefault="00271E37">
            <w:pPr>
              <w:rPr>
                <w:b/>
                <w:bCs/>
              </w:rPr>
            </w:pPr>
            <w:r>
              <w:rPr>
                <w:rFonts w:cs="Arial"/>
                <w:b/>
                <w:bCs/>
                <w:color w:val="000000"/>
                <w:szCs w:val="16"/>
              </w:rPr>
              <w:t xml:space="preserve">196 </w:t>
            </w:r>
          </w:p>
        </w:tc>
        <w:tc>
          <w:tcPr>
            <w:tcW w:w="992" w:type="dxa"/>
            <w:gridSpan w:val="2"/>
            <w:vAlign w:val="center"/>
          </w:tcPr>
          <w:p w14:paraId="39B2B32C" w14:textId="77777777" w:rsidR="00271E37" w:rsidRPr="005D44F0" w:rsidRDefault="00271E37">
            <w:pPr>
              <w:rPr>
                <w:b/>
                <w:bCs/>
              </w:rPr>
            </w:pPr>
            <w:r>
              <w:rPr>
                <w:rFonts w:cs="Arial"/>
                <w:color w:val="000000"/>
                <w:szCs w:val="16"/>
              </w:rPr>
              <w:t xml:space="preserve"> - </w:t>
            </w:r>
          </w:p>
        </w:tc>
        <w:tc>
          <w:tcPr>
            <w:tcW w:w="992" w:type="dxa"/>
            <w:vAlign w:val="center"/>
          </w:tcPr>
          <w:p w14:paraId="179067D1" w14:textId="77777777" w:rsidR="00271E37" w:rsidRPr="005D44F0" w:rsidRDefault="00271E37">
            <w:pPr>
              <w:rPr>
                <w:b/>
                <w:bCs/>
              </w:rPr>
            </w:pPr>
            <w:r>
              <w:rPr>
                <w:rFonts w:cs="Arial"/>
                <w:b/>
                <w:bCs/>
                <w:color w:val="000000"/>
                <w:szCs w:val="16"/>
              </w:rPr>
              <w:t xml:space="preserve">196 </w:t>
            </w:r>
          </w:p>
        </w:tc>
      </w:tr>
      <w:tr w:rsidR="00271E37" w:rsidRPr="00421E15" w14:paraId="7469F623" w14:textId="77777777">
        <w:trPr>
          <w:gridAfter w:val="2"/>
          <w:wAfter w:w="2966" w:type="dxa"/>
        </w:trPr>
        <w:tc>
          <w:tcPr>
            <w:tcW w:w="2976" w:type="dxa"/>
          </w:tcPr>
          <w:p w14:paraId="7B744C5C" w14:textId="77777777" w:rsidR="00271E37" w:rsidRPr="00421E15" w:rsidRDefault="00271E37">
            <w:pPr>
              <w:jc w:val="left"/>
            </w:pPr>
            <w:r w:rsidRPr="00421E15">
              <w:t>– right-of-use assets</w:t>
            </w:r>
          </w:p>
        </w:tc>
        <w:tc>
          <w:tcPr>
            <w:tcW w:w="992" w:type="dxa"/>
            <w:gridSpan w:val="2"/>
            <w:vAlign w:val="center"/>
          </w:tcPr>
          <w:p w14:paraId="37A251B2" w14:textId="77777777" w:rsidR="00271E37" w:rsidRPr="005D44F0" w:rsidRDefault="00271E37">
            <w:pPr>
              <w:rPr>
                <w:b/>
                <w:bCs/>
              </w:rPr>
            </w:pPr>
            <w:r>
              <w:rPr>
                <w:rFonts w:cs="Arial"/>
                <w:color w:val="000000"/>
                <w:szCs w:val="16"/>
              </w:rPr>
              <w:t xml:space="preserve">1,983 </w:t>
            </w:r>
          </w:p>
        </w:tc>
        <w:tc>
          <w:tcPr>
            <w:tcW w:w="992" w:type="dxa"/>
            <w:gridSpan w:val="2"/>
            <w:vAlign w:val="center"/>
          </w:tcPr>
          <w:p w14:paraId="6924DF45" w14:textId="77777777" w:rsidR="00271E37" w:rsidRPr="005D44F0" w:rsidRDefault="00271E37">
            <w:pPr>
              <w:rPr>
                <w:b/>
                <w:bCs/>
              </w:rPr>
            </w:pPr>
            <w:r>
              <w:rPr>
                <w:rFonts w:cs="Arial"/>
                <w:color w:val="000000"/>
                <w:szCs w:val="16"/>
              </w:rPr>
              <w:t xml:space="preserve">2,585 </w:t>
            </w:r>
          </w:p>
        </w:tc>
        <w:tc>
          <w:tcPr>
            <w:tcW w:w="992" w:type="dxa"/>
            <w:gridSpan w:val="2"/>
            <w:vAlign w:val="center"/>
          </w:tcPr>
          <w:p w14:paraId="46965074" w14:textId="77777777" w:rsidR="00271E37" w:rsidRPr="005D44F0" w:rsidRDefault="00271E37">
            <w:pPr>
              <w:rPr>
                <w:b/>
                <w:bCs/>
              </w:rPr>
            </w:pPr>
            <w:r>
              <w:rPr>
                <w:rFonts w:cs="Arial"/>
                <w:color w:val="000000"/>
                <w:szCs w:val="16"/>
              </w:rPr>
              <w:t xml:space="preserve">69 </w:t>
            </w:r>
          </w:p>
        </w:tc>
        <w:tc>
          <w:tcPr>
            <w:tcW w:w="992" w:type="dxa"/>
            <w:gridSpan w:val="2"/>
            <w:vAlign w:val="center"/>
          </w:tcPr>
          <w:p w14:paraId="0F994BAF" w14:textId="77777777" w:rsidR="00271E37" w:rsidRPr="00F268BA" w:rsidRDefault="00271E37">
            <w:pPr>
              <w:rPr>
                <w:b/>
                <w:bCs/>
              </w:rPr>
            </w:pPr>
            <w:r w:rsidRPr="00F268BA">
              <w:rPr>
                <w:rFonts w:cs="Arial"/>
                <w:szCs w:val="16"/>
              </w:rPr>
              <w:t xml:space="preserve"> - </w:t>
            </w:r>
          </w:p>
        </w:tc>
        <w:tc>
          <w:tcPr>
            <w:tcW w:w="992" w:type="dxa"/>
            <w:gridSpan w:val="2"/>
            <w:vAlign w:val="center"/>
          </w:tcPr>
          <w:p w14:paraId="06F92E60" w14:textId="77777777" w:rsidR="00271E37" w:rsidRPr="005D44F0" w:rsidRDefault="00271E37">
            <w:pPr>
              <w:rPr>
                <w:b/>
                <w:bCs/>
              </w:rPr>
            </w:pPr>
            <w:r>
              <w:rPr>
                <w:rFonts w:cs="Arial"/>
                <w:b/>
                <w:bCs/>
                <w:color w:val="000000"/>
                <w:szCs w:val="16"/>
              </w:rPr>
              <w:t xml:space="preserve">4,637 </w:t>
            </w:r>
          </w:p>
        </w:tc>
        <w:tc>
          <w:tcPr>
            <w:tcW w:w="992" w:type="dxa"/>
            <w:gridSpan w:val="2"/>
            <w:vAlign w:val="center"/>
          </w:tcPr>
          <w:p w14:paraId="2074DC63" w14:textId="77777777" w:rsidR="00271E37" w:rsidRPr="005D44F0" w:rsidRDefault="00271E37">
            <w:pPr>
              <w:rPr>
                <w:b/>
                <w:bCs/>
              </w:rPr>
            </w:pPr>
            <w:r>
              <w:rPr>
                <w:rFonts w:cs="Arial"/>
                <w:color w:val="000000"/>
                <w:szCs w:val="16"/>
              </w:rPr>
              <w:t xml:space="preserve">44 </w:t>
            </w:r>
          </w:p>
        </w:tc>
        <w:tc>
          <w:tcPr>
            <w:tcW w:w="992" w:type="dxa"/>
            <w:vAlign w:val="center"/>
          </w:tcPr>
          <w:p w14:paraId="3E378EB1" w14:textId="77777777" w:rsidR="00271E37" w:rsidRPr="005D44F0" w:rsidRDefault="00271E37">
            <w:pPr>
              <w:rPr>
                <w:b/>
                <w:bCs/>
              </w:rPr>
            </w:pPr>
            <w:r>
              <w:rPr>
                <w:rFonts w:cs="Arial"/>
                <w:b/>
                <w:bCs/>
                <w:color w:val="000000"/>
                <w:szCs w:val="16"/>
              </w:rPr>
              <w:t xml:space="preserve">4,681 </w:t>
            </w:r>
          </w:p>
        </w:tc>
      </w:tr>
      <w:tr w:rsidR="00271E37" w:rsidRPr="00421E15" w14:paraId="3F4D159F" w14:textId="77777777">
        <w:trPr>
          <w:gridAfter w:val="2"/>
          <w:wAfter w:w="2966" w:type="dxa"/>
        </w:trPr>
        <w:tc>
          <w:tcPr>
            <w:tcW w:w="2976" w:type="dxa"/>
          </w:tcPr>
          <w:p w14:paraId="201494C1" w14:textId="77777777" w:rsidR="00271E37" w:rsidRPr="00421E15" w:rsidRDefault="00271E37">
            <w:pPr>
              <w:jc w:val="left"/>
            </w:pPr>
            <w:r w:rsidRPr="00421E15">
              <w:t xml:space="preserve">Depreciation – property, plant and equipment </w:t>
            </w:r>
          </w:p>
        </w:tc>
        <w:tc>
          <w:tcPr>
            <w:tcW w:w="992" w:type="dxa"/>
            <w:gridSpan w:val="2"/>
            <w:vAlign w:val="center"/>
          </w:tcPr>
          <w:p w14:paraId="509B634A" w14:textId="77777777" w:rsidR="00271E37" w:rsidRPr="005D44F0" w:rsidRDefault="00271E37">
            <w:pPr>
              <w:rPr>
                <w:b/>
                <w:bCs/>
              </w:rPr>
            </w:pPr>
            <w:r>
              <w:rPr>
                <w:rFonts w:cs="Arial"/>
                <w:color w:val="000000"/>
                <w:szCs w:val="16"/>
              </w:rPr>
              <w:t xml:space="preserve">1,454 </w:t>
            </w:r>
          </w:p>
        </w:tc>
        <w:tc>
          <w:tcPr>
            <w:tcW w:w="992" w:type="dxa"/>
            <w:gridSpan w:val="2"/>
            <w:vAlign w:val="center"/>
          </w:tcPr>
          <w:p w14:paraId="743CEA0B" w14:textId="77777777" w:rsidR="00271E37" w:rsidRPr="005D44F0" w:rsidRDefault="00271E37">
            <w:pPr>
              <w:rPr>
                <w:b/>
                <w:bCs/>
              </w:rPr>
            </w:pPr>
            <w:r>
              <w:rPr>
                <w:rFonts w:cs="Arial"/>
                <w:color w:val="000000"/>
                <w:szCs w:val="16"/>
              </w:rPr>
              <w:t xml:space="preserve">1,916 </w:t>
            </w:r>
          </w:p>
        </w:tc>
        <w:tc>
          <w:tcPr>
            <w:tcW w:w="992" w:type="dxa"/>
            <w:gridSpan w:val="2"/>
            <w:vAlign w:val="center"/>
          </w:tcPr>
          <w:p w14:paraId="5FEB91DE" w14:textId="77777777" w:rsidR="00271E37" w:rsidRPr="005D44F0" w:rsidRDefault="00271E37">
            <w:pPr>
              <w:rPr>
                <w:b/>
                <w:bCs/>
              </w:rPr>
            </w:pPr>
            <w:r>
              <w:rPr>
                <w:rFonts w:cs="Arial"/>
                <w:color w:val="000000"/>
                <w:szCs w:val="16"/>
              </w:rPr>
              <w:t xml:space="preserve">293 </w:t>
            </w:r>
          </w:p>
        </w:tc>
        <w:tc>
          <w:tcPr>
            <w:tcW w:w="992" w:type="dxa"/>
            <w:gridSpan w:val="2"/>
            <w:vAlign w:val="center"/>
          </w:tcPr>
          <w:p w14:paraId="6B47E4D0" w14:textId="77777777" w:rsidR="00271E37" w:rsidRPr="00F268BA" w:rsidRDefault="00271E37">
            <w:pPr>
              <w:rPr>
                <w:b/>
                <w:bCs/>
              </w:rPr>
            </w:pPr>
            <w:r w:rsidRPr="00F268BA">
              <w:rPr>
                <w:rFonts w:cs="Arial"/>
                <w:szCs w:val="16"/>
              </w:rPr>
              <w:t xml:space="preserve">16 </w:t>
            </w:r>
          </w:p>
        </w:tc>
        <w:tc>
          <w:tcPr>
            <w:tcW w:w="992" w:type="dxa"/>
            <w:gridSpan w:val="2"/>
            <w:vAlign w:val="center"/>
          </w:tcPr>
          <w:p w14:paraId="4021E05F" w14:textId="77777777" w:rsidR="00271E37" w:rsidRPr="005D44F0" w:rsidRDefault="00271E37">
            <w:pPr>
              <w:rPr>
                <w:b/>
                <w:bCs/>
              </w:rPr>
            </w:pPr>
            <w:r>
              <w:rPr>
                <w:rFonts w:cs="Arial"/>
                <w:b/>
                <w:bCs/>
                <w:color w:val="000000"/>
                <w:szCs w:val="16"/>
              </w:rPr>
              <w:t xml:space="preserve">3,679 </w:t>
            </w:r>
          </w:p>
        </w:tc>
        <w:tc>
          <w:tcPr>
            <w:tcW w:w="992" w:type="dxa"/>
            <w:gridSpan w:val="2"/>
            <w:vAlign w:val="center"/>
          </w:tcPr>
          <w:p w14:paraId="6EA96A0F" w14:textId="77777777" w:rsidR="00271E37" w:rsidRPr="005D44F0" w:rsidRDefault="00271E37">
            <w:pPr>
              <w:rPr>
                <w:b/>
                <w:bCs/>
              </w:rPr>
            </w:pPr>
            <w:r>
              <w:rPr>
                <w:rFonts w:cs="Arial"/>
                <w:color w:val="000000"/>
                <w:szCs w:val="16"/>
              </w:rPr>
              <w:t xml:space="preserve">455 </w:t>
            </w:r>
          </w:p>
        </w:tc>
        <w:tc>
          <w:tcPr>
            <w:tcW w:w="992" w:type="dxa"/>
            <w:vAlign w:val="center"/>
          </w:tcPr>
          <w:p w14:paraId="7456C193" w14:textId="77777777" w:rsidR="00271E37" w:rsidRPr="005D44F0" w:rsidRDefault="00271E37">
            <w:pPr>
              <w:rPr>
                <w:b/>
                <w:bCs/>
              </w:rPr>
            </w:pPr>
            <w:r>
              <w:rPr>
                <w:rFonts w:cs="Arial"/>
                <w:b/>
                <w:bCs/>
                <w:color w:val="000000"/>
                <w:szCs w:val="16"/>
              </w:rPr>
              <w:t xml:space="preserve">4,134 </w:t>
            </w:r>
          </w:p>
        </w:tc>
      </w:tr>
      <w:tr w:rsidR="00271E37" w:rsidRPr="00421E15" w14:paraId="03136314" w14:textId="77777777">
        <w:trPr>
          <w:gridAfter w:val="2"/>
          <w:wAfter w:w="2966" w:type="dxa"/>
        </w:trPr>
        <w:tc>
          <w:tcPr>
            <w:tcW w:w="2976" w:type="dxa"/>
          </w:tcPr>
          <w:p w14:paraId="0B4339ED" w14:textId="77777777" w:rsidR="00271E37" w:rsidRPr="00421E15" w:rsidRDefault="00271E37">
            <w:pPr>
              <w:jc w:val="left"/>
            </w:pPr>
            <w:r>
              <w:t>Impairment – property, plant and equipment</w:t>
            </w:r>
          </w:p>
        </w:tc>
        <w:tc>
          <w:tcPr>
            <w:tcW w:w="992" w:type="dxa"/>
            <w:gridSpan w:val="2"/>
            <w:vAlign w:val="center"/>
          </w:tcPr>
          <w:p w14:paraId="2D11DF50" w14:textId="77777777" w:rsidR="00271E37" w:rsidRDefault="00271E37">
            <w:pPr>
              <w:rPr>
                <w:rFonts w:cs="Arial"/>
                <w:color w:val="000000"/>
                <w:szCs w:val="16"/>
              </w:rPr>
            </w:pPr>
            <w:r>
              <w:rPr>
                <w:rFonts w:cs="Arial"/>
                <w:color w:val="000000"/>
                <w:szCs w:val="16"/>
              </w:rPr>
              <w:t xml:space="preserve">1,504 </w:t>
            </w:r>
          </w:p>
        </w:tc>
        <w:tc>
          <w:tcPr>
            <w:tcW w:w="992" w:type="dxa"/>
            <w:gridSpan w:val="2"/>
            <w:vAlign w:val="center"/>
          </w:tcPr>
          <w:p w14:paraId="21B0CBF8" w14:textId="77777777" w:rsidR="00271E37" w:rsidRDefault="00271E37">
            <w:pPr>
              <w:rPr>
                <w:rFonts w:cs="Arial"/>
                <w:color w:val="000000"/>
                <w:szCs w:val="16"/>
              </w:rPr>
            </w:pPr>
            <w:r>
              <w:rPr>
                <w:rFonts w:cs="Arial"/>
                <w:color w:val="000000"/>
                <w:szCs w:val="16"/>
              </w:rPr>
              <w:t xml:space="preserve"> - </w:t>
            </w:r>
          </w:p>
        </w:tc>
        <w:tc>
          <w:tcPr>
            <w:tcW w:w="992" w:type="dxa"/>
            <w:gridSpan w:val="2"/>
            <w:vAlign w:val="center"/>
          </w:tcPr>
          <w:p w14:paraId="168D9CA6" w14:textId="77777777" w:rsidR="00271E37" w:rsidRDefault="00271E37">
            <w:pPr>
              <w:rPr>
                <w:rFonts w:cs="Arial"/>
                <w:color w:val="000000"/>
                <w:szCs w:val="16"/>
              </w:rPr>
            </w:pPr>
            <w:r>
              <w:rPr>
                <w:rFonts w:cs="Arial"/>
                <w:color w:val="000000"/>
                <w:szCs w:val="16"/>
              </w:rPr>
              <w:t xml:space="preserve"> - </w:t>
            </w:r>
          </w:p>
        </w:tc>
        <w:tc>
          <w:tcPr>
            <w:tcW w:w="992" w:type="dxa"/>
            <w:gridSpan w:val="2"/>
            <w:vAlign w:val="center"/>
          </w:tcPr>
          <w:p w14:paraId="51BF3E95" w14:textId="77777777" w:rsidR="00271E37" w:rsidRPr="00F268BA" w:rsidRDefault="00271E37">
            <w:pPr>
              <w:rPr>
                <w:rFonts w:cs="Arial"/>
                <w:szCs w:val="16"/>
              </w:rPr>
            </w:pPr>
            <w:r w:rsidRPr="00F268BA">
              <w:rPr>
                <w:rFonts w:cs="Arial"/>
                <w:szCs w:val="16"/>
              </w:rPr>
              <w:t xml:space="preserve"> - </w:t>
            </w:r>
          </w:p>
        </w:tc>
        <w:tc>
          <w:tcPr>
            <w:tcW w:w="992" w:type="dxa"/>
            <w:gridSpan w:val="2"/>
            <w:vAlign w:val="center"/>
          </w:tcPr>
          <w:p w14:paraId="30D0AF66" w14:textId="77777777" w:rsidR="00271E37" w:rsidRDefault="00271E37">
            <w:pPr>
              <w:rPr>
                <w:rFonts w:cs="Arial"/>
                <w:b/>
                <w:bCs/>
                <w:color w:val="000000"/>
                <w:szCs w:val="16"/>
              </w:rPr>
            </w:pPr>
            <w:r>
              <w:rPr>
                <w:rFonts w:cs="Arial"/>
                <w:b/>
                <w:bCs/>
                <w:color w:val="000000"/>
                <w:szCs w:val="16"/>
              </w:rPr>
              <w:t xml:space="preserve">1,504 </w:t>
            </w:r>
          </w:p>
        </w:tc>
        <w:tc>
          <w:tcPr>
            <w:tcW w:w="992" w:type="dxa"/>
            <w:gridSpan w:val="2"/>
            <w:vAlign w:val="center"/>
          </w:tcPr>
          <w:p w14:paraId="50E5AAA7"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15D0B744" w14:textId="77777777" w:rsidR="00271E37" w:rsidRDefault="00271E37">
            <w:pPr>
              <w:rPr>
                <w:rFonts w:cs="Arial"/>
                <w:b/>
                <w:bCs/>
                <w:color w:val="000000"/>
                <w:szCs w:val="16"/>
              </w:rPr>
            </w:pPr>
            <w:r>
              <w:rPr>
                <w:rFonts w:cs="Arial"/>
                <w:b/>
                <w:bCs/>
                <w:color w:val="000000"/>
                <w:szCs w:val="16"/>
              </w:rPr>
              <w:t xml:space="preserve">1,504 </w:t>
            </w:r>
          </w:p>
        </w:tc>
      </w:tr>
      <w:tr w:rsidR="00271E37" w:rsidRPr="00421E15" w14:paraId="49191647" w14:textId="77777777">
        <w:trPr>
          <w:gridAfter w:val="2"/>
          <w:wAfter w:w="2966" w:type="dxa"/>
        </w:trPr>
        <w:tc>
          <w:tcPr>
            <w:tcW w:w="2976" w:type="dxa"/>
          </w:tcPr>
          <w:p w14:paraId="19CCB2A9" w14:textId="77777777" w:rsidR="00271E37" w:rsidRPr="00421E15" w:rsidRDefault="00271E37">
            <w:pPr>
              <w:jc w:val="left"/>
            </w:pPr>
            <w:r w:rsidRPr="00421E15">
              <w:t>Amortisation – intangible assets</w:t>
            </w:r>
          </w:p>
        </w:tc>
        <w:tc>
          <w:tcPr>
            <w:tcW w:w="992" w:type="dxa"/>
            <w:gridSpan w:val="2"/>
            <w:vAlign w:val="center"/>
          </w:tcPr>
          <w:p w14:paraId="5CEEC04E" w14:textId="77777777" w:rsidR="00271E37" w:rsidRPr="005D44F0" w:rsidRDefault="00271E37">
            <w:pPr>
              <w:rPr>
                <w:b/>
                <w:bCs/>
              </w:rPr>
            </w:pPr>
            <w:r>
              <w:rPr>
                <w:rFonts w:cs="Arial"/>
                <w:color w:val="000000"/>
                <w:szCs w:val="16"/>
              </w:rPr>
              <w:t xml:space="preserve">12 </w:t>
            </w:r>
          </w:p>
        </w:tc>
        <w:tc>
          <w:tcPr>
            <w:tcW w:w="992" w:type="dxa"/>
            <w:gridSpan w:val="2"/>
            <w:vAlign w:val="center"/>
          </w:tcPr>
          <w:p w14:paraId="4E54690B" w14:textId="77777777" w:rsidR="00271E37" w:rsidRPr="005D44F0" w:rsidRDefault="00271E37">
            <w:pPr>
              <w:rPr>
                <w:b/>
                <w:bCs/>
              </w:rPr>
            </w:pPr>
            <w:r>
              <w:rPr>
                <w:rFonts w:cs="Arial"/>
                <w:color w:val="000000"/>
                <w:szCs w:val="16"/>
              </w:rPr>
              <w:t xml:space="preserve">110 </w:t>
            </w:r>
          </w:p>
        </w:tc>
        <w:tc>
          <w:tcPr>
            <w:tcW w:w="992" w:type="dxa"/>
            <w:gridSpan w:val="2"/>
            <w:vAlign w:val="center"/>
          </w:tcPr>
          <w:p w14:paraId="174EBCBD" w14:textId="77777777" w:rsidR="00271E37" w:rsidRPr="005D44F0" w:rsidRDefault="00271E37">
            <w:pPr>
              <w:rPr>
                <w:b/>
                <w:bCs/>
              </w:rPr>
            </w:pPr>
            <w:r>
              <w:rPr>
                <w:rFonts w:cs="Arial"/>
                <w:color w:val="000000"/>
                <w:szCs w:val="16"/>
              </w:rPr>
              <w:t xml:space="preserve">21 </w:t>
            </w:r>
          </w:p>
        </w:tc>
        <w:tc>
          <w:tcPr>
            <w:tcW w:w="992" w:type="dxa"/>
            <w:gridSpan w:val="2"/>
            <w:vAlign w:val="center"/>
          </w:tcPr>
          <w:p w14:paraId="42AB6E29" w14:textId="77777777" w:rsidR="00271E37" w:rsidRPr="00F268BA" w:rsidRDefault="00271E37">
            <w:pPr>
              <w:rPr>
                <w:b/>
                <w:bCs/>
              </w:rPr>
            </w:pPr>
            <w:r w:rsidRPr="00F268BA">
              <w:rPr>
                <w:rFonts w:cs="Arial"/>
                <w:szCs w:val="16"/>
              </w:rPr>
              <w:t xml:space="preserve"> - </w:t>
            </w:r>
          </w:p>
        </w:tc>
        <w:tc>
          <w:tcPr>
            <w:tcW w:w="992" w:type="dxa"/>
            <w:gridSpan w:val="2"/>
            <w:vAlign w:val="center"/>
          </w:tcPr>
          <w:p w14:paraId="45ADEA05" w14:textId="77777777" w:rsidR="00271E37" w:rsidRPr="005D44F0" w:rsidRDefault="00271E37">
            <w:pPr>
              <w:rPr>
                <w:b/>
                <w:bCs/>
              </w:rPr>
            </w:pPr>
            <w:r>
              <w:rPr>
                <w:rFonts w:cs="Arial"/>
                <w:b/>
                <w:bCs/>
                <w:color w:val="000000"/>
                <w:szCs w:val="16"/>
              </w:rPr>
              <w:t xml:space="preserve">143 </w:t>
            </w:r>
          </w:p>
        </w:tc>
        <w:tc>
          <w:tcPr>
            <w:tcW w:w="992" w:type="dxa"/>
            <w:gridSpan w:val="2"/>
            <w:vAlign w:val="center"/>
          </w:tcPr>
          <w:p w14:paraId="3BF79476" w14:textId="77777777" w:rsidR="00271E37" w:rsidRPr="005D44F0" w:rsidRDefault="00271E37">
            <w:pPr>
              <w:rPr>
                <w:b/>
                <w:bCs/>
              </w:rPr>
            </w:pPr>
            <w:r>
              <w:rPr>
                <w:rFonts w:cs="Arial"/>
                <w:color w:val="000000"/>
                <w:szCs w:val="16"/>
              </w:rPr>
              <w:t xml:space="preserve">195 </w:t>
            </w:r>
          </w:p>
        </w:tc>
        <w:tc>
          <w:tcPr>
            <w:tcW w:w="992" w:type="dxa"/>
            <w:vAlign w:val="center"/>
          </w:tcPr>
          <w:p w14:paraId="24075A1F" w14:textId="77777777" w:rsidR="00271E37" w:rsidRPr="005D44F0" w:rsidRDefault="00271E37">
            <w:pPr>
              <w:rPr>
                <w:b/>
                <w:bCs/>
              </w:rPr>
            </w:pPr>
            <w:r>
              <w:rPr>
                <w:rFonts w:cs="Arial"/>
                <w:b/>
                <w:bCs/>
                <w:color w:val="000000"/>
                <w:szCs w:val="16"/>
              </w:rPr>
              <w:t xml:space="preserve">338 </w:t>
            </w:r>
          </w:p>
        </w:tc>
      </w:tr>
      <w:tr w:rsidR="00271E37" w:rsidRPr="00421E15" w14:paraId="68D0CC2C" w14:textId="77777777">
        <w:trPr>
          <w:gridAfter w:val="2"/>
          <w:wAfter w:w="2966" w:type="dxa"/>
        </w:trPr>
        <w:tc>
          <w:tcPr>
            <w:tcW w:w="2976" w:type="dxa"/>
          </w:tcPr>
          <w:p w14:paraId="6278726A" w14:textId="77777777" w:rsidR="00271E37" w:rsidRPr="00421E15" w:rsidRDefault="00271E37">
            <w:pPr>
              <w:jc w:val="left"/>
            </w:pPr>
            <w:r w:rsidRPr="00421E15">
              <w:t>Depreciation – right-of-use assets</w:t>
            </w:r>
          </w:p>
        </w:tc>
        <w:tc>
          <w:tcPr>
            <w:tcW w:w="992" w:type="dxa"/>
            <w:gridSpan w:val="2"/>
            <w:vAlign w:val="center"/>
          </w:tcPr>
          <w:p w14:paraId="41CA376E" w14:textId="77777777" w:rsidR="00271E37" w:rsidRPr="005D44F0" w:rsidRDefault="00271E37">
            <w:pPr>
              <w:rPr>
                <w:b/>
                <w:bCs/>
              </w:rPr>
            </w:pPr>
            <w:r>
              <w:rPr>
                <w:rFonts w:cs="Arial"/>
                <w:color w:val="000000"/>
                <w:szCs w:val="16"/>
              </w:rPr>
              <w:t xml:space="preserve">971 </w:t>
            </w:r>
          </w:p>
        </w:tc>
        <w:tc>
          <w:tcPr>
            <w:tcW w:w="992" w:type="dxa"/>
            <w:gridSpan w:val="2"/>
            <w:vAlign w:val="center"/>
          </w:tcPr>
          <w:p w14:paraId="05BD5885" w14:textId="77777777" w:rsidR="00271E37" w:rsidRPr="005D44F0" w:rsidRDefault="00271E37">
            <w:pPr>
              <w:rPr>
                <w:b/>
                <w:bCs/>
              </w:rPr>
            </w:pPr>
            <w:r>
              <w:rPr>
                <w:rFonts w:cs="Arial"/>
                <w:color w:val="000000"/>
                <w:szCs w:val="16"/>
              </w:rPr>
              <w:t xml:space="preserve">1,219 </w:t>
            </w:r>
          </w:p>
        </w:tc>
        <w:tc>
          <w:tcPr>
            <w:tcW w:w="992" w:type="dxa"/>
            <w:gridSpan w:val="2"/>
            <w:vAlign w:val="center"/>
          </w:tcPr>
          <w:p w14:paraId="4BF9ACD3" w14:textId="77777777" w:rsidR="00271E37" w:rsidRPr="005D44F0" w:rsidRDefault="00271E37">
            <w:pPr>
              <w:rPr>
                <w:b/>
                <w:bCs/>
              </w:rPr>
            </w:pPr>
            <w:r>
              <w:rPr>
                <w:rFonts w:cs="Arial"/>
                <w:color w:val="000000"/>
                <w:szCs w:val="16"/>
              </w:rPr>
              <w:t xml:space="preserve">1,607 </w:t>
            </w:r>
          </w:p>
        </w:tc>
        <w:tc>
          <w:tcPr>
            <w:tcW w:w="992" w:type="dxa"/>
            <w:gridSpan w:val="2"/>
            <w:vAlign w:val="center"/>
          </w:tcPr>
          <w:p w14:paraId="4467F192" w14:textId="77777777" w:rsidR="00271E37" w:rsidRPr="00F268BA" w:rsidRDefault="00271E37">
            <w:pPr>
              <w:rPr>
                <w:b/>
                <w:bCs/>
              </w:rPr>
            </w:pPr>
            <w:r w:rsidRPr="00F268BA">
              <w:rPr>
                <w:rFonts w:cs="Arial"/>
                <w:szCs w:val="16"/>
              </w:rPr>
              <w:t xml:space="preserve"> - </w:t>
            </w:r>
          </w:p>
        </w:tc>
        <w:tc>
          <w:tcPr>
            <w:tcW w:w="992" w:type="dxa"/>
            <w:gridSpan w:val="2"/>
            <w:vAlign w:val="center"/>
          </w:tcPr>
          <w:p w14:paraId="62AB3C7D" w14:textId="77777777" w:rsidR="00271E37" w:rsidRPr="005D44F0" w:rsidRDefault="00271E37">
            <w:pPr>
              <w:rPr>
                <w:b/>
                <w:bCs/>
              </w:rPr>
            </w:pPr>
            <w:r>
              <w:rPr>
                <w:rFonts w:cs="Arial"/>
                <w:b/>
                <w:bCs/>
                <w:color w:val="000000"/>
                <w:szCs w:val="16"/>
              </w:rPr>
              <w:t xml:space="preserve">3,797 </w:t>
            </w:r>
          </w:p>
        </w:tc>
        <w:tc>
          <w:tcPr>
            <w:tcW w:w="992" w:type="dxa"/>
            <w:gridSpan w:val="2"/>
            <w:vAlign w:val="center"/>
          </w:tcPr>
          <w:p w14:paraId="5E3C6811" w14:textId="77777777" w:rsidR="00271E37" w:rsidRPr="005D44F0" w:rsidRDefault="00271E37">
            <w:pPr>
              <w:rPr>
                <w:b/>
                <w:bCs/>
              </w:rPr>
            </w:pPr>
            <w:r>
              <w:rPr>
                <w:rFonts w:cs="Arial"/>
                <w:color w:val="000000"/>
                <w:szCs w:val="16"/>
              </w:rPr>
              <w:t xml:space="preserve">1,185 </w:t>
            </w:r>
          </w:p>
        </w:tc>
        <w:tc>
          <w:tcPr>
            <w:tcW w:w="992" w:type="dxa"/>
            <w:vAlign w:val="center"/>
          </w:tcPr>
          <w:p w14:paraId="4E713A27" w14:textId="77777777" w:rsidR="00271E37" w:rsidRPr="005D44F0" w:rsidRDefault="00271E37">
            <w:pPr>
              <w:rPr>
                <w:b/>
                <w:bCs/>
              </w:rPr>
            </w:pPr>
            <w:r>
              <w:rPr>
                <w:rFonts w:cs="Arial"/>
                <w:b/>
                <w:bCs/>
                <w:color w:val="000000"/>
                <w:szCs w:val="16"/>
              </w:rPr>
              <w:t xml:space="preserve">4,982 </w:t>
            </w:r>
          </w:p>
        </w:tc>
      </w:tr>
      <w:tr w:rsidR="00271E37" w:rsidRPr="00421E15" w14:paraId="3D018C61" w14:textId="77777777">
        <w:trPr>
          <w:gridAfter w:val="2"/>
          <w:wAfter w:w="2966" w:type="dxa"/>
        </w:trPr>
        <w:tc>
          <w:tcPr>
            <w:tcW w:w="2976" w:type="dxa"/>
          </w:tcPr>
          <w:p w14:paraId="2D35A44E" w14:textId="77777777" w:rsidR="00271E37" w:rsidRPr="00DC6080" w:rsidRDefault="00271E37">
            <w:pPr>
              <w:jc w:val="left"/>
            </w:pPr>
            <w:r w:rsidRPr="00DC6080">
              <w:t>Cost of sales</w:t>
            </w:r>
          </w:p>
        </w:tc>
        <w:tc>
          <w:tcPr>
            <w:tcW w:w="992" w:type="dxa"/>
            <w:gridSpan w:val="2"/>
            <w:vAlign w:val="center"/>
          </w:tcPr>
          <w:p w14:paraId="7DED0286" w14:textId="77777777" w:rsidR="00271E37" w:rsidRPr="00DC6080" w:rsidRDefault="00271E37">
            <w:pPr>
              <w:rPr>
                <w:rFonts w:cs="Arial"/>
                <w:color w:val="000000"/>
              </w:rPr>
            </w:pPr>
            <w:r>
              <w:rPr>
                <w:rFonts w:cs="Arial"/>
                <w:color w:val="000000"/>
                <w:szCs w:val="16"/>
              </w:rPr>
              <w:t xml:space="preserve">84,426 </w:t>
            </w:r>
          </w:p>
        </w:tc>
        <w:tc>
          <w:tcPr>
            <w:tcW w:w="992" w:type="dxa"/>
            <w:gridSpan w:val="2"/>
            <w:vAlign w:val="center"/>
          </w:tcPr>
          <w:p w14:paraId="0886C5BF" w14:textId="77777777" w:rsidR="00271E37" w:rsidRPr="00DC6080" w:rsidRDefault="00271E37">
            <w:pPr>
              <w:rPr>
                <w:rFonts w:cs="Arial"/>
                <w:color w:val="000000"/>
              </w:rPr>
            </w:pPr>
            <w:r>
              <w:rPr>
                <w:rFonts w:cs="Arial"/>
                <w:color w:val="000000"/>
                <w:szCs w:val="16"/>
              </w:rPr>
              <w:t xml:space="preserve">66,500 </w:t>
            </w:r>
          </w:p>
        </w:tc>
        <w:tc>
          <w:tcPr>
            <w:tcW w:w="992" w:type="dxa"/>
            <w:gridSpan w:val="2"/>
            <w:vAlign w:val="center"/>
          </w:tcPr>
          <w:p w14:paraId="355CD5A1" w14:textId="77777777" w:rsidR="00271E37" w:rsidRPr="00DC6080" w:rsidRDefault="00271E37">
            <w:pPr>
              <w:rPr>
                <w:rFonts w:cs="Arial"/>
                <w:color w:val="000000"/>
              </w:rPr>
            </w:pPr>
            <w:r>
              <w:rPr>
                <w:rFonts w:cs="Arial"/>
                <w:color w:val="000000"/>
                <w:szCs w:val="16"/>
              </w:rPr>
              <w:t xml:space="preserve">26,514 </w:t>
            </w:r>
          </w:p>
        </w:tc>
        <w:tc>
          <w:tcPr>
            <w:tcW w:w="992" w:type="dxa"/>
            <w:gridSpan w:val="2"/>
            <w:vAlign w:val="center"/>
          </w:tcPr>
          <w:p w14:paraId="457C3F87" w14:textId="77777777" w:rsidR="00271E37" w:rsidRPr="00DC6080" w:rsidRDefault="00271E37">
            <w:pPr>
              <w:rPr>
                <w:rFonts w:cs="Arial"/>
                <w:color w:val="000000"/>
              </w:rPr>
            </w:pPr>
            <w:r>
              <w:rPr>
                <w:rFonts w:cs="Arial"/>
                <w:color w:val="000000"/>
                <w:szCs w:val="16"/>
              </w:rPr>
              <w:t>(681)</w:t>
            </w:r>
          </w:p>
        </w:tc>
        <w:tc>
          <w:tcPr>
            <w:tcW w:w="992" w:type="dxa"/>
            <w:gridSpan w:val="2"/>
            <w:vAlign w:val="center"/>
          </w:tcPr>
          <w:p w14:paraId="4A9E072B" w14:textId="77777777" w:rsidR="00271E37" w:rsidRPr="00874BE9" w:rsidRDefault="00271E37">
            <w:pPr>
              <w:rPr>
                <w:b/>
                <w:bCs/>
              </w:rPr>
            </w:pPr>
            <w:r>
              <w:rPr>
                <w:rFonts w:cs="Arial"/>
                <w:b/>
                <w:bCs/>
                <w:color w:val="000000"/>
                <w:szCs w:val="16"/>
              </w:rPr>
              <w:t xml:space="preserve">176,759 </w:t>
            </w:r>
          </w:p>
        </w:tc>
        <w:tc>
          <w:tcPr>
            <w:tcW w:w="992" w:type="dxa"/>
            <w:gridSpan w:val="2"/>
            <w:vAlign w:val="center"/>
          </w:tcPr>
          <w:p w14:paraId="2B85D064" w14:textId="77777777" w:rsidR="00271E37" w:rsidRPr="00DC6080" w:rsidRDefault="00271E37">
            <w:pPr>
              <w:rPr>
                <w:rFonts w:cs="Arial"/>
                <w:color w:val="000000"/>
              </w:rPr>
            </w:pPr>
            <w:r>
              <w:rPr>
                <w:rFonts w:cs="Arial"/>
                <w:color w:val="000000"/>
                <w:szCs w:val="16"/>
              </w:rPr>
              <w:t xml:space="preserve">23,903 </w:t>
            </w:r>
          </w:p>
        </w:tc>
        <w:tc>
          <w:tcPr>
            <w:tcW w:w="992" w:type="dxa"/>
            <w:vAlign w:val="center"/>
          </w:tcPr>
          <w:p w14:paraId="47986904" w14:textId="77777777" w:rsidR="00271E37" w:rsidRPr="00DC6080" w:rsidRDefault="00271E37">
            <w:pPr>
              <w:rPr>
                <w:rFonts w:cs="Arial"/>
                <w:color w:val="000000"/>
              </w:rPr>
            </w:pPr>
            <w:r>
              <w:rPr>
                <w:rFonts w:cs="Arial"/>
                <w:b/>
                <w:bCs/>
                <w:color w:val="000000"/>
                <w:szCs w:val="16"/>
              </w:rPr>
              <w:t xml:space="preserve">200,662 </w:t>
            </w:r>
          </w:p>
        </w:tc>
      </w:tr>
      <w:tr w:rsidR="00271E37" w:rsidRPr="00421E15" w14:paraId="72996A2F" w14:textId="77777777">
        <w:trPr>
          <w:gridAfter w:val="2"/>
          <w:wAfter w:w="2966" w:type="dxa"/>
        </w:trPr>
        <w:tc>
          <w:tcPr>
            <w:tcW w:w="2976" w:type="dxa"/>
          </w:tcPr>
          <w:p w14:paraId="7F733B7A" w14:textId="77777777" w:rsidR="00271E37" w:rsidRPr="00421E15" w:rsidRDefault="00271E37">
            <w:pPr>
              <w:jc w:val="left"/>
            </w:pPr>
            <w:r>
              <w:t>Profit/</w:t>
            </w:r>
            <w:r w:rsidRPr="00421E15">
              <w:t>(</w:t>
            </w:r>
            <w:r>
              <w:t>l</w:t>
            </w:r>
            <w:r w:rsidRPr="00421E15">
              <w:t>oss) on disposal of property, plant and equipment</w:t>
            </w:r>
          </w:p>
        </w:tc>
        <w:tc>
          <w:tcPr>
            <w:tcW w:w="992" w:type="dxa"/>
            <w:gridSpan w:val="2"/>
            <w:vAlign w:val="center"/>
          </w:tcPr>
          <w:p w14:paraId="02BDBA26" w14:textId="77777777" w:rsidR="00271E37" w:rsidRPr="005D44F0" w:rsidRDefault="00271E37">
            <w:pPr>
              <w:rPr>
                <w:b/>
                <w:bCs/>
              </w:rPr>
            </w:pPr>
            <w:r>
              <w:rPr>
                <w:rFonts w:cs="Arial"/>
                <w:color w:val="000000"/>
                <w:szCs w:val="16"/>
              </w:rPr>
              <w:t xml:space="preserve"> - </w:t>
            </w:r>
          </w:p>
        </w:tc>
        <w:tc>
          <w:tcPr>
            <w:tcW w:w="992" w:type="dxa"/>
            <w:gridSpan w:val="2"/>
            <w:vAlign w:val="center"/>
          </w:tcPr>
          <w:p w14:paraId="439AFCFA" w14:textId="77777777" w:rsidR="00271E37" w:rsidRPr="005D44F0" w:rsidRDefault="00271E37">
            <w:pPr>
              <w:rPr>
                <w:b/>
                <w:bCs/>
              </w:rPr>
            </w:pPr>
            <w:r>
              <w:rPr>
                <w:rFonts w:cs="Arial"/>
                <w:color w:val="000000"/>
                <w:szCs w:val="16"/>
              </w:rPr>
              <w:t xml:space="preserve">2,964 </w:t>
            </w:r>
          </w:p>
        </w:tc>
        <w:tc>
          <w:tcPr>
            <w:tcW w:w="992" w:type="dxa"/>
            <w:gridSpan w:val="2"/>
            <w:vAlign w:val="center"/>
          </w:tcPr>
          <w:p w14:paraId="2BE7CD01" w14:textId="77777777" w:rsidR="00271E37" w:rsidRPr="005D44F0" w:rsidRDefault="00271E37">
            <w:pPr>
              <w:rPr>
                <w:b/>
                <w:bCs/>
              </w:rPr>
            </w:pPr>
            <w:r>
              <w:rPr>
                <w:rFonts w:cs="Arial"/>
                <w:color w:val="000000"/>
                <w:szCs w:val="16"/>
              </w:rPr>
              <w:t>(18)</w:t>
            </w:r>
          </w:p>
        </w:tc>
        <w:tc>
          <w:tcPr>
            <w:tcW w:w="992" w:type="dxa"/>
            <w:gridSpan w:val="2"/>
            <w:vAlign w:val="center"/>
          </w:tcPr>
          <w:p w14:paraId="76B06318" w14:textId="77777777" w:rsidR="00271E37" w:rsidRPr="005D44F0" w:rsidRDefault="00271E37">
            <w:pPr>
              <w:rPr>
                <w:b/>
                <w:bCs/>
              </w:rPr>
            </w:pPr>
            <w:r>
              <w:rPr>
                <w:rFonts w:cs="Arial"/>
                <w:color w:val="000000"/>
                <w:szCs w:val="16"/>
              </w:rPr>
              <w:t xml:space="preserve"> - </w:t>
            </w:r>
          </w:p>
        </w:tc>
        <w:tc>
          <w:tcPr>
            <w:tcW w:w="992" w:type="dxa"/>
            <w:gridSpan w:val="2"/>
            <w:vAlign w:val="center"/>
          </w:tcPr>
          <w:p w14:paraId="67D697B6" w14:textId="77777777" w:rsidR="00271E37" w:rsidRPr="005D44F0" w:rsidRDefault="00271E37">
            <w:pPr>
              <w:rPr>
                <w:b/>
                <w:bCs/>
              </w:rPr>
            </w:pPr>
            <w:r>
              <w:rPr>
                <w:rFonts w:cs="Arial"/>
                <w:b/>
                <w:bCs/>
                <w:color w:val="000000"/>
                <w:szCs w:val="16"/>
              </w:rPr>
              <w:t xml:space="preserve">2,946 </w:t>
            </w:r>
          </w:p>
        </w:tc>
        <w:tc>
          <w:tcPr>
            <w:tcW w:w="992" w:type="dxa"/>
            <w:gridSpan w:val="2"/>
            <w:vAlign w:val="center"/>
          </w:tcPr>
          <w:p w14:paraId="2E871508" w14:textId="587F3A01" w:rsidR="00271E37" w:rsidRPr="005D44F0" w:rsidRDefault="00271E37">
            <w:pPr>
              <w:rPr>
                <w:b/>
                <w:bCs/>
              </w:rPr>
            </w:pPr>
            <w:r>
              <w:rPr>
                <w:rFonts w:cs="Arial"/>
                <w:color w:val="000000"/>
                <w:szCs w:val="16"/>
              </w:rPr>
              <w:t xml:space="preserve"> </w:t>
            </w:r>
            <w:r w:rsidR="00893E93">
              <w:rPr>
                <w:rFonts w:cs="Arial"/>
                <w:color w:val="000000"/>
                <w:szCs w:val="16"/>
              </w:rPr>
              <w:t>608</w:t>
            </w:r>
            <w:r>
              <w:rPr>
                <w:rFonts w:cs="Arial"/>
                <w:color w:val="000000"/>
                <w:szCs w:val="16"/>
              </w:rPr>
              <w:t xml:space="preserve"> </w:t>
            </w:r>
          </w:p>
        </w:tc>
        <w:tc>
          <w:tcPr>
            <w:tcW w:w="992" w:type="dxa"/>
            <w:vAlign w:val="center"/>
          </w:tcPr>
          <w:p w14:paraId="0F3EADAC" w14:textId="23E11713" w:rsidR="00271E37" w:rsidRPr="005D44F0" w:rsidRDefault="00893E93">
            <w:pPr>
              <w:rPr>
                <w:b/>
                <w:bCs/>
              </w:rPr>
            </w:pPr>
            <w:r>
              <w:rPr>
                <w:rFonts w:cs="Arial"/>
                <w:b/>
                <w:bCs/>
                <w:color w:val="000000"/>
                <w:szCs w:val="16"/>
              </w:rPr>
              <w:t>3,554</w:t>
            </w:r>
            <w:r w:rsidR="00271E37">
              <w:rPr>
                <w:rFonts w:cs="Arial"/>
                <w:b/>
                <w:bCs/>
                <w:color w:val="000000"/>
                <w:szCs w:val="16"/>
              </w:rPr>
              <w:t xml:space="preserve"> </w:t>
            </w:r>
          </w:p>
        </w:tc>
      </w:tr>
      <w:bookmarkEnd w:id="32"/>
    </w:tbl>
    <w:p w14:paraId="028B90F4" w14:textId="77777777" w:rsidR="00271E37" w:rsidRPr="00B31FA7" w:rsidRDefault="00271E37">
      <w:pPr>
        <w:rPr>
          <w:sz w:val="14"/>
          <w:szCs w:val="14"/>
        </w:rPr>
      </w:pPr>
    </w:p>
    <w:tbl>
      <w:tblPr>
        <w:tblStyle w:val="tableDUL"/>
        <w:tblW w:w="9919" w:type="dxa"/>
        <w:tblLayout w:type="fixed"/>
        <w:tblLook w:val="04A0" w:firstRow="1" w:lastRow="0" w:firstColumn="1" w:lastColumn="0" w:noHBand="0" w:noVBand="1"/>
      </w:tblPr>
      <w:tblGrid>
        <w:gridCol w:w="2975"/>
        <w:gridCol w:w="992"/>
        <w:gridCol w:w="992"/>
        <w:gridCol w:w="992"/>
        <w:gridCol w:w="992"/>
        <w:gridCol w:w="992"/>
        <w:gridCol w:w="992"/>
        <w:gridCol w:w="992"/>
      </w:tblGrid>
      <w:tr w:rsidR="00271E37" w:rsidRPr="001B4584" w14:paraId="37BEA8A4" w14:textId="77777777">
        <w:tc>
          <w:tcPr>
            <w:tcW w:w="2975" w:type="dxa"/>
          </w:tcPr>
          <w:p w14:paraId="3F448821" w14:textId="77777777" w:rsidR="00271E37" w:rsidRPr="001B4584" w:rsidRDefault="00271E37" w:rsidP="001B4584">
            <w:pPr>
              <w:jc w:val="left"/>
            </w:pPr>
            <w:r w:rsidRPr="001B4584">
              <w:t> </w:t>
            </w:r>
          </w:p>
        </w:tc>
        <w:tc>
          <w:tcPr>
            <w:tcW w:w="992" w:type="dxa"/>
            <w:vAlign w:val="bottom"/>
          </w:tcPr>
          <w:p w14:paraId="43272944" w14:textId="77777777" w:rsidR="00271E37" w:rsidRPr="001B4584" w:rsidRDefault="00271E37">
            <w:r>
              <w:t>DG Europe</w:t>
            </w:r>
          </w:p>
        </w:tc>
        <w:tc>
          <w:tcPr>
            <w:tcW w:w="992" w:type="dxa"/>
            <w:vAlign w:val="bottom"/>
          </w:tcPr>
          <w:p w14:paraId="5066E6ED" w14:textId="77777777" w:rsidR="00271E37" w:rsidRPr="001B4584" w:rsidRDefault="00271E37">
            <w:r>
              <w:t xml:space="preserve">DG </w:t>
            </w:r>
            <w:r w:rsidRPr="00746122">
              <w:t>UK</w:t>
            </w:r>
          </w:p>
        </w:tc>
        <w:tc>
          <w:tcPr>
            <w:tcW w:w="992" w:type="dxa"/>
            <w:vAlign w:val="bottom"/>
          </w:tcPr>
          <w:p w14:paraId="16B5E80B" w14:textId="77777777" w:rsidR="00271E37" w:rsidRDefault="00271E37">
            <w:r>
              <w:t xml:space="preserve">DG </w:t>
            </w:r>
          </w:p>
          <w:p w14:paraId="5B93AE95" w14:textId="77777777" w:rsidR="00271E37" w:rsidRPr="001B4584" w:rsidRDefault="00271E37">
            <w:r w:rsidRPr="00746122">
              <w:t>Australia</w:t>
            </w:r>
          </w:p>
        </w:tc>
        <w:tc>
          <w:tcPr>
            <w:tcW w:w="992" w:type="dxa"/>
          </w:tcPr>
          <w:p w14:paraId="4B9D79FF" w14:textId="77777777" w:rsidR="00271E37" w:rsidRDefault="00271E37"/>
          <w:p w14:paraId="735E0CBE" w14:textId="77777777" w:rsidR="00271E37" w:rsidRPr="001B4584" w:rsidRDefault="00271E37" w:rsidP="001B4584">
            <w:r w:rsidRPr="001B4584">
              <w:t>Central and eliminations</w:t>
            </w:r>
          </w:p>
        </w:tc>
        <w:tc>
          <w:tcPr>
            <w:tcW w:w="992" w:type="dxa"/>
            <w:tcBorders>
              <w:bottom w:val="nil"/>
            </w:tcBorders>
          </w:tcPr>
          <w:p w14:paraId="7A1BBE72" w14:textId="77777777" w:rsidR="00271E37" w:rsidRPr="00874BE9" w:rsidRDefault="00271E37"/>
          <w:p w14:paraId="15660B23" w14:textId="77777777" w:rsidR="00271E37" w:rsidRPr="00874BE9" w:rsidRDefault="00271E37">
            <w:r w:rsidRPr="00874BE9">
              <w:t>Continuing Group</w:t>
            </w:r>
          </w:p>
        </w:tc>
        <w:tc>
          <w:tcPr>
            <w:tcW w:w="992" w:type="dxa"/>
            <w:tcBorders>
              <w:bottom w:val="nil"/>
            </w:tcBorders>
          </w:tcPr>
          <w:p w14:paraId="06C5EA9A" w14:textId="77777777" w:rsidR="00271E37" w:rsidRPr="00874BE9" w:rsidRDefault="00271E37"/>
          <w:p w14:paraId="71C5C1DA" w14:textId="77777777" w:rsidR="00271E37" w:rsidRDefault="00271E37">
            <w:r w:rsidRPr="00874BE9">
              <w:t xml:space="preserve">DG </w:t>
            </w:r>
          </w:p>
          <w:p w14:paraId="4AAAB2F8" w14:textId="77777777" w:rsidR="00271E37" w:rsidRPr="00874BE9" w:rsidRDefault="00271E37">
            <w:r w:rsidRPr="00874BE9">
              <w:t>Americas</w:t>
            </w:r>
          </w:p>
        </w:tc>
        <w:tc>
          <w:tcPr>
            <w:tcW w:w="992" w:type="dxa"/>
          </w:tcPr>
          <w:p w14:paraId="11A0A7CB" w14:textId="77777777" w:rsidR="00271E37" w:rsidRDefault="00271E37" w:rsidP="001B4584"/>
          <w:p w14:paraId="5B51C619" w14:textId="77777777" w:rsidR="00271E37" w:rsidRDefault="00271E37">
            <w:r>
              <w:t xml:space="preserve">Total </w:t>
            </w:r>
          </w:p>
          <w:p w14:paraId="6B29A57D" w14:textId="77777777" w:rsidR="00271E37" w:rsidRPr="001B4584" w:rsidRDefault="00271E37" w:rsidP="001B4584">
            <w:r w:rsidRPr="001B4584">
              <w:t>Group</w:t>
            </w:r>
          </w:p>
        </w:tc>
      </w:tr>
      <w:tr w:rsidR="00271E37" w:rsidRPr="001B4584" w14:paraId="366D4BBC" w14:textId="77777777">
        <w:tc>
          <w:tcPr>
            <w:tcW w:w="2975" w:type="dxa"/>
            <w:tcBorders>
              <w:bottom w:val="single" w:sz="4" w:space="0" w:color="000000"/>
            </w:tcBorders>
          </w:tcPr>
          <w:p w14:paraId="28587BB7" w14:textId="77777777" w:rsidR="00271E37" w:rsidRPr="001B4584" w:rsidRDefault="00271E37" w:rsidP="001B4584">
            <w:pPr>
              <w:jc w:val="left"/>
            </w:pPr>
          </w:p>
        </w:tc>
        <w:tc>
          <w:tcPr>
            <w:tcW w:w="992" w:type="dxa"/>
            <w:tcBorders>
              <w:bottom w:val="single" w:sz="4" w:space="0" w:color="000000"/>
            </w:tcBorders>
          </w:tcPr>
          <w:p w14:paraId="658ED0AD" w14:textId="77777777" w:rsidR="00271E37" w:rsidRDefault="00271E37" w:rsidP="001B4584">
            <w:r w:rsidRPr="00E07EAD">
              <w:t>£000</w:t>
            </w:r>
          </w:p>
        </w:tc>
        <w:tc>
          <w:tcPr>
            <w:tcW w:w="992" w:type="dxa"/>
            <w:tcBorders>
              <w:bottom w:val="single" w:sz="4" w:space="0" w:color="000000"/>
            </w:tcBorders>
          </w:tcPr>
          <w:p w14:paraId="32E87BB4" w14:textId="77777777" w:rsidR="00271E37" w:rsidRPr="001B4584" w:rsidRDefault="00271E37" w:rsidP="001B4584">
            <w:r>
              <w:t>£</w:t>
            </w:r>
            <w:r w:rsidRPr="001B4584">
              <w:t>000</w:t>
            </w:r>
          </w:p>
        </w:tc>
        <w:tc>
          <w:tcPr>
            <w:tcW w:w="992" w:type="dxa"/>
            <w:tcBorders>
              <w:bottom w:val="single" w:sz="4" w:space="0" w:color="000000"/>
            </w:tcBorders>
          </w:tcPr>
          <w:p w14:paraId="1BDE6FBA" w14:textId="77777777" w:rsidR="00271E37" w:rsidRPr="001B4584" w:rsidRDefault="00271E37" w:rsidP="001B4584">
            <w:r>
              <w:t>£</w:t>
            </w:r>
            <w:r w:rsidRPr="001B4584">
              <w:t>000</w:t>
            </w:r>
          </w:p>
        </w:tc>
        <w:tc>
          <w:tcPr>
            <w:tcW w:w="992" w:type="dxa"/>
            <w:tcBorders>
              <w:bottom w:val="single" w:sz="4" w:space="0" w:color="000000"/>
            </w:tcBorders>
          </w:tcPr>
          <w:p w14:paraId="3F70E30D" w14:textId="77777777" w:rsidR="00271E37" w:rsidRPr="001B4584" w:rsidRDefault="00271E37" w:rsidP="001B4584">
            <w:r>
              <w:t>£</w:t>
            </w:r>
            <w:r w:rsidRPr="001B4584">
              <w:t>000</w:t>
            </w:r>
          </w:p>
        </w:tc>
        <w:tc>
          <w:tcPr>
            <w:tcW w:w="992" w:type="dxa"/>
            <w:tcBorders>
              <w:bottom w:val="single" w:sz="4" w:space="0" w:color="auto"/>
            </w:tcBorders>
          </w:tcPr>
          <w:p w14:paraId="68C33134" w14:textId="77777777" w:rsidR="00271E37" w:rsidRPr="00874BE9" w:rsidRDefault="00271E37">
            <w:r w:rsidRPr="00874BE9">
              <w:t>£000</w:t>
            </w:r>
          </w:p>
        </w:tc>
        <w:tc>
          <w:tcPr>
            <w:tcW w:w="992" w:type="dxa"/>
            <w:tcBorders>
              <w:bottom w:val="single" w:sz="4" w:space="0" w:color="auto"/>
            </w:tcBorders>
          </w:tcPr>
          <w:p w14:paraId="23437CAC" w14:textId="77777777" w:rsidR="00271E37" w:rsidRPr="00874BE9" w:rsidRDefault="00271E37">
            <w:r w:rsidRPr="00874BE9">
              <w:t>£000</w:t>
            </w:r>
          </w:p>
        </w:tc>
        <w:tc>
          <w:tcPr>
            <w:tcW w:w="992" w:type="dxa"/>
            <w:tcBorders>
              <w:bottom w:val="single" w:sz="4" w:space="0" w:color="000000"/>
            </w:tcBorders>
          </w:tcPr>
          <w:p w14:paraId="6F1291B9" w14:textId="77777777" w:rsidR="00271E37" w:rsidRPr="001B4584" w:rsidRDefault="00271E37" w:rsidP="001B4584">
            <w:r>
              <w:t>£</w:t>
            </w:r>
            <w:r w:rsidRPr="001B4584">
              <w:t>000</w:t>
            </w:r>
          </w:p>
        </w:tc>
      </w:tr>
      <w:tr w:rsidR="00271E37" w:rsidRPr="005D44F0" w14:paraId="4FB57D67" w14:textId="77777777">
        <w:tc>
          <w:tcPr>
            <w:tcW w:w="2975" w:type="dxa"/>
            <w:tcBorders>
              <w:top w:val="single" w:sz="4" w:space="0" w:color="000000"/>
            </w:tcBorders>
          </w:tcPr>
          <w:p w14:paraId="19FF49EF" w14:textId="77777777" w:rsidR="00271E37" w:rsidRPr="00DD777C" w:rsidRDefault="00271E37" w:rsidP="000923EA">
            <w:pPr>
              <w:jc w:val="left"/>
            </w:pPr>
            <w:r w:rsidRPr="00DD777C">
              <w:t>Year ended 31 March 202</w:t>
            </w:r>
            <w:r>
              <w:t>5</w:t>
            </w:r>
          </w:p>
        </w:tc>
        <w:tc>
          <w:tcPr>
            <w:tcW w:w="992" w:type="dxa"/>
            <w:tcBorders>
              <w:top w:val="single" w:sz="4" w:space="0" w:color="000000"/>
            </w:tcBorders>
          </w:tcPr>
          <w:p w14:paraId="71C4191B" w14:textId="77777777" w:rsidR="00271E37" w:rsidRPr="005D44F0" w:rsidRDefault="00271E37" w:rsidP="000923EA"/>
        </w:tc>
        <w:tc>
          <w:tcPr>
            <w:tcW w:w="992" w:type="dxa"/>
            <w:tcBorders>
              <w:top w:val="single" w:sz="4" w:space="0" w:color="000000"/>
            </w:tcBorders>
          </w:tcPr>
          <w:p w14:paraId="0B04255C" w14:textId="77777777" w:rsidR="00271E37" w:rsidRPr="005D44F0" w:rsidRDefault="00271E37" w:rsidP="000923EA"/>
        </w:tc>
        <w:tc>
          <w:tcPr>
            <w:tcW w:w="992" w:type="dxa"/>
            <w:tcBorders>
              <w:top w:val="single" w:sz="4" w:space="0" w:color="000000"/>
            </w:tcBorders>
          </w:tcPr>
          <w:p w14:paraId="3919FA56" w14:textId="77777777" w:rsidR="00271E37" w:rsidRPr="005D44F0" w:rsidRDefault="00271E37" w:rsidP="000923EA"/>
        </w:tc>
        <w:tc>
          <w:tcPr>
            <w:tcW w:w="992" w:type="dxa"/>
            <w:tcBorders>
              <w:top w:val="single" w:sz="4" w:space="0" w:color="000000"/>
            </w:tcBorders>
          </w:tcPr>
          <w:p w14:paraId="34A58CC2" w14:textId="77777777" w:rsidR="00271E37" w:rsidRPr="005D44F0" w:rsidRDefault="00271E37" w:rsidP="000923EA"/>
        </w:tc>
        <w:tc>
          <w:tcPr>
            <w:tcW w:w="992" w:type="dxa"/>
            <w:tcBorders>
              <w:top w:val="single" w:sz="4" w:space="0" w:color="auto"/>
            </w:tcBorders>
          </w:tcPr>
          <w:p w14:paraId="4E15CE4F" w14:textId="77777777" w:rsidR="00271E37" w:rsidRPr="00DD777C" w:rsidRDefault="00271E37" w:rsidP="000923EA"/>
        </w:tc>
        <w:tc>
          <w:tcPr>
            <w:tcW w:w="992" w:type="dxa"/>
            <w:tcBorders>
              <w:top w:val="single" w:sz="4" w:space="0" w:color="auto"/>
            </w:tcBorders>
          </w:tcPr>
          <w:p w14:paraId="359892C1" w14:textId="77777777" w:rsidR="00271E37" w:rsidRPr="00DD777C" w:rsidRDefault="00271E37" w:rsidP="000923EA"/>
        </w:tc>
        <w:tc>
          <w:tcPr>
            <w:tcW w:w="992" w:type="dxa"/>
            <w:tcBorders>
              <w:top w:val="single" w:sz="4" w:space="0" w:color="000000"/>
            </w:tcBorders>
          </w:tcPr>
          <w:p w14:paraId="3942B8BA" w14:textId="77777777" w:rsidR="00271E37" w:rsidRPr="00DD777C" w:rsidRDefault="00271E37" w:rsidP="000923EA"/>
        </w:tc>
      </w:tr>
      <w:tr w:rsidR="00271E37" w:rsidRPr="00421E15" w14:paraId="75525666" w14:textId="77777777">
        <w:tc>
          <w:tcPr>
            <w:tcW w:w="2975" w:type="dxa"/>
          </w:tcPr>
          <w:p w14:paraId="0098BD5A" w14:textId="77777777" w:rsidR="00271E37" w:rsidRPr="00421E15" w:rsidRDefault="00271E37">
            <w:pPr>
              <w:jc w:val="left"/>
            </w:pPr>
            <w:r w:rsidRPr="00421E15">
              <w:lastRenderedPageBreak/>
              <w:t>Revenue – external</w:t>
            </w:r>
          </w:p>
        </w:tc>
        <w:tc>
          <w:tcPr>
            <w:tcW w:w="992" w:type="dxa"/>
            <w:vAlign w:val="center"/>
          </w:tcPr>
          <w:p w14:paraId="7EA4CC81" w14:textId="77777777" w:rsidR="00271E37" w:rsidRPr="00421E15" w:rsidRDefault="00271E37">
            <w:r>
              <w:rPr>
                <w:rFonts w:cs="Arial"/>
                <w:color w:val="000000"/>
                <w:szCs w:val="16"/>
              </w:rPr>
              <w:t xml:space="preserve">101,054 </w:t>
            </w:r>
          </w:p>
        </w:tc>
        <w:tc>
          <w:tcPr>
            <w:tcW w:w="992" w:type="dxa"/>
            <w:vAlign w:val="center"/>
          </w:tcPr>
          <w:p w14:paraId="13467484" w14:textId="77777777" w:rsidR="00271E37" w:rsidRPr="00421E15" w:rsidRDefault="00271E37">
            <w:r>
              <w:rPr>
                <w:rFonts w:cs="Arial"/>
                <w:color w:val="000000"/>
                <w:szCs w:val="16"/>
              </w:rPr>
              <w:t xml:space="preserve">92,706 </w:t>
            </w:r>
          </w:p>
        </w:tc>
        <w:tc>
          <w:tcPr>
            <w:tcW w:w="992" w:type="dxa"/>
            <w:vAlign w:val="center"/>
          </w:tcPr>
          <w:p w14:paraId="10F0B084" w14:textId="77777777" w:rsidR="00271E37" w:rsidRPr="00421E15" w:rsidRDefault="00271E37">
            <w:r>
              <w:rPr>
                <w:rFonts w:cs="Arial"/>
                <w:color w:val="000000"/>
                <w:szCs w:val="16"/>
              </w:rPr>
              <w:t xml:space="preserve">31,611 </w:t>
            </w:r>
          </w:p>
        </w:tc>
        <w:tc>
          <w:tcPr>
            <w:tcW w:w="992" w:type="dxa"/>
            <w:vAlign w:val="center"/>
          </w:tcPr>
          <w:p w14:paraId="7CB07325" w14:textId="77777777" w:rsidR="00271E37" w:rsidRPr="00421E15" w:rsidRDefault="00271E37">
            <w:r>
              <w:rPr>
                <w:rFonts w:cs="Arial"/>
                <w:color w:val="000000"/>
                <w:szCs w:val="16"/>
              </w:rPr>
              <w:t xml:space="preserve"> - </w:t>
            </w:r>
          </w:p>
        </w:tc>
        <w:tc>
          <w:tcPr>
            <w:tcW w:w="992" w:type="dxa"/>
            <w:vAlign w:val="center"/>
          </w:tcPr>
          <w:p w14:paraId="183E3F51" w14:textId="77777777" w:rsidR="00271E37" w:rsidRPr="007E569F" w:rsidRDefault="00271E37">
            <w:r>
              <w:rPr>
                <w:rFonts w:cs="Arial"/>
                <w:color w:val="000000"/>
                <w:szCs w:val="16"/>
              </w:rPr>
              <w:t xml:space="preserve">225,371 </w:t>
            </w:r>
          </w:p>
        </w:tc>
        <w:tc>
          <w:tcPr>
            <w:tcW w:w="992" w:type="dxa"/>
            <w:vAlign w:val="center"/>
          </w:tcPr>
          <w:p w14:paraId="270FB70E" w14:textId="77777777" w:rsidR="00271E37" w:rsidRPr="00DD777C" w:rsidRDefault="00271E37">
            <w:r>
              <w:rPr>
                <w:rFonts w:cs="Arial"/>
                <w:color w:val="000000"/>
                <w:szCs w:val="16"/>
              </w:rPr>
              <w:t xml:space="preserve">341,735 </w:t>
            </w:r>
          </w:p>
        </w:tc>
        <w:tc>
          <w:tcPr>
            <w:tcW w:w="992" w:type="dxa"/>
            <w:vAlign w:val="center"/>
          </w:tcPr>
          <w:p w14:paraId="20EE6982" w14:textId="77777777" w:rsidR="00271E37" w:rsidRPr="00DD777C" w:rsidRDefault="00271E37">
            <w:r w:rsidRPr="007E569F">
              <w:rPr>
                <w:rFonts w:cs="Arial"/>
                <w:color w:val="000000"/>
                <w:szCs w:val="16"/>
              </w:rPr>
              <w:t xml:space="preserve">567,106 </w:t>
            </w:r>
          </w:p>
        </w:tc>
      </w:tr>
      <w:tr w:rsidR="00271E37" w:rsidRPr="00421E15" w14:paraId="68DCEEAE" w14:textId="77777777">
        <w:tc>
          <w:tcPr>
            <w:tcW w:w="2975" w:type="dxa"/>
            <w:tcBorders>
              <w:bottom w:val="single" w:sz="4" w:space="0" w:color="000000"/>
            </w:tcBorders>
          </w:tcPr>
          <w:p w14:paraId="72C96D67" w14:textId="77777777" w:rsidR="00271E37" w:rsidRPr="00421E15" w:rsidRDefault="00271E37">
            <w:pPr>
              <w:jc w:val="left"/>
            </w:pPr>
            <w:r>
              <w:t xml:space="preserve">               </w:t>
            </w:r>
            <w:r w:rsidRPr="00421E15">
              <w:t>– inter-segment</w:t>
            </w:r>
          </w:p>
        </w:tc>
        <w:tc>
          <w:tcPr>
            <w:tcW w:w="992" w:type="dxa"/>
            <w:tcBorders>
              <w:bottom w:val="single" w:sz="4" w:space="0" w:color="000000"/>
            </w:tcBorders>
            <w:vAlign w:val="center"/>
          </w:tcPr>
          <w:p w14:paraId="34770D6B" w14:textId="77777777" w:rsidR="00271E37" w:rsidRPr="00421E15" w:rsidRDefault="00271E37">
            <w:r>
              <w:rPr>
                <w:rFonts w:cs="Arial"/>
                <w:color w:val="000000"/>
                <w:szCs w:val="16"/>
              </w:rPr>
              <w:t xml:space="preserve">57 </w:t>
            </w:r>
          </w:p>
        </w:tc>
        <w:tc>
          <w:tcPr>
            <w:tcW w:w="992" w:type="dxa"/>
            <w:tcBorders>
              <w:bottom w:val="single" w:sz="4" w:space="0" w:color="000000"/>
            </w:tcBorders>
            <w:vAlign w:val="center"/>
          </w:tcPr>
          <w:p w14:paraId="564A853B" w14:textId="77777777" w:rsidR="00271E37" w:rsidRPr="00421E15" w:rsidRDefault="00271E37">
            <w:r>
              <w:rPr>
                <w:rFonts w:cs="Arial"/>
                <w:color w:val="000000"/>
                <w:szCs w:val="16"/>
              </w:rPr>
              <w:t xml:space="preserve">641 </w:t>
            </w:r>
          </w:p>
        </w:tc>
        <w:tc>
          <w:tcPr>
            <w:tcW w:w="992" w:type="dxa"/>
            <w:tcBorders>
              <w:bottom w:val="single" w:sz="4" w:space="0" w:color="000000"/>
            </w:tcBorders>
            <w:vAlign w:val="center"/>
          </w:tcPr>
          <w:p w14:paraId="03E60D97" w14:textId="77777777" w:rsidR="00271E37" w:rsidRPr="00421E15" w:rsidRDefault="00271E37">
            <w:r>
              <w:rPr>
                <w:rFonts w:cs="Arial"/>
                <w:color w:val="000000"/>
                <w:szCs w:val="16"/>
              </w:rPr>
              <w:t xml:space="preserve"> - </w:t>
            </w:r>
          </w:p>
        </w:tc>
        <w:tc>
          <w:tcPr>
            <w:tcW w:w="992" w:type="dxa"/>
            <w:tcBorders>
              <w:bottom w:val="single" w:sz="4" w:space="0" w:color="000000"/>
            </w:tcBorders>
            <w:vAlign w:val="center"/>
          </w:tcPr>
          <w:p w14:paraId="2BA41593" w14:textId="77777777" w:rsidR="00271E37" w:rsidRPr="00421E15" w:rsidRDefault="00271E37">
            <w:r>
              <w:rPr>
                <w:rFonts w:cs="Arial"/>
                <w:color w:val="000000"/>
                <w:szCs w:val="16"/>
              </w:rPr>
              <w:t>(698)</w:t>
            </w:r>
          </w:p>
        </w:tc>
        <w:tc>
          <w:tcPr>
            <w:tcW w:w="992" w:type="dxa"/>
            <w:tcBorders>
              <w:bottom w:val="single" w:sz="4" w:space="0" w:color="auto"/>
            </w:tcBorders>
            <w:vAlign w:val="center"/>
          </w:tcPr>
          <w:p w14:paraId="50DC7953" w14:textId="77777777" w:rsidR="00271E37" w:rsidRPr="007E569F" w:rsidRDefault="00271E37">
            <w:r w:rsidRPr="007E569F">
              <w:rPr>
                <w:rFonts w:cs="Arial"/>
                <w:color w:val="000000"/>
                <w:szCs w:val="16"/>
              </w:rPr>
              <w:t xml:space="preserve"> - </w:t>
            </w:r>
          </w:p>
        </w:tc>
        <w:tc>
          <w:tcPr>
            <w:tcW w:w="992" w:type="dxa"/>
            <w:tcBorders>
              <w:bottom w:val="single" w:sz="4" w:space="0" w:color="auto"/>
            </w:tcBorders>
            <w:vAlign w:val="center"/>
          </w:tcPr>
          <w:p w14:paraId="35274596" w14:textId="77777777" w:rsidR="00271E37" w:rsidRPr="007E569F" w:rsidRDefault="00271E37">
            <w:r>
              <w:rPr>
                <w:rFonts w:cs="Arial"/>
                <w:color w:val="000000"/>
                <w:szCs w:val="16"/>
              </w:rPr>
              <w:t xml:space="preserve"> - </w:t>
            </w:r>
          </w:p>
        </w:tc>
        <w:tc>
          <w:tcPr>
            <w:tcW w:w="992" w:type="dxa"/>
            <w:tcBorders>
              <w:bottom w:val="single" w:sz="4" w:space="0" w:color="000000"/>
            </w:tcBorders>
            <w:vAlign w:val="center"/>
          </w:tcPr>
          <w:p w14:paraId="3EA55C91" w14:textId="77777777" w:rsidR="00271E37" w:rsidRPr="007E569F" w:rsidRDefault="00271E37">
            <w:r w:rsidRPr="007E569F">
              <w:rPr>
                <w:rFonts w:cs="Arial"/>
                <w:color w:val="000000"/>
                <w:szCs w:val="16"/>
              </w:rPr>
              <w:t xml:space="preserve"> - </w:t>
            </w:r>
          </w:p>
        </w:tc>
      </w:tr>
      <w:tr w:rsidR="00271E37" w:rsidRPr="005D44F0" w14:paraId="0BBE9C24" w14:textId="77777777">
        <w:tc>
          <w:tcPr>
            <w:tcW w:w="2975" w:type="dxa"/>
            <w:tcBorders>
              <w:top w:val="single" w:sz="4" w:space="0" w:color="000000"/>
              <w:bottom w:val="single" w:sz="4" w:space="0" w:color="000000"/>
            </w:tcBorders>
          </w:tcPr>
          <w:p w14:paraId="7EBD7867" w14:textId="77777777" w:rsidR="00271E37" w:rsidRPr="00DD777C" w:rsidRDefault="00271E37">
            <w:pPr>
              <w:jc w:val="left"/>
            </w:pPr>
            <w:r w:rsidRPr="00DD777C">
              <w:t>Total segment revenue</w:t>
            </w:r>
          </w:p>
        </w:tc>
        <w:tc>
          <w:tcPr>
            <w:tcW w:w="992" w:type="dxa"/>
            <w:tcBorders>
              <w:top w:val="single" w:sz="4" w:space="0" w:color="000000"/>
              <w:bottom w:val="single" w:sz="4" w:space="0" w:color="000000"/>
            </w:tcBorders>
            <w:vAlign w:val="center"/>
          </w:tcPr>
          <w:p w14:paraId="45C0F689" w14:textId="77777777" w:rsidR="00271E37" w:rsidRPr="005D44F0" w:rsidRDefault="00271E37">
            <w:r>
              <w:rPr>
                <w:rFonts w:cs="Arial"/>
                <w:color w:val="000000"/>
                <w:szCs w:val="16"/>
              </w:rPr>
              <w:t xml:space="preserve">101,111 </w:t>
            </w:r>
          </w:p>
        </w:tc>
        <w:tc>
          <w:tcPr>
            <w:tcW w:w="992" w:type="dxa"/>
            <w:tcBorders>
              <w:top w:val="single" w:sz="4" w:space="0" w:color="000000"/>
              <w:bottom w:val="single" w:sz="4" w:space="0" w:color="000000"/>
            </w:tcBorders>
            <w:vAlign w:val="center"/>
          </w:tcPr>
          <w:p w14:paraId="16BECDFF" w14:textId="77777777" w:rsidR="00271E37" w:rsidRPr="005D44F0" w:rsidRDefault="00271E37">
            <w:r>
              <w:rPr>
                <w:rFonts w:cs="Arial"/>
                <w:color w:val="000000"/>
                <w:szCs w:val="16"/>
              </w:rPr>
              <w:t xml:space="preserve">93,347 </w:t>
            </w:r>
          </w:p>
        </w:tc>
        <w:tc>
          <w:tcPr>
            <w:tcW w:w="992" w:type="dxa"/>
            <w:tcBorders>
              <w:top w:val="single" w:sz="4" w:space="0" w:color="000000"/>
              <w:bottom w:val="single" w:sz="4" w:space="0" w:color="000000"/>
            </w:tcBorders>
            <w:vAlign w:val="center"/>
          </w:tcPr>
          <w:p w14:paraId="30F17C84" w14:textId="77777777" w:rsidR="00271E37" w:rsidRPr="005D44F0" w:rsidRDefault="00271E37">
            <w:r>
              <w:rPr>
                <w:rFonts w:cs="Arial"/>
                <w:color w:val="000000"/>
                <w:szCs w:val="16"/>
              </w:rPr>
              <w:t xml:space="preserve">31,611 </w:t>
            </w:r>
          </w:p>
        </w:tc>
        <w:tc>
          <w:tcPr>
            <w:tcW w:w="992" w:type="dxa"/>
            <w:tcBorders>
              <w:top w:val="single" w:sz="4" w:space="0" w:color="000000"/>
              <w:bottom w:val="single" w:sz="4" w:space="0" w:color="000000"/>
            </w:tcBorders>
            <w:vAlign w:val="center"/>
          </w:tcPr>
          <w:p w14:paraId="3B42955E" w14:textId="77777777" w:rsidR="00271E37" w:rsidRPr="005D44F0" w:rsidRDefault="00271E37">
            <w:r>
              <w:rPr>
                <w:rFonts w:cs="Arial"/>
                <w:color w:val="000000"/>
                <w:szCs w:val="16"/>
              </w:rPr>
              <w:t>(698)</w:t>
            </w:r>
          </w:p>
        </w:tc>
        <w:tc>
          <w:tcPr>
            <w:tcW w:w="992" w:type="dxa"/>
            <w:tcBorders>
              <w:top w:val="single" w:sz="4" w:space="0" w:color="auto"/>
              <w:bottom w:val="single" w:sz="4" w:space="0" w:color="auto"/>
            </w:tcBorders>
            <w:vAlign w:val="center"/>
          </w:tcPr>
          <w:p w14:paraId="04690095" w14:textId="77777777" w:rsidR="00271E37" w:rsidRPr="007E569F" w:rsidRDefault="00271E37">
            <w:r w:rsidRPr="007E569F">
              <w:rPr>
                <w:rFonts w:cs="Arial"/>
                <w:color w:val="000000"/>
                <w:szCs w:val="16"/>
              </w:rPr>
              <w:t xml:space="preserve">225,371 </w:t>
            </w:r>
          </w:p>
        </w:tc>
        <w:tc>
          <w:tcPr>
            <w:tcW w:w="992" w:type="dxa"/>
            <w:tcBorders>
              <w:top w:val="single" w:sz="4" w:space="0" w:color="auto"/>
              <w:bottom w:val="single" w:sz="4" w:space="0" w:color="auto"/>
            </w:tcBorders>
            <w:vAlign w:val="center"/>
          </w:tcPr>
          <w:p w14:paraId="4B4807E7" w14:textId="77777777" w:rsidR="00271E37" w:rsidRPr="00DD777C" w:rsidRDefault="00271E37">
            <w:r>
              <w:rPr>
                <w:rFonts w:cs="Arial"/>
                <w:color w:val="000000"/>
                <w:szCs w:val="16"/>
              </w:rPr>
              <w:t xml:space="preserve">341,735 </w:t>
            </w:r>
          </w:p>
        </w:tc>
        <w:tc>
          <w:tcPr>
            <w:tcW w:w="992" w:type="dxa"/>
            <w:tcBorders>
              <w:top w:val="single" w:sz="4" w:space="0" w:color="000000"/>
              <w:bottom w:val="single" w:sz="4" w:space="0" w:color="000000"/>
            </w:tcBorders>
            <w:vAlign w:val="center"/>
          </w:tcPr>
          <w:p w14:paraId="25641677" w14:textId="77777777" w:rsidR="00271E37" w:rsidRPr="00DD777C" w:rsidRDefault="00271E37">
            <w:r w:rsidRPr="007E569F">
              <w:rPr>
                <w:rFonts w:cs="Arial"/>
                <w:color w:val="000000"/>
                <w:szCs w:val="16"/>
              </w:rPr>
              <w:t xml:space="preserve">567,106 </w:t>
            </w:r>
          </w:p>
        </w:tc>
      </w:tr>
      <w:tr w:rsidR="00271E37" w:rsidRPr="005D44F0" w14:paraId="4F9C293D" w14:textId="77777777">
        <w:tc>
          <w:tcPr>
            <w:tcW w:w="2975" w:type="dxa"/>
            <w:tcBorders>
              <w:top w:val="single" w:sz="4" w:space="0" w:color="000000"/>
            </w:tcBorders>
          </w:tcPr>
          <w:p w14:paraId="2A78BA71" w14:textId="77777777" w:rsidR="00271E37" w:rsidRPr="00DD777C" w:rsidRDefault="00271E37">
            <w:pPr>
              <w:jc w:val="left"/>
            </w:pPr>
            <w:r w:rsidRPr="00DD777C">
              <w:t>Segment profit/(loss) before adjusting items</w:t>
            </w:r>
          </w:p>
        </w:tc>
        <w:tc>
          <w:tcPr>
            <w:tcW w:w="992" w:type="dxa"/>
            <w:tcBorders>
              <w:top w:val="single" w:sz="4" w:space="0" w:color="000000"/>
            </w:tcBorders>
            <w:vAlign w:val="center"/>
          </w:tcPr>
          <w:p w14:paraId="74953EB7" w14:textId="77777777" w:rsidR="00271E37" w:rsidRPr="00DD777C" w:rsidRDefault="00271E37">
            <w:r>
              <w:rPr>
                <w:rFonts w:cs="Arial"/>
                <w:color w:val="000000"/>
                <w:szCs w:val="16"/>
              </w:rPr>
              <w:t xml:space="preserve">14,448 </w:t>
            </w:r>
          </w:p>
        </w:tc>
        <w:tc>
          <w:tcPr>
            <w:tcW w:w="992" w:type="dxa"/>
            <w:tcBorders>
              <w:top w:val="single" w:sz="4" w:space="0" w:color="000000"/>
            </w:tcBorders>
            <w:vAlign w:val="center"/>
          </w:tcPr>
          <w:p w14:paraId="1C93DF21" w14:textId="77777777" w:rsidR="00271E37" w:rsidRPr="00DD777C" w:rsidRDefault="00271E37">
            <w:r>
              <w:rPr>
                <w:rFonts w:cs="Arial"/>
                <w:color w:val="000000"/>
                <w:szCs w:val="16"/>
              </w:rPr>
              <w:t xml:space="preserve">5,553 </w:t>
            </w:r>
          </w:p>
        </w:tc>
        <w:tc>
          <w:tcPr>
            <w:tcW w:w="992" w:type="dxa"/>
            <w:tcBorders>
              <w:top w:val="single" w:sz="4" w:space="0" w:color="000000"/>
            </w:tcBorders>
            <w:vAlign w:val="center"/>
          </w:tcPr>
          <w:p w14:paraId="6FE3B726" w14:textId="77777777" w:rsidR="00271E37" w:rsidRPr="00DD777C" w:rsidRDefault="00271E37">
            <w:r>
              <w:rPr>
                <w:rFonts w:cs="Arial"/>
                <w:color w:val="000000"/>
                <w:szCs w:val="16"/>
              </w:rPr>
              <w:t xml:space="preserve">1,631 </w:t>
            </w:r>
          </w:p>
        </w:tc>
        <w:tc>
          <w:tcPr>
            <w:tcW w:w="992" w:type="dxa"/>
            <w:tcBorders>
              <w:top w:val="single" w:sz="4" w:space="0" w:color="000000"/>
            </w:tcBorders>
            <w:vAlign w:val="center"/>
          </w:tcPr>
          <w:p w14:paraId="0DF6158F" w14:textId="77777777" w:rsidR="00271E37" w:rsidRPr="00DD777C" w:rsidRDefault="00271E37">
            <w:r>
              <w:rPr>
                <w:rFonts w:cs="Arial"/>
                <w:color w:val="000000"/>
                <w:szCs w:val="16"/>
              </w:rPr>
              <w:t>(5,645)</w:t>
            </w:r>
          </w:p>
        </w:tc>
        <w:tc>
          <w:tcPr>
            <w:tcW w:w="992" w:type="dxa"/>
            <w:tcBorders>
              <w:top w:val="single" w:sz="4" w:space="0" w:color="auto"/>
              <w:bottom w:val="nil"/>
            </w:tcBorders>
            <w:vAlign w:val="center"/>
          </w:tcPr>
          <w:p w14:paraId="34A5C007" w14:textId="77777777" w:rsidR="00271E37" w:rsidRPr="007E569F" w:rsidRDefault="00271E37">
            <w:r>
              <w:rPr>
                <w:rFonts w:cs="Arial"/>
                <w:color w:val="000000"/>
                <w:szCs w:val="16"/>
              </w:rPr>
              <w:t xml:space="preserve">15,987 </w:t>
            </w:r>
          </w:p>
        </w:tc>
        <w:tc>
          <w:tcPr>
            <w:tcW w:w="992" w:type="dxa"/>
            <w:tcBorders>
              <w:top w:val="single" w:sz="4" w:space="0" w:color="auto"/>
              <w:bottom w:val="nil"/>
            </w:tcBorders>
            <w:vAlign w:val="center"/>
          </w:tcPr>
          <w:p w14:paraId="55C4A568" w14:textId="77777777" w:rsidR="00271E37" w:rsidRPr="00DD777C" w:rsidRDefault="00271E37">
            <w:r>
              <w:rPr>
                <w:rFonts w:cs="Arial"/>
                <w:color w:val="000000"/>
                <w:szCs w:val="16"/>
              </w:rPr>
              <w:t>(13,021)</w:t>
            </w:r>
          </w:p>
        </w:tc>
        <w:tc>
          <w:tcPr>
            <w:tcW w:w="992" w:type="dxa"/>
            <w:tcBorders>
              <w:top w:val="single" w:sz="4" w:space="0" w:color="000000"/>
              <w:bottom w:val="nil"/>
            </w:tcBorders>
            <w:vAlign w:val="center"/>
          </w:tcPr>
          <w:p w14:paraId="740A70F4" w14:textId="77777777" w:rsidR="00271E37" w:rsidRPr="00DD777C" w:rsidRDefault="00271E37">
            <w:r w:rsidRPr="007E569F">
              <w:rPr>
                <w:rFonts w:cs="Arial"/>
                <w:color w:val="000000"/>
                <w:szCs w:val="16"/>
              </w:rPr>
              <w:t xml:space="preserve">2,966 </w:t>
            </w:r>
          </w:p>
        </w:tc>
      </w:tr>
      <w:tr w:rsidR="00271E37" w:rsidRPr="00421E15" w14:paraId="37BDA464" w14:textId="77777777">
        <w:tc>
          <w:tcPr>
            <w:tcW w:w="2975" w:type="dxa"/>
            <w:tcBorders>
              <w:bottom w:val="single" w:sz="4" w:space="0" w:color="000000"/>
            </w:tcBorders>
          </w:tcPr>
          <w:p w14:paraId="34E6F8E1" w14:textId="77777777" w:rsidR="00271E37" w:rsidRPr="00421E15" w:rsidRDefault="00271E37">
            <w:pPr>
              <w:jc w:val="left"/>
            </w:pPr>
            <w:r w:rsidRPr="00421E15">
              <w:t xml:space="preserve">Adjusting items (note </w:t>
            </w:r>
            <w:r>
              <w:t>1</w:t>
            </w:r>
            <w:r w:rsidRPr="00421E15">
              <w:t>)</w:t>
            </w:r>
          </w:p>
        </w:tc>
        <w:tc>
          <w:tcPr>
            <w:tcW w:w="992" w:type="dxa"/>
            <w:tcBorders>
              <w:bottom w:val="single" w:sz="4" w:space="0" w:color="000000"/>
            </w:tcBorders>
            <w:vAlign w:val="center"/>
          </w:tcPr>
          <w:p w14:paraId="1BE6A2E9" w14:textId="77777777" w:rsidR="00271E37" w:rsidRPr="00421E15" w:rsidRDefault="00271E37">
            <w:r>
              <w:rPr>
                <w:rFonts w:cs="Arial"/>
                <w:color w:val="000000"/>
                <w:szCs w:val="16"/>
              </w:rPr>
              <w:t xml:space="preserve"> - </w:t>
            </w:r>
          </w:p>
        </w:tc>
        <w:tc>
          <w:tcPr>
            <w:tcW w:w="992" w:type="dxa"/>
            <w:tcBorders>
              <w:bottom w:val="single" w:sz="4" w:space="0" w:color="000000"/>
            </w:tcBorders>
            <w:vAlign w:val="center"/>
          </w:tcPr>
          <w:p w14:paraId="7A048FF2" w14:textId="77777777" w:rsidR="00271E37" w:rsidRPr="00421E15" w:rsidRDefault="00271E37">
            <w:r>
              <w:rPr>
                <w:rFonts w:cs="Arial"/>
                <w:color w:val="000000"/>
                <w:szCs w:val="16"/>
              </w:rPr>
              <w:t>(5,175)</w:t>
            </w:r>
          </w:p>
        </w:tc>
        <w:tc>
          <w:tcPr>
            <w:tcW w:w="992" w:type="dxa"/>
            <w:tcBorders>
              <w:bottom w:val="single" w:sz="4" w:space="0" w:color="000000"/>
            </w:tcBorders>
            <w:vAlign w:val="center"/>
          </w:tcPr>
          <w:p w14:paraId="1C1325CF" w14:textId="77777777" w:rsidR="00271E37" w:rsidRPr="00421E15" w:rsidRDefault="00271E37">
            <w:r>
              <w:rPr>
                <w:rFonts w:cs="Arial"/>
                <w:color w:val="000000"/>
                <w:szCs w:val="16"/>
              </w:rPr>
              <w:t>(544)</w:t>
            </w:r>
          </w:p>
        </w:tc>
        <w:tc>
          <w:tcPr>
            <w:tcW w:w="992" w:type="dxa"/>
            <w:tcBorders>
              <w:bottom w:val="single" w:sz="4" w:space="0" w:color="000000"/>
            </w:tcBorders>
            <w:vAlign w:val="center"/>
          </w:tcPr>
          <w:p w14:paraId="259E4972" w14:textId="77777777" w:rsidR="00271E37" w:rsidRPr="00421E15" w:rsidRDefault="00271E37">
            <w:r>
              <w:rPr>
                <w:rFonts w:cs="Arial"/>
                <w:color w:val="000000"/>
                <w:szCs w:val="16"/>
              </w:rPr>
              <w:t xml:space="preserve"> - </w:t>
            </w:r>
          </w:p>
        </w:tc>
        <w:tc>
          <w:tcPr>
            <w:tcW w:w="992" w:type="dxa"/>
            <w:tcBorders>
              <w:bottom w:val="single" w:sz="4" w:space="0" w:color="auto"/>
            </w:tcBorders>
            <w:vAlign w:val="center"/>
          </w:tcPr>
          <w:p w14:paraId="44746CAF" w14:textId="77777777" w:rsidR="00271E37" w:rsidRPr="007E569F" w:rsidRDefault="00271E37">
            <w:r>
              <w:rPr>
                <w:rFonts w:cs="Arial"/>
                <w:color w:val="000000"/>
                <w:szCs w:val="16"/>
              </w:rPr>
              <w:t>(5,719)</w:t>
            </w:r>
          </w:p>
        </w:tc>
        <w:tc>
          <w:tcPr>
            <w:tcW w:w="992" w:type="dxa"/>
            <w:tcBorders>
              <w:bottom w:val="single" w:sz="4" w:space="0" w:color="auto"/>
            </w:tcBorders>
            <w:vAlign w:val="center"/>
          </w:tcPr>
          <w:p w14:paraId="417A6059" w14:textId="0D3EFE29" w:rsidR="00271E37" w:rsidRPr="006949D6" w:rsidRDefault="00271E37">
            <w:r w:rsidRPr="006949D6">
              <w:rPr>
                <w:rFonts w:cs="Arial"/>
                <w:szCs w:val="16"/>
              </w:rPr>
              <w:t>(39,97</w:t>
            </w:r>
            <w:r w:rsidR="007824F9">
              <w:rPr>
                <w:rFonts w:cs="Arial"/>
                <w:szCs w:val="16"/>
              </w:rPr>
              <w:t>5</w:t>
            </w:r>
            <w:r w:rsidRPr="006949D6">
              <w:rPr>
                <w:rFonts w:cs="Arial"/>
                <w:szCs w:val="16"/>
              </w:rPr>
              <w:t>)</w:t>
            </w:r>
          </w:p>
        </w:tc>
        <w:tc>
          <w:tcPr>
            <w:tcW w:w="992" w:type="dxa"/>
            <w:tcBorders>
              <w:bottom w:val="single" w:sz="4" w:space="0" w:color="auto"/>
            </w:tcBorders>
            <w:vAlign w:val="center"/>
          </w:tcPr>
          <w:p w14:paraId="0ECF09F5" w14:textId="44A91E98" w:rsidR="00271E37" w:rsidRPr="006949D6" w:rsidRDefault="00271E37">
            <w:r w:rsidRPr="007E569F">
              <w:rPr>
                <w:rFonts w:cs="Arial"/>
                <w:szCs w:val="16"/>
              </w:rPr>
              <w:t>(45,69</w:t>
            </w:r>
            <w:r w:rsidR="007824F9">
              <w:rPr>
                <w:rFonts w:cs="Arial"/>
                <w:szCs w:val="16"/>
              </w:rPr>
              <w:t>4</w:t>
            </w:r>
            <w:r w:rsidRPr="007E569F">
              <w:rPr>
                <w:rFonts w:cs="Arial"/>
                <w:szCs w:val="16"/>
              </w:rPr>
              <w:t>)</w:t>
            </w:r>
          </w:p>
        </w:tc>
      </w:tr>
      <w:tr w:rsidR="00271E37" w:rsidRPr="005D44F0" w14:paraId="760FA5FD" w14:textId="77777777">
        <w:tc>
          <w:tcPr>
            <w:tcW w:w="2975" w:type="dxa"/>
            <w:tcBorders>
              <w:top w:val="single" w:sz="4" w:space="0" w:color="000000"/>
            </w:tcBorders>
          </w:tcPr>
          <w:p w14:paraId="01586680" w14:textId="77777777" w:rsidR="00271E37" w:rsidRPr="00DD777C" w:rsidRDefault="00271E37">
            <w:pPr>
              <w:jc w:val="left"/>
            </w:pPr>
            <w:r w:rsidRPr="00DD777C">
              <w:t>Operating profit/(loss)</w:t>
            </w:r>
          </w:p>
        </w:tc>
        <w:tc>
          <w:tcPr>
            <w:tcW w:w="992" w:type="dxa"/>
            <w:tcBorders>
              <w:top w:val="single" w:sz="4" w:space="0" w:color="000000"/>
            </w:tcBorders>
            <w:vAlign w:val="center"/>
          </w:tcPr>
          <w:p w14:paraId="3760EBA1" w14:textId="77777777" w:rsidR="00271E37" w:rsidRPr="005D44F0" w:rsidRDefault="00271E37">
            <w:r>
              <w:rPr>
                <w:rFonts w:cs="Arial"/>
                <w:color w:val="000000"/>
                <w:szCs w:val="16"/>
              </w:rPr>
              <w:t xml:space="preserve">14,448 </w:t>
            </w:r>
          </w:p>
        </w:tc>
        <w:tc>
          <w:tcPr>
            <w:tcW w:w="992" w:type="dxa"/>
            <w:tcBorders>
              <w:top w:val="single" w:sz="4" w:space="0" w:color="000000"/>
            </w:tcBorders>
            <w:vAlign w:val="center"/>
          </w:tcPr>
          <w:p w14:paraId="1C3C62FF" w14:textId="77777777" w:rsidR="00271E37" w:rsidRPr="005D44F0" w:rsidRDefault="00271E37">
            <w:r>
              <w:rPr>
                <w:rFonts w:cs="Arial"/>
                <w:color w:val="000000"/>
                <w:szCs w:val="16"/>
              </w:rPr>
              <w:t xml:space="preserve">378 </w:t>
            </w:r>
          </w:p>
        </w:tc>
        <w:tc>
          <w:tcPr>
            <w:tcW w:w="992" w:type="dxa"/>
            <w:tcBorders>
              <w:top w:val="single" w:sz="4" w:space="0" w:color="000000"/>
            </w:tcBorders>
            <w:vAlign w:val="center"/>
          </w:tcPr>
          <w:p w14:paraId="53AE97F8" w14:textId="77777777" w:rsidR="00271E37" w:rsidRPr="005D44F0" w:rsidRDefault="00271E37">
            <w:r>
              <w:rPr>
                <w:rFonts w:cs="Arial"/>
                <w:color w:val="000000"/>
                <w:szCs w:val="16"/>
              </w:rPr>
              <w:t xml:space="preserve">1,087 </w:t>
            </w:r>
          </w:p>
        </w:tc>
        <w:tc>
          <w:tcPr>
            <w:tcW w:w="992" w:type="dxa"/>
            <w:tcBorders>
              <w:top w:val="single" w:sz="4" w:space="0" w:color="000000"/>
            </w:tcBorders>
            <w:vAlign w:val="center"/>
          </w:tcPr>
          <w:p w14:paraId="6C08DBEF" w14:textId="77777777" w:rsidR="00271E37" w:rsidRPr="005D44F0" w:rsidRDefault="00271E37">
            <w:r>
              <w:rPr>
                <w:rFonts w:cs="Arial"/>
                <w:color w:val="000000"/>
                <w:szCs w:val="16"/>
              </w:rPr>
              <w:t>(5,645)</w:t>
            </w:r>
          </w:p>
        </w:tc>
        <w:tc>
          <w:tcPr>
            <w:tcW w:w="992" w:type="dxa"/>
            <w:tcBorders>
              <w:top w:val="single" w:sz="4" w:space="0" w:color="auto"/>
            </w:tcBorders>
            <w:vAlign w:val="center"/>
          </w:tcPr>
          <w:p w14:paraId="2AEA4DAC" w14:textId="77777777" w:rsidR="00271E37" w:rsidRPr="007E569F" w:rsidRDefault="00271E37">
            <w:r>
              <w:rPr>
                <w:rFonts w:cs="Arial"/>
                <w:color w:val="000000"/>
                <w:szCs w:val="16"/>
              </w:rPr>
              <w:t xml:space="preserve">10,268 </w:t>
            </w:r>
          </w:p>
        </w:tc>
        <w:tc>
          <w:tcPr>
            <w:tcW w:w="992" w:type="dxa"/>
            <w:tcBorders>
              <w:top w:val="single" w:sz="4" w:space="0" w:color="auto"/>
            </w:tcBorders>
            <w:vAlign w:val="center"/>
          </w:tcPr>
          <w:p w14:paraId="79B27E0C" w14:textId="270793CC" w:rsidR="00271E37" w:rsidRPr="00DD777C" w:rsidRDefault="00271E37">
            <w:r>
              <w:rPr>
                <w:rFonts w:cs="Arial"/>
                <w:color w:val="000000"/>
                <w:szCs w:val="16"/>
              </w:rPr>
              <w:t>(52,99</w:t>
            </w:r>
            <w:r w:rsidR="00981126">
              <w:rPr>
                <w:rFonts w:cs="Arial"/>
                <w:color w:val="000000"/>
                <w:szCs w:val="16"/>
              </w:rPr>
              <w:t>6</w:t>
            </w:r>
            <w:r>
              <w:rPr>
                <w:rFonts w:cs="Arial"/>
                <w:color w:val="000000"/>
                <w:szCs w:val="16"/>
              </w:rPr>
              <w:t>)</w:t>
            </w:r>
          </w:p>
        </w:tc>
        <w:tc>
          <w:tcPr>
            <w:tcW w:w="992" w:type="dxa"/>
            <w:tcBorders>
              <w:top w:val="single" w:sz="4" w:space="0" w:color="auto"/>
            </w:tcBorders>
            <w:vAlign w:val="center"/>
          </w:tcPr>
          <w:p w14:paraId="4F9A85E6" w14:textId="68BDC622" w:rsidR="00271E37" w:rsidRPr="00DD777C" w:rsidRDefault="00271E37">
            <w:r w:rsidRPr="007E569F">
              <w:rPr>
                <w:rFonts w:cs="Arial"/>
                <w:color w:val="000000"/>
                <w:szCs w:val="16"/>
              </w:rPr>
              <w:t>(42,72</w:t>
            </w:r>
            <w:r w:rsidR="00981126">
              <w:rPr>
                <w:rFonts w:cs="Arial"/>
                <w:color w:val="000000"/>
                <w:szCs w:val="16"/>
              </w:rPr>
              <w:t>8</w:t>
            </w:r>
            <w:r w:rsidRPr="007E569F">
              <w:rPr>
                <w:rFonts w:cs="Arial"/>
                <w:color w:val="000000"/>
                <w:szCs w:val="16"/>
              </w:rPr>
              <w:t>)</w:t>
            </w:r>
          </w:p>
        </w:tc>
      </w:tr>
      <w:tr w:rsidR="00271E37" w:rsidRPr="00421E15" w14:paraId="2E9948A9" w14:textId="77777777">
        <w:tc>
          <w:tcPr>
            <w:tcW w:w="2975" w:type="dxa"/>
          </w:tcPr>
          <w:p w14:paraId="515FC828" w14:textId="77777777" w:rsidR="00271E37" w:rsidRPr="00421E15" w:rsidRDefault="00271E37">
            <w:pPr>
              <w:jc w:val="left"/>
            </w:pPr>
            <w:r w:rsidRPr="00421E15">
              <w:t>Finance income</w:t>
            </w:r>
          </w:p>
        </w:tc>
        <w:tc>
          <w:tcPr>
            <w:tcW w:w="992" w:type="dxa"/>
            <w:vAlign w:val="center"/>
          </w:tcPr>
          <w:p w14:paraId="628E7A13" w14:textId="77777777" w:rsidR="00271E37" w:rsidRPr="00421E15" w:rsidRDefault="00271E37"/>
        </w:tc>
        <w:tc>
          <w:tcPr>
            <w:tcW w:w="992" w:type="dxa"/>
            <w:vAlign w:val="center"/>
          </w:tcPr>
          <w:p w14:paraId="0EEE190D" w14:textId="77777777" w:rsidR="00271E37" w:rsidRPr="00421E15" w:rsidRDefault="00271E37"/>
        </w:tc>
        <w:tc>
          <w:tcPr>
            <w:tcW w:w="992" w:type="dxa"/>
            <w:vAlign w:val="center"/>
          </w:tcPr>
          <w:p w14:paraId="5F43BBA5" w14:textId="77777777" w:rsidR="00271E37" w:rsidRPr="00421E15" w:rsidRDefault="00271E37"/>
        </w:tc>
        <w:tc>
          <w:tcPr>
            <w:tcW w:w="992" w:type="dxa"/>
            <w:vAlign w:val="center"/>
          </w:tcPr>
          <w:p w14:paraId="4482A46C" w14:textId="77777777" w:rsidR="00271E37" w:rsidRPr="00421E15" w:rsidRDefault="00271E37"/>
        </w:tc>
        <w:tc>
          <w:tcPr>
            <w:tcW w:w="992" w:type="dxa"/>
            <w:vAlign w:val="center"/>
          </w:tcPr>
          <w:p w14:paraId="62EAAA42" w14:textId="77777777" w:rsidR="00271E37" w:rsidRPr="007E569F" w:rsidRDefault="00271E37">
            <w:r>
              <w:rPr>
                <w:rFonts w:cs="Arial"/>
                <w:color w:val="000000"/>
                <w:szCs w:val="16"/>
              </w:rPr>
              <w:t xml:space="preserve">1,156 </w:t>
            </w:r>
          </w:p>
        </w:tc>
        <w:tc>
          <w:tcPr>
            <w:tcW w:w="992" w:type="dxa"/>
            <w:vAlign w:val="center"/>
          </w:tcPr>
          <w:p w14:paraId="5F929CD0" w14:textId="77777777" w:rsidR="00271E37" w:rsidRPr="00DD777C" w:rsidRDefault="00271E37">
            <w:r>
              <w:rPr>
                <w:rFonts w:cs="Arial"/>
                <w:color w:val="000000"/>
                <w:szCs w:val="16"/>
              </w:rPr>
              <w:t xml:space="preserve">1,690 </w:t>
            </w:r>
          </w:p>
        </w:tc>
        <w:tc>
          <w:tcPr>
            <w:tcW w:w="992" w:type="dxa"/>
            <w:vAlign w:val="center"/>
          </w:tcPr>
          <w:p w14:paraId="1696B48D" w14:textId="77777777" w:rsidR="00271E37" w:rsidRPr="00DD777C" w:rsidRDefault="00271E37">
            <w:r w:rsidRPr="007E569F">
              <w:rPr>
                <w:rFonts w:cs="Arial"/>
                <w:color w:val="000000"/>
                <w:szCs w:val="16"/>
              </w:rPr>
              <w:t xml:space="preserve">2,846 </w:t>
            </w:r>
          </w:p>
        </w:tc>
      </w:tr>
      <w:tr w:rsidR="00271E37" w:rsidRPr="00421E15" w14:paraId="0F6B6D58" w14:textId="77777777">
        <w:tc>
          <w:tcPr>
            <w:tcW w:w="2975" w:type="dxa"/>
          </w:tcPr>
          <w:p w14:paraId="49854127" w14:textId="77777777" w:rsidR="00271E37" w:rsidRPr="00421E15" w:rsidRDefault="00271E37">
            <w:pPr>
              <w:jc w:val="left"/>
            </w:pPr>
            <w:r w:rsidRPr="00421E15">
              <w:t>Finance costs</w:t>
            </w:r>
          </w:p>
        </w:tc>
        <w:tc>
          <w:tcPr>
            <w:tcW w:w="992" w:type="dxa"/>
            <w:vAlign w:val="center"/>
          </w:tcPr>
          <w:p w14:paraId="18215321" w14:textId="77777777" w:rsidR="00271E37" w:rsidRPr="00421E15" w:rsidRDefault="00271E37"/>
        </w:tc>
        <w:tc>
          <w:tcPr>
            <w:tcW w:w="992" w:type="dxa"/>
            <w:vAlign w:val="center"/>
          </w:tcPr>
          <w:p w14:paraId="517EEA49" w14:textId="77777777" w:rsidR="00271E37" w:rsidRPr="00421E15" w:rsidRDefault="00271E37"/>
        </w:tc>
        <w:tc>
          <w:tcPr>
            <w:tcW w:w="992" w:type="dxa"/>
            <w:vAlign w:val="center"/>
          </w:tcPr>
          <w:p w14:paraId="0CEECF6F" w14:textId="77777777" w:rsidR="00271E37" w:rsidRPr="00421E15" w:rsidRDefault="00271E37"/>
        </w:tc>
        <w:tc>
          <w:tcPr>
            <w:tcW w:w="992" w:type="dxa"/>
            <w:vAlign w:val="center"/>
          </w:tcPr>
          <w:p w14:paraId="409891CB" w14:textId="77777777" w:rsidR="00271E37" w:rsidRPr="00421E15" w:rsidRDefault="00271E37"/>
        </w:tc>
        <w:tc>
          <w:tcPr>
            <w:tcW w:w="992" w:type="dxa"/>
            <w:vAlign w:val="center"/>
          </w:tcPr>
          <w:p w14:paraId="381DE2A0" w14:textId="77777777" w:rsidR="00271E37" w:rsidRPr="007E569F" w:rsidRDefault="00271E37">
            <w:r>
              <w:rPr>
                <w:rFonts w:cs="Arial"/>
                <w:color w:val="000000"/>
                <w:szCs w:val="16"/>
              </w:rPr>
              <w:t>(2,426)</w:t>
            </w:r>
          </w:p>
        </w:tc>
        <w:tc>
          <w:tcPr>
            <w:tcW w:w="992" w:type="dxa"/>
            <w:vAlign w:val="center"/>
          </w:tcPr>
          <w:p w14:paraId="6D8BF1B5" w14:textId="77777777" w:rsidR="00271E37" w:rsidRPr="00DD777C" w:rsidRDefault="00271E37">
            <w:r>
              <w:rPr>
                <w:rFonts w:cs="Arial"/>
                <w:color w:val="000000"/>
                <w:szCs w:val="16"/>
              </w:rPr>
              <w:t>(1,937)</w:t>
            </w:r>
          </w:p>
        </w:tc>
        <w:tc>
          <w:tcPr>
            <w:tcW w:w="992" w:type="dxa"/>
            <w:vAlign w:val="center"/>
          </w:tcPr>
          <w:p w14:paraId="2CC4A7F0" w14:textId="77777777" w:rsidR="00271E37" w:rsidRPr="00DD777C" w:rsidRDefault="00271E37">
            <w:r w:rsidRPr="007E569F">
              <w:rPr>
                <w:rFonts w:cs="Arial"/>
                <w:color w:val="000000"/>
                <w:szCs w:val="16"/>
              </w:rPr>
              <w:t>(4,363)</w:t>
            </w:r>
          </w:p>
        </w:tc>
      </w:tr>
      <w:tr w:rsidR="00271E37" w:rsidRPr="00421E15" w14:paraId="7B827EFC" w14:textId="77777777">
        <w:tc>
          <w:tcPr>
            <w:tcW w:w="2975" w:type="dxa"/>
            <w:tcBorders>
              <w:bottom w:val="single" w:sz="4" w:space="0" w:color="000000"/>
            </w:tcBorders>
          </w:tcPr>
          <w:p w14:paraId="274E8391" w14:textId="77777777" w:rsidR="00271E37" w:rsidRPr="00421E15" w:rsidRDefault="00271E37">
            <w:pPr>
              <w:jc w:val="left"/>
            </w:pPr>
            <w:r w:rsidRPr="00421E15">
              <w:t>Income tax</w:t>
            </w:r>
          </w:p>
        </w:tc>
        <w:tc>
          <w:tcPr>
            <w:tcW w:w="992" w:type="dxa"/>
            <w:tcBorders>
              <w:bottom w:val="single" w:sz="4" w:space="0" w:color="000000"/>
            </w:tcBorders>
            <w:vAlign w:val="center"/>
          </w:tcPr>
          <w:p w14:paraId="0A1A06CE" w14:textId="77777777" w:rsidR="00271E37" w:rsidRPr="00421E15" w:rsidRDefault="00271E37"/>
        </w:tc>
        <w:tc>
          <w:tcPr>
            <w:tcW w:w="992" w:type="dxa"/>
            <w:tcBorders>
              <w:bottom w:val="single" w:sz="4" w:space="0" w:color="000000"/>
            </w:tcBorders>
            <w:vAlign w:val="center"/>
          </w:tcPr>
          <w:p w14:paraId="2383B7FF" w14:textId="77777777" w:rsidR="00271E37" w:rsidRPr="00421E15" w:rsidRDefault="00271E37"/>
        </w:tc>
        <w:tc>
          <w:tcPr>
            <w:tcW w:w="992" w:type="dxa"/>
            <w:tcBorders>
              <w:bottom w:val="single" w:sz="4" w:space="0" w:color="000000"/>
            </w:tcBorders>
            <w:vAlign w:val="center"/>
          </w:tcPr>
          <w:p w14:paraId="0F367D18" w14:textId="77777777" w:rsidR="00271E37" w:rsidRPr="00421E15" w:rsidRDefault="00271E37"/>
        </w:tc>
        <w:tc>
          <w:tcPr>
            <w:tcW w:w="992" w:type="dxa"/>
            <w:tcBorders>
              <w:bottom w:val="single" w:sz="4" w:space="0" w:color="000000"/>
            </w:tcBorders>
            <w:vAlign w:val="center"/>
          </w:tcPr>
          <w:p w14:paraId="3869B1D3" w14:textId="77777777" w:rsidR="00271E37" w:rsidRPr="00421E15" w:rsidRDefault="00271E37"/>
        </w:tc>
        <w:tc>
          <w:tcPr>
            <w:tcW w:w="992" w:type="dxa"/>
            <w:tcBorders>
              <w:bottom w:val="single" w:sz="4" w:space="0" w:color="auto"/>
            </w:tcBorders>
            <w:vAlign w:val="center"/>
          </w:tcPr>
          <w:p w14:paraId="49D7B6A8" w14:textId="77777777" w:rsidR="00271E37" w:rsidRPr="007E569F" w:rsidRDefault="00271E37">
            <w:r>
              <w:rPr>
                <w:rFonts w:cs="Arial"/>
                <w:color w:val="000000"/>
                <w:szCs w:val="16"/>
              </w:rPr>
              <w:t>(4,555)</w:t>
            </w:r>
          </w:p>
        </w:tc>
        <w:tc>
          <w:tcPr>
            <w:tcW w:w="992" w:type="dxa"/>
            <w:tcBorders>
              <w:bottom w:val="single" w:sz="4" w:space="0" w:color="auto"/>
            </w:tcBorders>
            <w:vAlign w:val="center"/>
          </w:tcPr>
          <w:p w14:paraId="73871E0D" w14:textId="5366FC10" w:rsidR="00271E37" w:rsidRPr="00DD777C" w:rsidRDefault="00271E37">
            <w:r>
              <w:rPr>
                <w:rFonts w:cs="Arial"/>
                <w:color w:val="000000"/>
                <w:szCs w:val="16"/>
              </w:rPr>
              <w:t>(29,35</w:t>
            </w:r>
            <w:r w:rsidR="00981126">
              <w:rPr>
                <w:rFonts w:cs="Arial"/>
                <w:color w:val="000000"/>
                <w:szCs w:val="16"/>
              </w:rPr>
              <w:t>2</w:t>
            </w:r>
            <w:r>
              <w:rPr>
                <w:rFonts w:cs="Arial"/>
                <w:color w:val="000000"/>
                <w:szCs w:val="16"/>
              </w:rPr>
              <w:t>)</w:t>
            </w:r>
          </w:p>
        </w:tc>
        <w:tc>
          <w:tcPr>
            <w:tcW w:w="992" w:type="dxa"/>
            <w:tcBorders>
              <w:bottom w:val="single" w:sz="4" w:space="0" w:color="000000"/>
            </w:tcBorders>
            <w:vAlign w:val="center"/>
          </w:tcPr>
          <w:p w14:paraId="2198BC74" w14:textId="30E0D95D" w:rsidR="00271E37" w:rsidRPr="00DD777C" w:rsidRDefault="00271E37">
            <w:r w:rsidRPr="007E569F">
              <w:rPr>
                <w:rFonts w:cs="Arial"/>
                <w:color w:val="000000"/>
                <w:szCs w:val="16"/>
              </w:rPr>
              <w:t>(33,90</w:t>
            </w:r>
            <w:r w:rsidR="00981126">
              <w:rPr>
                <w:rFonts w:cs="Arial"/>
                <w:color w:val="000000"/>
                <w:szCs w:val="16"/>
              </w:rPr>
              <w:t>7</w:t>
            </w:r>
            <w:r w:rsidRPr="007E569F">
              <w:rPr>
                <w:rFonts w:cs="Arial"/>
                <w:color w:val="000000"/>
                <w:szCs w:val="16"/>
              </w:rPr>
              <w:t>)</w:t>
            </w:r>
          </w:p>
        </w:tc>
      </w:tr>
      <w:tr w:rsidR="00271E37" w:rsidRPr="005D44F0" w14:paraId="7BB84307" w14:textId="77777777">
        <w:tc>
          <w:tcPr>
            <w:tcW w:w="2975" w:type="dxa"/>
            <w:tcBorders>
              <w:top w:val="single" w:sz="4" w:space="0" w:color="000000"/>
              <w:bottom w:val="single" w:sz="4" w:space="0" w:color="000000"/>
            </w:tcBorders>
          </w:tcPr>
          <w:p w14:paraId="584E8960" w14:textId="4DE4FB0C" w:rsidR="00271E37" w:rsidRPr="00DD777C" w:rsidRDefault="00271E37">
            <w:pPr>
              <w:jc w:val="left"/>
            </w:pPr>
            <w:r w:rsidRPr="00DD777C">
              <w:t>Profit</w:t>
            </w:r>
            <w:r w:rsidR="00013170">
              <w:t>/(loss)</w:t>
            </w:r>
            <w:r w:rsidRPr="00DD777C">
              <w:t xml:space="preserve"> for the year ended 31 March 202</w:t>
            </w:r>
            <w:r>
              <w:t>5</w:t>
            </w:r>
          </w:p>
        </w:tc>
        <w:tc>
          <w:tcPr>
            <w:tcW w:w="992" w:type="dxa"/>
            <w:tcBorders>
              <w:top w:val="single" w:sz="4" w:space="0" w:color="000000"/>
              <w:bottom w:val="single" w:sz="4" w:space="0" w:color="000000"/>
            </w:tcBorders>
            <w:vAlign w:val="center"/>
          </w:tcPr>
          <w:p w14:paraId="57F8FD38" w14:textId="77777777" w:rsidR="00271E37" w:rsidRPr="005D44F0" w:rsidRDefault="00271E37">
            <w:r>
              <w:rPr>
                <w:rFonts w:cs="Arial"/>
                <w:color w:val="000000"/>
                <w:szCs w:val="16"/>
              </w:rPr>
              <w:t> </w:t>
            </w:r>
          </w:p>
        </w:tc>
        <w:tc>
          <w:tcPr>
            <w:tcW w:w="992" w:type="dxa"/>
            <w:tcBorders>
              <w:top w:val="single" w:sz="4" w:space="0" w:color="000000"/>
              <w:bottom w:val="single" w:sz="4" w:space="0" w:color="000000"/>
            </w:tcBorders>
            <w:vAlign w:val="center"/>
          </w:tcPr>
          <w:p w14:paraId="061722EA" w14:textId="77777777" w:rsidR="00271E37" w:rsidRPr="005D44F0" w:rsidRDefault="00271E37">
            <w:r>
              <w:rPr>
                <w:rFonts w:cs="Arial"/>
                <w:color w:val="000000"/>
                <w:szCs w:val="16"/>
              </w:rPr>
              <w:t> </w:t>
            </w:r>
          </w:p>
        </w:tc>
        <w:tc>
          <w:tcPr>
            <w:tcW w:w="992" w:type="dxa"/>
            <w:tcBorders>
              <w:top w:val="single" w:sz="4" w:space="0" w:color="000000"/>
              <w:bottom w:val="single" w:sz="4" w:space="0" w:color="000000"/>
            </w:tcBorders>
            <w:vAlign w:val="center"/>
          </w:tcPr>
          <w:p w14:paraId="40A32F1E" w14:textId="77777777" w:rsidR="00271E37" w:rsidRPr="005D44F0" w:rsidRDefault="00271E37">
            <w:r>
              <w:rPr>
                <w:rFonts w:cs="Arial"/>
                <w:color w:val="000000"/>
                <w:szCs w:val="16"/>
              </w:rPr>
              <w:t> </w:t>
            </w:r>
          </w:p>
        </w:tc>
        <w:tc>
          <w:tcPr>
            <w:tcW w:w="992" w:type="dxa"/>
            <w:tcBorders>
              <w:top w:val="single" w:sz="4" w:space="0" w:color="000000"/>
              <w:bottom w:val="single" w:sz="4" w:space="0" w:color="000000"/>
            </w:tcBorders>
            <w:vAlign w:val="center"/>
          </w:tcPr>
          <w:p w14:paraId="4F537002" w14:textId="77777777" w:rsidR="00271E37" w:rsidRPr="005D44F0" w:rsidRDefault="00271E37">
            <w:r>
              <w:rPr>
                <w:rFonts w:cs="Arial"/>
                <w:color w:val="000000"/>
                <w:szCs w:val="16"/>
              </w:rPr>
              <w:t> </w:t>
            </w:r>
          </w:p>
        </w:tc>
        <w:tc>
          <w:tcPr>
            <w:tcW w:w="992" w:type="dxa"/>
            <w:tcBorders>
              <w:top w:val="single" w:sz="4" w:space="0" w:color="auto"/>
              <w:bottom w:val="single" w:sz="4" w:space="0" w:color="auto"/>
            </w:tcBorders>
            <w:vAlign w:val="center"/>
          </w:tcPr>
          <w:p w14:paraId="4EFCDBF6" w14:textId="77777777" w:rsidR="00271E37" w:rsidRPr="00DD777C" w:rsidRDefault="00271E37">
            <w:r w:rsidRPr="007E569F">
              <w:rPr>
                <w:rFonts w:cs="Arial"/>
                <w:color w:val="000000"/>
                <w:szCs w:val="16"/>
              </w:rPr>
              <w:t xml:space="preserve">4,443 </w:t>
            </w:r>
          </w:p>
        </w:tc>
        <w:tc>
          <w:tcPr>
            <w:tcW w:w="992" w:type="dxa"/>
            <w:tcBorders>
              <w:top w:val="single" w:sz="4" w:space="0" w:color="auto"/>
              <w:bottom w:val="single" w:sz="4" w:space="0" w:color="auto"/>
            </w:tcBorders>
            <w:vAlign w:val="center"/>
          </w:tcPr>
          <w:p w14:paraId="558F4109" w14:textId="77777777" w:rsidR="00271E37" w:rsidRPr="00DD777C" w:rsidRDefault="00271E37">
            <w:r w:rsidRPr="007E569F">
              <w:rPr>
                <w:rFonts w:cs="Arial"/>
                <w:color w:val="000000"/>
                <w:szCs w:val="16"/>
              </w:rPr>
              <w:t>(82,595)</w:t>
            </w:r>
          </w:p>
        </w:tc>
        <w:tc>
          <w:tcPr>
            <w:tcW w:w="992" w:type="dxa"/>
            <w:tcBorders>
              <w:top w:val="single" w:sz="4" w:space="0" w:color="000000"/>
              <w:bottom w:val="single" w:sz="4" w:space="0" w:color="000000"/>
            </w:tcBorders>
            <w:vAlign w:val="center"/>
          </w:tcPr>
          <w:p w14:paraId="73BED9D9" w14:textId="77777777" w:rsidR="00271E37" w:rsidRPr="00DD777C" w:rsidRDefault="00271E37">
            <w:r w:rsidRPr="007E569F">
              <w:rPr>
                <w:rFonts w:cs="Arial"/>
                <w:color w:val="000000"/>
                <w:szCs w:val="16"/>
              </w:rPr>
              <w:t>(78,152)</w:t>
            </w:r>
          </w:p>
        </w:tc>
      </w:tr>
      <w:tr w:rsidR="00271E37" w:rsidRPr="005D44F0" w14:paraId="43D4F169" w14:textId="77777777">
        <w:tc>
          <w:tcPr>
            <w:tcW w:w="2975" w:type="dxa"/>
            <w:tcBorders>
              <w:top w:val="single" w:sz="4" w:space="0" w:color="000000"/>
            </w:tcBorders>
          </w:tcPr>
          <w:p w14:paraId="66F064A4" w14:textId="77777777" w:rsidR="00271E37" w:rsidRPr="00DD777C" w:rsidRDefault="00271E37">
            <w:pPr>
              <w:jc w:val="left"/>
            </w:pPr>
            <w:r w:rsidRPr="00DD777C">
              <w:t>Balances at 31 March 202</w:t>
            </w:r>
            <w:r>
              <w:t>5</w:t>
            </w:r>
          </w:p>
        </w:tc>
        <w:tc>
          <w:tcPr>
            <w:tcW w:w="992" w:type="dxa"/>
            <w:tcBorders>
              <w:top w:val="single" w:sz="4" w:space="0" w:color="000000"/>
            </w:tcBorders>
          </w:tcPr>
          <w:p w14:paraId="2F51E695" w14:textId="77777777" w:rsidR="00271E37" w:rsidRPr="005D44F0" w:rsidRDefault="00271E37"/>
        </w:tc>
        <w:tc>
          <w:tcPr>
            <w:tcW w:w="992" w:type="dxa"/>
            <w:tcBorders>
              <w:top w:val="single" w:sz="4" w:space="0" w:color="000000"/>
            </w:tcBorders>
          </w:tcPr>
          <w:p w14:paraId="7407B765" w14:textId="77777777" w:rsidR="00271E37" w:rsidRPr="005D44F0" w:rsidRDefault="00271E37"/>
        </w:tc>
        <w:tc>
          <w:tcPr>
            <w:tcW w:w="992" w:type="dxa"/>
            <w:tcBorders>
              <w:top w:val="single" w:sz="4" w:space="0" w:color="000000"/>
            </w:tcBorders>
          </w:tcPr>
          <w:p w14:paraId="671392A7" w14:textId="77777777" w:rsidR="00271E37" w:rsidRPr="005D44F0" w:rsidRDefault="00271E37"/>
        </w:tc>
        <w:tc>
          <w:tcPr>
            <w:tcW w:w="992" w:type="dxa"/>
            <w:tcBorders>
              <w:top w:val="single" w:sz="4" w:space="0" w:color="000000"/>
            </w:tcBorders>
          </w:tcPr>
          <w:p w14:paraId="74EDFF56" w14:textId="77777777" w:rsidR="00271E37" w:rsidRPr="005D44F0" w:rsidRDefault="00271E37"/>
        </w:tc>
        <w:tc>
          <w:tcPr>
            <w:tcW w:w="992" w:type="dxa"/>
            <w:tcBorders>
              <w:top w:val="single" w:sz="4" w:space="0" w:color="auto"/>
            </w:tcBorders>
          </w:tcPr>
          <w:p w14:paraId="69696AF2" w14:textId="77777777" w:rsidR="00271E37" w:rsidRPr="00DD777C" w:rsidRDefault="00271E37"/>
        </w:tc>
        <w:tc>
          <w:tcPr>
            <w:tcW w:w="992" w:type="dxa"/>
            <w:tcBorders>
              <w:top w:val="single" w:sz="4" w:space="0" w:color="auto"/>
            </w:tcBorders>
          </w:tcPr>
          <w:p w14:paraId="0C38A48D" w14:textId="77777777" w:rsidR="00271E37" w:rsidRPr="00DD777C" w:rsidRDefault="00271E37"/>
        </w:tc>
        <w:tc>
          <w:tcPr>
            <w:tcW w:w="992" w:type="dxa"/>
            <w:tcBorders>
              <w:top w:val="single" w:sz="4" w:space="0" w:color="000000"/>
            </w:tcBorders>
          </w:tcPr>
          <w:p w14:paraId="740D7881" w14:textId="77777777" w:rsidR="00271E37" w:rsidRPr="00DD777C" w:rsidRDefault="00271E37"/>
        </w:tc>
      </w:tr>
      <w:tr w:rsidR="00271E37" w:rsidRPr="005D44F0" w14:paraId="067B4AAA" w14:textId="77777777">
        <w:tc>
          <w:tcPr>
            <w:tcW w:w="2975" w:type="dxa"/>
            <w:tcBorders>
              <w:bottom w:val="single" w:sz="4" w:space="0" w:color="000000"/>
            </w:tcBorders>
          </w:tcPr>
          <w:p w14:paraId="5B3E2F6C" w14:textId="77777777" w:rsidR="00271E37" w:rsidRPr="00DD777C" w:rsidRDefault="00271E37">
            <w:pPr>
              <w:jc w:val="left"/>
            </w:pPr>
            <w:r w:rsidRPr="00DD777C">
              <w:t>Segment assets</w:t>
            </w:r>
          </w:p>
        </w:tc>
        <w:tc>
          <w:tcPr>
            <w:tcW w:w="992" w:type="dxa"/>
            <w:tcBorders>
              <w:bottom w:val="single" w:sz="4" w:space="0" w:color="000000"/>
            </w:tcBorders>
            <w:vAlign w:val="center"/>
          </w:tcPr>
          <w:p w14:paraId="7BAE19BF" w14:textId="77777777" w:rsidR="00271E37" w:rsidRPr="00DD777C" w:rsidRDefault="00271E37">
            <w:r w:rsidRPr="007E569F">
              <w:rPr>
                <w:rFonts w:cs="Arial"/>
                <w:color w:val="000000"/>
                <w:szCs w:val="16"/>
              </w:rPr>
              <w:t xml:space="preserve">61,774 </w:t>
            </w:r>
          </w:p>
        </w:tc>
        <w:tc>
          <w:tcPr>
            <w:tcW w:w="992" w:type="dxa"/>
            <w:tcBorders>
              <w:bottom w:val="single" w:sz="4" w:space="0" w:color="000000"/>
            </w:tcBorders>
            <w:vAlign w:val="center"/>
          </w:tcPr>
          <w:p w14:paraId="611EBA95" w14:textId="77777777" w:rsidR="00271E37" w:rsidRPr="00DD777C" w:rsidRDefault="00271E37">
            <w:r w:rsidRPr="007E569F">
              <w:rPr>
                <w:rFonts w:cs="Arial"/>
                <w:color w:val="000000"/>
                <w:szCs w:val="16"/>
              </w:rPr>
              <w:t xml:space="preserve">67,316 </w:t>
            </w:r>
          </w:p>
        </w:tc>
        <w:tc>
          <w:tcPr>
            <w:tcW w:w="992" w:type="dxa"/>
            <w:tcBorders>
              <w:bottom w:val="single" w:sz="4" w:space="0" w:color="000000"/>
            </w:tcBorders>
            <w:vAlign w:val="center"/>
          </w:tcPr>
          <w:p w14:paraId="72E8CC41" w14:textId="77777777" w:rsidR="00271E37" w:rsidRPr="00DD777C" w:rsidRDefault="00271E37">
            <w:r w:rsidRPr="007E569F">
              <w:rPr>
                <w:rFonts w:cs="Arial"/>
                <w:color w:val="000000"/>
                <w:szCs w:val="16"/>
              </w:rPr>
              <w:t xml:space="preserve">29,711 </w:t>
            </w:r>
          </w:p>
        </w:tc>
        <w:tc>
          <w:tcPr>
            <w:tcW w:w="992" w:type="dxa"/>
            <w:tcBorders>
              <w:bottom w:val="single" w:sz="4" w:space="0" w:color="000000"/>
            </w:tcBorders>
            <w:vAlign w:val="center"/>
          </w:tcPr>
          <w:p w14:paraId="67F0C98E" w14:textId="77777777" w:rsidR="00271E37" w:rsidRPr="00AB6535" w:rsidRDefault="00271E37">
            <w:r w:rsidRPr="007E569F">
              <w:rPr>
                <w:rFonts w:cs="Arial"/>
                <w:szCs w:val="16"/>
              </w:rPr>
              <w:t xml:space="preserve">54,208 </w:t>
            </w:r>
          </w:p>
        </w:tc>
        <w:tc>
          <w:tcPr>
            <w:tcW w:w="992" w:type="dxa"/>
            <w:tcBorders>
              <w:bottom w:val="single" w:sz="4" w:space="0" w:color="auto"/>
            </w:tcBorders>
            <w:vAlign w:val="center"/>
          </w:tcPr>
          <w:p w14:paraId="1B7134D0" w14:textId="77777777" w:rsidR="00271E37" w:rsidRPr="00AB6535" w:rsidRDefault="00271E37">
            <w:r w:rsidRPr="009D526A">
              <w:rPr>
                <w:rFonts w:cs="Arial"/>
                <w:szCs w:val="16"/>
              </w:rPr>
              <w:t xml:space="preserve">213,009 </w:t>
            </w:r>
          </w:p>
        </w:tc>
        <w:tc>
          <w:tcPr>
            <w:tcW w:w="992" w:type="dxa"/>
            <w:tcBorders>
              <w:bottom w:val="single" w:sz="4" w:space="0" w:color="auto"/>
            </w:tcBorders>
            <w:vAlign w:val="center"/>
          </w:tcPr>
          <w:p w14:paraId="6103DC70" w14:textId="77777777" w:rsidR="00271E37" w:rsidRPr="00DD777C" w:rsidRDefault="00271E37">
            <w:r w:rsidRPr="009D526A">
              <w:rPr>
                <w:rFonts w:cs="Arial"/>
                <w:color w:val="000000"/>
                <w:szCs w:val="16"/>
              </w:rPr>
              <w:t xml:space="preserve">207,268 </w:t>
            </w:r>
          </w:p>
        </w:tc>
        <w:tc>
          <w:tcPr>
            <w:tcW w:w="992" w:type="dxa"/>
            <w:tcBorders>
              <w:bottom w:val="single" w:sz="4" w:space="0" w:color="000000"/>
            </w:tcBorders>
            <w:vAlign w:val="center"/>
          </w:tcPr>
          <w:p w14:paraId="6C2C9C76" w14:textId="77777777" w:rsidR="00271E37" w:rsidRPr="00DD777C" w:rsidRDefault="00271E37">
            <w:r w:rsidRPr="009D526A">
              <w:rPr>
                <w:rFonts w:cs="Arial"/>
                <w:color w:val="000000"/>
                <w:szCs w:val="16"/>
              </w:rPr>
              <w:t xml:space="preserve">420,277 </w:t>
            </w:r>
          </w:p>
        </w:tc>
      </w:tr>
      <w:tr w:rsidR="00271E37" w:rsidRPr="005D44F0" w14:paraId="634464B8" w14:textId="77777777">
        <w:tc>
          <w:tcPr>
            <w:tcW w:w="2975" w:type="dxa"/>
            <w:tcBorders>
              <w:top w:val="single" w:sz="4" w:space="0" w:color="000000"/>
              <w:bottom w:val="single" w:sz="4" w:space="0" w:color="000000"/>
            </w:tcBorders>
          </w:tcPr>
          <w:p w14:paraId="42EC0F89" w14:textId="77777777" w:rsidR="00271E37" w:rsidRPr="00DD777C" w:rsidRDefault="00271E37">
            <w:pPr>
              <w:jc w:val="left"/>
            </w:pPr>
            <w:r w:rsidRPr="00DD777C">
              <w:t>Segment liabilities</w:t>
            </w:r>
          </w:p>
        </w:tc>
        <w:tc>
          <w:tcPr>
            <w:tcW w:w="992" w:type="dxa"/>
            <w:tcBorders>
              <w:top w:val="single" w:sz="4" w:space="0" w:color="000000"/>
              <w:bottom w:val="single" w:sz="4" w:space="0" w:color="000000"/>
            </w:tcBorders>
            <w:vAlign w:val="center"/>
          </w:tcPr>
          <w:p w14:paraId="751CC1F3" w14:textId="77777777" w:rsidR="00271E37" w:rsidRPr="00DD777C" w:rsidRDefault="00271E37">
            <w:r w:rsidRPr="009D526A">
              <w:rPr>
                <w:rFonts w:cs="Arial"/>
                <w:color w:val="000000"/>
                <w:szCs w:val="16"/>
              </w:rPr>
              <w:t>(21,419)</w:t>
            </w:r>
          </w:p>
        </w:tc>
        <w:tc>
          <w:tcPr>
            <w:tcW w:w="992" w:type="dxa"/>
            <w:tcBorders>
              <w:top w:val="single" w:sz="4" w:space="0" w:color="000000"/>
              <w:bottom w:val="single" w:sz="4" w:space="0" w:color="000000"/>
            </w:tcBorders>
            <w:vAlign w:val="center"/>
          </w:tcPr>
          <w:p w14:paraId="6B49768B" w14:textId="77777777" w:rsidR="00271E37" w:rsidRPr="00DD777C" w:rsidRDefault="00271E37">
            <w:r w:rsidRPr="009D526A">
              <w:rPr>
                <w:rFonts w:cs="Arial"/>
                <w:color w:val="000000"/>
                <w:szCs w:val="16"/>
              </w:rPr>
              <w:t>(39,888)</w:t>
            </w:r>
          </w:p>
        </w:tc>
        <w:tc>
          <w:tcPr>
            <w:tcW w:w="992" w:type="dxa"/>
            <w:tcBorders>
              <w:top w:val="single" w:sz="4" w:space="0" w:color="000000"/>
              <w:bottom w:val="single" w:sz="4" w:space="0" w:color="000000"/>
            </w:tcBorders>
            <w:vAlign w:val="center"/>
          </w:tcPr>
          <w:p w14:paraId="7C55A8A8" w14:textId="77777777" w:rsidR="00271E37" w:rsidRPr="00DD777C" w:rsidRDefault="00271E37">
            <w:r w:rsidRPr="009D526A">
              <w:rPr>
                <w:rFonts w:cs="Arial"/>
                <w:color w:val="000000"/>
                <w:szCs w:val="16"/>
              </w:rPr>
              <w:t>(17,456)</w:t>
            </w:r>
          </w:p>
        </w:tc>
        <w:tc>
          <w:tcPr>
            <w:tcW w:w="992" w:type="dxa"/>
            <w:tcBorders>
              <w:top w:val="single" w:sz="4" w:space="0" w:color="000000"/>
              <w:bottom w:val="single" w:sz="4" w:space="0" w:color="000000"/>
            </w:tcBorders>
            <w:vAlign w:val="center"/>
          </w:tcPr>
          <w:p w14:paraId="7D34201A" w14:textId="77777777" w:rsidR="00271E37" w:rsidRPr="00DD777C" w:rsidRDefault="00271E37">
            <w:r w:rsidRPr="009D526A">
              <w:rPr>
                <w:rFonts w:cs="Arial"/>
                <w:color w:val="000000"/>
                <w:szCs w:val="16"/>
              </w:rPr>
              <w:t>(34,793)</w:t>
            </w:r>
          </w:p>
        </w:tc>
        <w:tc>
          <w:tcPr>
            <w:tcW w:w="992" w:type="dxa"/>
            <w:tcBorders>
              <w:top w:val="single" w:sz="4" w:space="0" w:color="auto"/>
              <w:bottom w:val="single" w:sz="4" w:space="0" w:color="auto"/>
            </w:tcBorders>
            <w:vAlign w:val="center"/>
          </w:tcPr>
          <w:p w14:paraId="53C07503" w14:textId="77777777" w:rsidR="00271E37" w:rsidRPr="00DD777C" w:rsidRDefault="00271E37">
            <w:r w:rsidRPr="009D526A">
              <w:rPr>
                <w:rFonts w:cs="Arial"/>
                <w:color w:val="000000"/>
                <w:szCs w:val="16"/>
              </w:rPr>
              <w:t>(113,556)</w:t>
            </w:r>
          </w:p>
        </w:tc>
        <w:tc>
          <w:tcPr>
            <w:tcW w:w="992" w:type="dxa"/>
            <w:tcBorders>
              <w:top w:val="single" w:sz="4" w:space="0" w:color="auto"/>
              <w:bottom w:val="single" w:sz="4" w:space="0" w:color="auto"/>
            </w:tcBorders>
            <w:vAlign w:val="center"/>
          </w:tcPr>
          <w:p w14:paraId="1955DFC4" w14:textId="77777777" w:rsidR="00271E37" w:rsidRPr="00DD777C" w:rsidRDefault="00271E37">
            <w:r w:rsidRPr="009D526A">
              <w:rPr>
                <w:rFonts w:cs="Arial"/>
                <w:color w:val="000000"/>
                <w:szCs w:val="16"/>
              </w:rPr>
              <w:t>(97,846)</w:t>
            </w:r>
          </w:p>
        </w:tc>
        <w:tc>
          <w:tcPr>
            <w:tcW w:w="992" w:type="dxa"/>
            <w:tcBorders>
              <w:top w:val="single" w:sz="4" w:space="0" w:color="000000"/>
              <w:bottom w:val="single" w:sz="4" w:space="0" w:color="000000"/>
            </w:tcBorders>
            <w:vAlign w:val="center"/>
          </w:tcPr>
          <w:p w14:paraId="0E76165B" w14:textId="77777777" w:rsidR="00271E37" w:rsidRPr="00DD777C" w:rsidRDefault="00271E37">
            <w:r w:rsidRPr="009D526A">
              <w:rPr>
                <w:rFonts w:cs="Arial"/>
                <w:color w:val="000000"/>
                <w:szCs w:val="16"/>
              </w:rPr>
              <w:t>(211,402)</w:t>
            </w:r>
          </w:p>
        </w:tc>
      </w:tr>
      <w:tr w:rsidR="00271E37" w:rsidRPr="00421E15" w14:paraId="0A5D1AAB" w14:textId="77777777">
        <w:tc>
          <w:tcPr>
            <w:tcW w:w="2975" w:type="dxa"/>
            <w:tcBorders>
              <w:top w:val="single" w:sz="4" w:space="0" w:color="000000"/>
            </w:tcBorders>
          </w:tcPr>
          <w:p w14:paraId="51D8C182" w14:textId="77777777" w:rsidR="00271E37" w:rsidRPr="00421E15" w:rsidRDefault="00271E37">
            <w:pPr>
              <w:jc w:val="left"/>
            </w:pPr>
            <w:r w:rsidRPr="00421E15">
              <w:t>Capital expenditure additions</w:t>
            </w:r>
          </w:p>
        </w:tc>
        <w:tc>
          <w:tcPr>
            <w:tcW w:w="992" w:type="dxa"/>
            <w:tcBorders>
              <w:top w:val="single" w:sz="4" w:space="0" w:color="000000"/>
            </w:tcBorders>
            <w:vAlign w:val="center"/>
          </w:tcPr>
          <w:p w14:paraId="038469D4" w14:textId="77777777" w:rsidR="00271E37" w:rsidRPr="009D526A" w:rsidRDefault="00271E37"/>
        </w:tc>
        <w:tc>
          <w:tcPr>
            <w:tcW w:w="992" w:type="dxa"/>
            <w:tcBorders>
              <w:top w:val="single" w:sz="4" w:space="0" w:color="000000"/>
            </w:tcBorders>
            <w:vAlign w:val="center"/>
          </w:tcPr>
          <w:p w14:paraId="09DC9614" w14:textId="77777777" w:rsidR="00271E37" w:rsidRPr="009D526A" w:rsidRDefault="00271E37"/>
        </w:tc>
        <w:tc>
          <w:tcPr>
            <w:tcW w:w="992" w:type="dxa"/>
            <w:tcBorders>
              <w:top w:val="single" w:sz="4" w:space="0" w:color="000000"/>
            </w:tcBorders>
            <w:vAlign w:val="center"/>
          </w:tcPr>
          <w:p w14:paraId="6E76293F" w14:textId="77777777" w:rsidR="00271E37" w:rsidRPr="009D526A" w:rsidRDefault="00271E37"/>
        </w:tc>
        <w:tc>
          <w:tcPr>
            <w:tcW w:w="992" w:type="dxa"/>
            <w:tcBorders>
              <w:top w:val="single" w:sz="4" w:space="0" w:color="000000"/>
            </w:tcBorders>
            <w:vAlign w:val="center"/>
          </w:tcPr>
          <w:p w14:paraId="461947A1" w14:textId="77777777" w:rsidR="00271E37" w:rsidRPr="009D526A" w:rsidRDefault="00271E37"/>
        </w:tc>
        <w:tc>
          <w:tcPr>
            <w:tcW w:w="992" w:type="dxa"/>
            <w:tcBorders>
              <w:top w:val="single" w:sz="4" w:space="0" w:color="auto"/>
            </w:tcBorders>
            <w:vAlign w:val="center"/>
          </w:tcPr>
          <w:p w14:paraId="52DDBB23" w14:textId="77777777" w:rsidR="00271E37" w:rsidRPr="009D526A" w:rsidRDefault="00271E37"/>
        </w:tc>
        <w:tc>
          <w:tcPr>
            <w:tcW w:w="992" w:type="dxa"/>
            <w:tcBorders>
              <w:top w:val="single" w:sz="4" w:space="0" w:color="auto"/>
            </w:tcBorders>
            <w:vAlign w:val="center"/>
          </w:tcPr>
          <w:p w14:paraId="1F610AC7" w14:textId="77777777" w:rsidR="00271E37" w:rsidRPr="009D526A" w:rsidRDefault="00271E37"/>
        </w:tc>
        <w:tc>
          <w:tcPr>
            <w:tcW w:w="992" w:type="dxa"/>
            <w:tcBorders>
              <w:top w:val="single" w:sz="4" w:space="0" w:color="000000"/>
            </w:tcBorders>
            <w:vAlign w:val="center"/>
          </w:tcPr>
          <w:p w14:paraId="68E73EB2" w14:textId="77777777" w:rsidR="00271E37" w:rsidRPr="009D526A" w:rsidRDefault="00271E37"/>
        </w:tc>
      </w:tr>
      <w:tr w:rsidR="00271E37" w:rsidRPr="005D44F0" w14:paraId="5037AA50" w14:textId="77777777">
        <w:tc>
          <w:tcPr>
            <w:tcW w:w="2975" w:type="dxa"/>
          </w:tcPr>
          <w:p w14:paraId="30D4CA18" w14:textId="77777777" w:rsidR="00271E37" w:rsidRPr="005D44F0" w:rsidRDefault="00271E37">
            <w:pPr>
              <w:jc w:val="left"/>
            </w:pPr>
            <w:r w:rsidRPr="005D44F0">
              <w:t>– property, plant and equipment</w:t>
            </w:r>
          </w:p>
        </w:tc>
        <w:tc>
          <w:tcPr>
            <w:tcW w:w="992" w:type="dxa"/>
            <w:vAlign w:val="center"/>
          </w:tcPr>
          <w:p w14:paraId="6E59C87E" w14:textId="77777777" w:rsidR="00271E37" w:rsidRPr="00DD777C" w:rsidRDefault="00271E37">
            <w:r>
              <w:rPr>
                <w:rFonts w:cs="Arial"/>
                <w:color w:val="000000"/>
                <w:szCs w:val="16"/>
              </w:rPr>
              <w:t xml:space="preserve">574 </w:t>
            </w:r>
          </w:p>
        </w:tc>
        <w:tc>
          <w:tcPr>
            <w:tcW w:w="992" w:type="dxa"/>
            <w:vAlign w:val="center"/>
          </w:tcPr>
          <w:p w14:paraId="056D7872" w14:textId="77777777" w:rsidR="00271E37" w:rsidRPr="00DD777C" w:rsidRDefault="00271E37">
            <w:r>
              <w:rPr>
                <w:rFonts w:cs="Arial"/>
                <w:color w:val="000000"/>
                <w:szCs w:val="16"/>
              </w:rPr>
              <w:t xml:space="preserve">1,801 </w:t>
            </w:r>
          </w:p>
        </w:tc>
        <w:tc>
          <w:tcPr>
            <w:tcW w:w="992" w:type="dxa"/>
            <w:vAlign w:val="center"/>
          </w:tcPr>
          <w:p w14:paraId="53B26BD4" w14:textId="77777777" w:rsidR="00271E37" w:rsidRPr="00DD777C" w:rsidRDefault="00271E37">
            <w:r>
              <w:rPr>
                <w:rFonts w:cs="Arial"/>
                <w:color w:val="000000"/>
                <w:szCs w:val="16"/>
              </w:rPr>
              <w:t xml:space="preserve">653 </w:t>
            </w:r>
          </w:p>
        </w:tc>
        <w:tc>
          <w:tcPr>
            <w:tcW w:w="992" w:type="dxa"/>
            <w:vAlign w:val="center"/>
          </w:tcPr>
          <w:p w14:paraId="7EDF899D" w14:textId="77777777" w:rsidR="00271E37" w:rsidRPr="00E15093" w:rsidRDefault="00271E37">
            <w:r w:rsidRPr="00E15093">
              <w:rPr>
                <w:rFonts w:cs="Arial"/>
                <w:szCs w:val="16"/>
              </w:rPr>
              <w:t xml:space="preserve">12 </w:t>
            </w:r>
          </w:p>
        </w:tc>
        <w:tc>
          <w:tcPr>
            <w:tcW w:w="992" w:type="dxa"/>
            <w:vAlign w:val="center"/>
          </w:tcPr>
          <w:p w14:paraId="60AF57ED" w14:textId="77777777" w:rsidR="00271E37" w:rsidRPr="00E15093" w:rsidRDefault="00271E37">
            <w:r w:rsidRPr="009D526A">
              <w:rPr>
                <w:rFonts w:cs="Arial"/>
                <w:szCs w:val="16"/>
              </w:rPr>
              <w:t xml:space="preserve">3,040 </w:t>
            </w:r>
          </w:p>
        </w:tc>
        <w:tc>
          <w:tcPr>
            <w:tcW w:w="992" w:type="dxa"/>
            <w:vAlign w:val="center"/>
          </w:tcPr>
          <w:p w14:paraId="41CCFDBB" w14:textId="77777777" w:rsidR="00271E37" w:rsidRPr="00E15093" w:rsidRDefault="00271E37">
            <w:r w:rsidRPr="00E15093">
              <w:rPr>
                <w:rFonts w:cs="Arial"/>
                <w:szCs w:val="16"/>
              </w:rPr>
              <w:t xml:space="preserve">1,805 </w:t>
            </w:r>
          </w:p>
        </w:tc>
        <w:tc>
          <w:tcPr>
            <w:tcW w:w="992" w:type="dxa"/>
            <w:vAlign w:val="center"/>
          </w:tcPr>
          <w:p w14:paraId="702ED894" w14:textId="77777777" w:rsidR="00271E37" w:rsidRPr="00E15093" w:rsidRDefault="00271E37">
            <w:r w:rsidRPr="009D526A">
              <w:rPr>
                <w:rFonts w:cs="Arial"/>
                <w:szCs w:val="16"/>
              </w:rPr>
              <w:t xml:space="preserve">4,845 </w:t>
            </w:r>
          </w:p>
        </w:tc>
      </w:tr>
      <w:tr w:rsidR="00271E37" w:rsidRPr="005D44F0" w14:paraId="7DBC36A9" w14:textId="77777777">
        <w:tc>
          <w:tcPr>
            <w:tcW w:w="2975" w:type="dxa"/>
          </w:tcPr>
          <w:p w14:paraId="028DA558" w14:textId="77777777" w:rsidR="00271E37" w:rsidRPr="005D44F0" w:rsidRDefault="00271E37">
            <w:pPr>
              <w:jc w:val="left"/>
            </w:pPr>
            <w:r w:rsidRPr="005D44F0">
              <w:t>– intangible assets</w:t>
            </w:r>
          </w:p>
        </w:tc>
        <w:tc>
          <w:tcPr>
            <w:tcW w:w="992" w:type="dxa"/>
            <w:vAlign w:val="center"/>
          </w:tcPr>
          <w:p w14:paraId="0F0CD220" w14:textId="77777777" w:rsidR="00271E37" w:rsidRPr="00DD777C" w:rsidRDefault="00271E37">
            <w:r>
              <w:rPr>
                <w:rFonts w:cs="Arial"/>
                <w:color w:val="000000"/>
                <w:szCs w:val="16"/>
              </w:rPr>
              <w:t xml:space="preserve">35 </w:t>
            </w:r>
          </w:p>
        </w:tc>
        <w:tc>
          <w:tcPr>
            <w:tcW w:w="992" w:type="dxa"/>
            <w:vAlign w:val="center"/>
          </w:tcPr>
          <w:p w14:paraId="79E5CF18" w14:textId="77777777" w:rsidR="00271E37" w:rsidRPr="00DD777C" w:rsidRDefault="00271E37">
            <w:r>
              <w:rPr>
                <w:rFonts w:cs="Arial"/>
                <w:color w:val="000000"/>
                <w:szCs w:val="16"/>
              </w:rPr>
              <w:t xml:space="preserve">451 </w:t>
            </w:r>
          </w:p>
        </w:tc>
        <w:tc>
          <w:tcPr>
            <w:tcW w:w="992" w:type="dxa"/>
            <w:vAlign w:val="center"/>
          </w:tcPr>
          <w:p w14:paraId="0046C8C7" w14:textId="77777777" w:rsidR="00271E37" w:rsidRPr="00DD777C" w:rsidRDefault="00271E37">
            <w:r>
              <w:rPr>
                <w:rFonts w:cs="Arial"/>
                <w:color w:val="000000"/>
                <w:szCs w:val="16"/>
              </w:rPr>
              <w:t xml:space="preserve"> - </w:t>
            </w:r>
          </w:p>
        </w:tc>
        <w:tc>
          <w:tcPr>
            <w:tcW w:w="992" w:type="dxa"/>
            <w:vAlign w:val="center"/>
          </w:tcPr>
          <w:p w14:paraId="369133EA" w14:textId="77777777" w:rsidR="00271E37" w:rsidRPr="00E15093" w:rsidRDefault="00271E37">
            <w:r w:rsidRPr="00E15093">
              <w:rPr>
                <w:rFonts w:cs="Arial"/>
                <w:szCs w:val="16"/>
              </w:rPr>
              <w:t xml:space="preserve"> - </w:t>
            </w:r>
          </w:p>
        </w:tc>
        <w:tc>
          <w:tcPr>
            <w:tcW w:w="992" w:type="dxa"/>
            <w:vAlign w:val="center"/>
          </w:tcPr>
          <w:p w14:paraId="7B8165A2" w14:textId="77777777" w:rsidR="00271E37" w:rsidRPr="00E15093" w:rsidRDefault="00271E37">
            <w:r w:rsidRPr="009D526A">
              <w:rPr>
                <w:rFonts w:cs="Arial"/>
                <w:szCs w:val="16"/>
              </w:rPr>
              <w:t xml:space="preserve">486 </w:t>
            </w:r>
          </w:p>
        </w:tc>
        <w:tc>
          <w:tcPr>
            <w:tcW w:w="992" w:type="dxa"/>
            <w:vAlign w:val="center"/>
          </w:tcPr>
          <w:p w14:paraId="2E24E6F9" w14:textId="77777777" w:rsidR="00271E37" w:rsidRPr="00E15093" w:rsidRDefault="00271E37">
            <w:r w:rsidRPr="00E15093">
              <w:rPr>
                <w:rFonts w:cs="Arial"/>
                <w:szCs w:val="16"/>
              </w:rPr>
              <w:t xml:space="preserve"> - </w:t>
            </w:r>
          </w:p>
        </w:tc>
        <w:tc>
          <w:tcPr>
            <w:tcW w:w="992" w:type="dxa"/>
            <w:vAlign w:val="center"/>
          </w:tcPr>
          <w:p w14:paraId="58BDA051" w14:textId="77777777" w:rsidR="00271E37" w:rsidRPr="00E15093" w:rsidRDefault="00271E37">
            <w:r w:rsidRPr="009D526A">
              <w:rPr>
                <w:rFonts w:cs="Arial"/>
                <w:szCs w:val="16"/>
              </w:rPr>
              <w:t xml:space="preserve">486 </w:t>
            </w:r>
          </w:p>
        </w:tc>
      </w:tr>
      <w:tr w:rsidR="00271E37" w:rsidRPr="005D44F0" w14:paraId="47921C1E" w14:textId="77777777">
        <w:tc>
          <w:tcPr>
            <w:tcW w:w="2975" w:type="dxa"/>
          </w:tcPr>
          <w:p w14:paraId="3889FF89" w14:textId="77777777" w:rsidR="00271E37" w:rsidRPr="005D44F0" w:rsidRDefault="00271E37">
            <w:pPr>
              <w:jc w:val="left"/>
            </w:pPr>
            <w:r w:rsidRPr="005D44F0">
              <w:t>– right-of-use assets</w:t>
            </w:r>
          </w:p>
        </w:tc>
        <w:tc>
          <w:tcPr>
            <w:tcW w:w="992" w:type="dxa"/>
            <w:vAlign w:val="center"/>
          </w:tcPr>
          <w:p w14:paraId="211CF447" w14:textId="77777777" w:rsidR="00271E37" w:rsidRPr="00DD777C" w:rsidRDefault="00271E37">
            <w:r>
              <w:rPr>
                <w:rFonts w:cs="Arial"/>
                <w:color w:val="000000"/>
                <w:szCs w:val="16"/>
              </w:rPr>
              <w:t xml:space="preserve">175 </w:t>
            </w:r>
          </w:p>
        </w:tc>
        <w:tc>
          <w:tcPr>
            <w:tcW w:w="992" w:type="dxa"/>
            <w:vAlign w:val="center"/>
          </w:tcPr>
          <w:p w14:paraId="6ED40289" w14:textId="77777777" w:rsidR="00271E37" w:rsidRPr="00DD777C" w:rsidRDefault="00271E37">
            <w:r>
              <w:rPr>
                <w:rFonts w:cs="Arial"/>
                <w:color w:val="000000"/>
                <w:szCs w:val="16"/>
              </w:rPr>
              <w:t xml:space="preserve">582 </w:t>
            </w:r>
          </w:p>
        </w:tc>
        <w:tc>
          <w:tcPr>
            <w:tcW w:w="992" w:type="dxa"/>
            <w:vAlign w:val="center"/>
          </w:tcPr>
          <w:p w14:paraId="56722B31" w14:textId="77777777" w:rsidR="00271E37" w:rsidRPr="00DD777C" w:rsidRDefault="00271E37">
            <w:r>
              <w:rPr>
                <w:rFonts w:cs="Arial"/>
                <w:color w:val="000000"/>
                <w:szCs w:val="16"/>
              </w:rPr>
              <w:t xml:space="preserve">13,491 </w:t>
            </w:r>
          </w:p>
        </w:tc>
        <w:tc>
          <w:tcPr>
            <w:tcW w:w="992" w:type="dxa"/>
            <w:vAlign w:val="center"/>
          </w:tcPr>
          <w:p w14:paraId="74EFE684" w14:textId="77777777" w:rsidR="00271E37" w:rsidRPr="00E15093" w:rsidRDefault="00271E37">
            <w:r w:rsidRPr="00E15093">
              <w:rPr>
                <w:rFonts w:cs="Arial"/>
                <w:szCs w:val="16"/>
              </w:rPr>
              <w:t xml:space="preserve"> - </w:t>
            </w:r>
          </w:p>
        </w:tc>
        <w:tc>
          <w:tcPr>
            <w:tcW w:w="992" w:type="dxa"/>
            <w:vAlign w:val="center"/>
          </w:tcPr>
          <w:p w14:paraId="326B4F7D" w14:textId="77777777" w:rsidR="00271E37" w:rsidRPr="00E15093" w:rsidRDefault="00271E37">
            <w:r w:rsidRPr="009D526A">
              <w:rPr>
                <w:rFonts w:cs="Arial"/>
                <w:szCs w:val="16"/>
              </w:rPr>
              <w:t xml:space="preserve">14,248 </w:t>
            </w:r>
          </w:p>
        </w:tc>
        <w:tc>
          <w:tcPr>
            <w:tcW w:w="992" w:type="dxa"/>
            <w:vAlign w:val="center"/>
          </w:tcPr>
          <w:p w14:paraId="59D539DD" w14:textId="77777777" w:rsidR="00271E37" w:rsidRPr="00E15093" w:rsidRDefault="00271E37">
            <w:r w:rsidRPr="00E15093">
              <w:rPr>
                <w:rFonts w:cs="Arial"/>
                <w:szCs w:val="16"/>
              </w:rPr>
              <w:t xml:space="preserve">4,011 </w:t>
            </w:r>
          </w:p>
        </w:tc>
        <w:tc>
          <w:tcPr>
            <w:tcW w:w="992" w:type="dxa"/>
            <w:vAlign w:val="center"/>
          </w:tcPr>
          <w:p w14:paraId="6419A9C0" w14:textId="77777777" w:rsidR="00271E37" w:rsidRPr="00E15093" w:rsidRDefault="00271E37">
            <w:r w:rsidRPr="009D526A">
              <w:rPr>
                <w:rFonts w:cs="Arial"/>
                <w:szCs w:val="16"/>
              </w:rPr>
              <w:t xml:space="preserve">18,259 </w:t>
            </w:r>
          </w:p>
        </w:tc>
      </w:tr>
      <w:tr w:rsidR="00271E37" w:rsidRPr="005D44F0" w14:paraId="28DF2DE8" w14:textId="77777777">
        <w:tc>
          <w:tcPr>
            <w:tcW w:w="2975" w:type="dxa"/>
          </w:tcPr>
          <w:p w14:paraId="4B4D7DEB" w14:textId="77777777" w:rsidR="00271E37" w:rsidRPr="005D44F0" w:rsidRDefault="00271E37">
            <w:pPr>
              <w:jc w:val="left"/>
            </w:pPr>
            <w:r w:rsidRPr="005D44F0">
              <w:t xml:space="preserve">Depreciation – property, plant and equipment </w:t>
            </w:r>
          </w:p>
        </w:tc>
        <w:tc>
          <w:tcPr>
            <w:tcW w:w="992" w:type="dxa"/>
            <w:vAlign w:val="center"/>
          </w:tcPr>
          <w:p w14:paraId="76E48419" w14:textId="77777777" w:rsidR="00271E37" w:rsidRPr="00DD777C" w:rsidRDefault="00271E37">
            <w:r>
              <w:rPr>
                <w:rFonts w:cs="Arial"/>
                <w:color w:val="000000"/>
                <w:szCs w:val="16"/>
              </w:rPr>
              <w:t xml:space="preserve">1,353 </w:t>
            </w:r>
          </w:p>
        </w:tc>
        <w:tc>
          <w:tcPr>
            <w:tcW w:w="992" w:type="dxa"/>
            <w:vAlign w:val="center"/>
          </w:tcPr>
          <w:p w14:paraId="37ACAA38" w14:textId="77777777" w:rsidR="00271E37" w:rsidRPr="00DD777C" w:rsidRDefault="00271E37">
            <w:r>
              <w:rPr>
                <w:rFonts w:cs="Arial"/>
                <w:color w:val="000000"/>
                <w:szCs w:val="16"/>
              </w:rPr>
              <w:t xml:space="preserve">2,173 </w:t>
            </w:r>
          </w:p>
        </w:tc>
        <w:tc>
          <w:tcPr>
            <w:tcW w:w="992" w:type="dxa"/>
            <w:vAlign w:val="center"/>
          </w:tcPr>
          <w:p w14:paraId="760AF8FD" w14:textId="77777777" w:rsidR="00271E37" w:rsidRPr="00DD777C" w:rsidRDefault="00271E37">
            <w:r>
              <w:rPr>
                <w:rFonts w:cs="Arial"/>
                <w:color w:val="000000"/>
                <w:szCs w:val="16"/>
              </w:rPr>
              <w:t xml:space="preserve">214 </w:t>
            </w:r>
          </w:p>
        </w:tc>
        <w:tc>
          <w:tcPr>
            <w:tcW w:w="992" w:type="dxa"/>
            <w:vAlign w:val="center"/>
          </w:tcPr>
          <w:p w14:paraId="1DFEE92A" w14:textId="77777777" w:rsidR="00271E37" w:rsidRPr="00E15093" w:rsidRDefault="00271E37">
            <w:r w:rsidRPr="00E15093">
              <w:rPr>
                <w:rFonts w:cs="Arial"/>
                <w:szCs w:val="16"/>
              </w:rPr>
              <w:t xml:space="preserve">22 </w:t>
            </w:r>
          </w:p>
        </w:tc>
        <w:tc>
          <w:tcPr>
            <w:tcW w:w="992" w:type="dxa"/>
            <w:vAlign w:val="center"/>
          </w:tcPr>
          <w:p w14:paraId="5743AF6C" w14:textId="77777777" w:rsidR="00271E37" w:rsidRPr="00E15093" w:rsidRDefault="00271E37">
            <w:r w:rsidRPr="009D526A">
              <w:rPr>
                <w:rFonts w:cs="Arial"/>
                <w:szCs w:val="16"/>
              </w:rPr>
              <w:t xml:space="preserve">3,762 </w:t>
            </w:r>
          </w:p>
        </w:tc>
        <w:tc>
          <w:tcPr>
            <w:tcW w:w="992" w:type="dxa"/>
            <w:vAlign w:val="center"/>
          </w:tcPr>
          <w:p w14:paraId="5AADA0CB" w14:textId="77777777" w:rsidR="00271E37" w:rsidRPr="00E15093" w:rsidRDefault="00271E37">
            <w:r w:rsidRPr="00E15093">
              <w:rPr>
                <w:rFonts w:cs="Arial"/>
                <w:szCs w:val="16"/>
              </w:rPr>
              <w:t xml:space="preserve">4,614 </w:t>
            </w:r>
          </w:p>
        </w:tc>
        <w:tc>
          <w:tcPr>
            <w:tcW w:w="992" w:type="dxa"/>
            <w:vAlign w:val="center"/>
          </w:tcPr>
          <w:p w14:paraId="51FE6E6D" w14:textId="77777777" w:rsidR="00271E37" w:rsidRPr="00E15093" w:rsidRDefault="00271E37">
            <w:r w:rsidRPr="009D526A">
              <w:rPr>
                <w:rFonts w:cs="Arial"/>
                <w:szCs w:val="16"/>
              </w:rPr>
              <w:t xml:space="preserve">8,376 </w:t>
            </w:r>
          </w:p>
        </w:tc>
      </w:tr>
      <w:tr w:rsidR="00271E37" w:rsidRPr="005D44F0" w14:paraId="5D8F60BB" w14:textId="77777777">
        <w:tc>
          <w:tcPr>
            <w:tcW w:w="2975" w:type="dxa"/>
          </w:tcPr>
          <w:p w14:paraId="14F0DCC0" w14:textId="4690A808" w:rsidR="00271E37" w:rsidRPr="005D44F0" w:rsidRDefault="00271E37">
            <w:pPr>
              <w:jc w:val="left"/>
            </w:pPr>
            <w:r>
              <w:t>Impairment – property</w:t>
            </w:r>
            <w:r w:rsidR="00860FE9">
              <w:t>, plant and equipment</w:t>
            </w:r>
          </w:p>
        </w:tc>
        <w:tc>
          <w:tcPr>
            <w:tcW w:w="992" w:type="dxa"/>
            <w:vAlign w:val="center"/>
          </w:tcPr>
          <w:p w14:paraId="77515F74"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07C7DDB4" w14:textId="77777777" w:rsidR="00271E37" w:rsidRDefault="00271E37">
            <w:pPr>
              <w:rPr>
                <w:rFonts w:cs="Arial"/>
                <w:color w:val="000000"/>
                <w:szCs w:val="16"/>
              </w:rPr>
            </w:pPr>
            <w:r>
              <w:rPr>
                <w:rFonts w:cs="Arial"/>
                <w:color w:val="000000"/>
                <w:szCs w:val="16"/>
              </w:rPr>
              <w:t xml:space="preserve">593 </w:t>
            </w:r>
          </w:p>
        </w:tc>
        <w:tc>
          <w:tcPr>
            <w:tcW w:w="992" w:type="dxa"/>
            <w:vAlign w:val="center"/>
          </w:tcPr>
          <w:p w14:paraId="1990FFE9"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6AB645FD" w14:textId="77777777" w:rsidR="00271E37" w:rsidRPr="00E15093" w:rsidRDefault="00271E37">
            <w:pPr>
              <w:rPr>
                <w:rFonts w:cs="Arial"/>
                <w:szCs w:val="16"/>
              </w:rPr>
            </w:pPr>
            <w:r w:rsidRPr="00E15093">
              <w:rPr>
                <w:rFonts w:cs="Arial"/>
                <w:szCs w:val="16"/>
              </w:rPr>
              <w:t xml:space="preserve"> - </w:t>
            </w:r>
          </w:p>
        </w:tc>
        <w:tc>
          <w:tcPr>
            <w:tcW w:w="992" w:type="dxa"/>
            <w:vAlign w:val="center"/>
          </w:tcPr>
          <w:p w14:paraId="6DA7EB86" w14:textId="77777777" w:rsidR="00271E37" w:rsidRPr="009D526A" w:rsidRDefault="00271E37">
            <w:pPr>
              <w:rPr>
                <w:rFonts w:cs="Arial"/>
                <w:szCs w:val="16"/>
              </w:rPr>
            </w:pPr>
            <w:r w:rsidRPr="009D526A">
              <w:rPr>
                <w:rFonts w:cs="Arial"/>
                <w:szCs w:val="16"/>
              </w:rPr>
              <w:t xml:space="preserve">593 </w:t>
            </w:r>
          </w:p>
        </w:tc>
        <w:tc>
          <w:tcPr>
            <w:tcW w:w="992" w:type="dxa"/>
            <w:vAlign w:val="center"/>
          </w:tcPr>
          <w:p w14:paraId="5E03741B" w14:textId="77777777" w:rsidR="00271E37" w:rsidRPr="00E15093" w:rsidRDefault="00271E37">
            <w:pPr>
              <w:rPr>
                <w:rFonts w:cs="Arial"/>
                <w:szCs w:val="16"/>
              </w:rPr>
            </w:pPr>
            <w:r w:rsidRPr="00E15093">
              <w:rPr>
                <w:rFonts w:cs="Arial"/>
                <w:szCs w:val="16"/>
              </w:rPr>
              <w:t xml:space="preserve">2,909 </w:t>
            </w:r>
          </w:p>
        </w:tc>
        <w:tc>
          <w:tcPr>
            <w:tcW w:w="992" w:type="dxa"/>
            <w:vAlign w:val="center"/>
          </w:tcPr>
          <w:p w14:paraId="458A1689" w14:textId="77777777" w:rsidR="00271E37" w:rsidRPr="009D526A" w:rsidRDefault="00271E37">
            <w:pPr>
              <w:rPr>
                <w:rFonts w:cs="Arial"/>
                <w:szCs w:val="16"/>
              </w:rPr>
            </w:pPr>
            <w:r w:rsidRPr="009D526A">
              <w:rPr>
                <w:rFonts w:cs="Arial"/>
                <w:szCs w:val="16"/>
              </w:rPr>
              <w:t xml:space="preserve">3,502 </w:t>
            </w:r>
          </w:p>
        </w:tc>
      </w:tr>
      <w:tr w:rsidR="00271E37" w:rsidRPr="005D44F0" w14:paraId="76D2C932" w14:textId="77777777">
        <w:tc>
          <w:tcPr>
            <w:tcW w:w="2975" w:type="dxa"/>
          </w:tcPr>
          <w:p w14:paraId="607ED367" w14:textId="77777777" w:rsidR="00271E37" w:rsidRPr="005D44F0" w:rsidRDefault="00271E37">
            <w:pPr>
              <w:jc w:val="left"/>
            </w:pPr>
            <w:r w:rsidRPr="005D44F0">
              <w:t>Amortisation – intangible assets</w:t>
            </w:r>
          </w:p>
        </w:tc>
        <w:tc>
          <w:tcPr>
            <w:tcW w:w="992" w:type="dxa"/>
            <w:vAlign w:val="center"/>
          </w:tcPr>
          <w:p w14:paraId="7C80FEB7" w14:textId="77777777" w:rsidR="00271E37" w:rsidRPr="00DD777C" w:rsidRDefault="00271E37">
            <w:r>
              <w:rPr>
                <w:rFonts w:cs="Arial"/>
                <w:color w:val="000000"/>
                <w:szCs w:val="16"/>
              </w:rPr>
              <w:t xml:space="preserve">16 </w:t>
            </w:r>
          </w:p>
        </w:tc>
        <w:tc>
          <w:tcPr>
            <w:tcW w:w="992" w:type="dxa"/>
            <w:vAlign w:val="center"/>
          </w:tcPr>
          <w:p w14:paraId="7BB8ACAF" w14:textId="77777777" w:rsidR="00271E37" w:rsidRPr="00DD777C" w:rsidRDefault="00271E37">
            <w:r>
              <w:rPr>
                <w:rFonts w:cs="Arial"/>
                <w:color w:val="000000"/>
                <w:szCs w:val="16"/>
              </w:rPr>
              <w:t xml:space="preserve">19 </w:t>
            </w:r>
          </w:p>
        </w:tc>
        <w:tc>
          <w:tcPr>
            <w:tcW w:w="992" w:type="dxa"/>
            <w:vAlign w:val="center"/>
          </w:tcPr>
          <w:p w14:paraId="76C5BFAA" w14:textId="77777777" w:rsidR="00271E37" w:rsidRPr="00DD777C" w:rsidRDefault="00271E37">
            <w:r>
              <w:rPr>
                <w:rFonts w:cs="Arial"/>
                <w:color w:val="000000"/>
                <w:szCs w:val="16"/>
              </w:rPr>
              <w:t xml:space="preserve">27 </w:t>
            </w:r>
          </w:p>
        </w:tc>
        <w:tc>
          <w:tcPr>
            <w:tcW w:w="992" w:type="dxa"/>
            <w:vAlign w:val="center"/>
          </w:tcPr>
          <w:p w14:paraId="1B56D3F9" w14:textId="77777777" w:rsidR="00271E37" w:rsidRPr="00E15093" w:rsidRDefault="00271E37">
            <w:r w:rsidRPr="00E15093">
              <w:rPr>
                <w:rFonts w:cs="Arial"/>
                <w:szCs w:val="16"/>
              </w:rPr>
              <w:t xml:space="preserve"> - </w:t>
            </w:r>
          </w:p>
        </w:tc>
        <w:tc>
          <w:tcPr>
            <w:tcW w:w="992" w:type="dxa"/>
            <w:vAlign w:val="center"/>
          </w:tcPr>
          <w:p w14:paraId="6D0EAAA1" w14:textId="77777777" w:rsidR="00271E37" w:rsidRPr="00E15093" w:rsidRDefault="00271E37">
            <w:r w:rsidRPr="009D526A">
              <w:rPr>
                <w:rFonts w:cs="Arial"/>
                <w:szCs w:val="16"/>
              </w:rPr>
              <w:t xml:space="preserve">62 </w:t>
            </w:r>
          </w:p>
        </w:tc>
        <w:tc>
          <w:tcPr>
            <w:tcW w:w="992" w:type="dxa"/>
            <w:vAlign w:val="center"/>
          </w:tcPr>
          <w:p w14:paraId="66B4E503" w14:textId="77777777" w:rsidR="00271E37" w:rsidRPr="00E15093" w:rsidRDefault="00271E37">
            <w:r w:rsidRPr="00E15093">
              <w:rPr>
                <w:rFonts w:cs="Arial"/>
                <w:szCs w:val="16"/>
              </w:rPr>
              <w:t xml:space="preserve">1,842 </w:t>
            </w:r>
          </w:p>
        </w:tc>
        <w:tc>
          <w:tcPr>
            <w:tcW w:w="992" w:type="dxa"/>
            <w:vAlign w:val="center"/>
          </w:tcPr>
          <w:p w14:paraId="44C28E1D" w14:textId="77777777" w:rsidR="00271E37" w:rsidRPr="00E15093" w:rsidRDefault="00271E37">
            <w:r w:rsidRPr="009D526A">
              <w:rPr>
                <w:rFonts w:cs="Arial"/>
                <w:szCs w:val="16"/>
              </w:rPr>
              <w:t xml:space="preserve">1,904 </w:t>
            </w:r>
          </w:p>
        </w:tc>
      </w:tr>
      <w:tr w:rsidR="00271E37" w:rsidRPr="005D44F0" w14:paraId="73A4A1B3" w14:textId="77777777">
        <w:tc>
          <w:tcPr>
            <w:tcW w:w="2975" w:type="dxa"/>
          </w:tcPr>
          <w:p w14:paraId="0F7D7B21" w14:textId="77777777" w:rsidR="00271E37" w:rsidRPr="005D44F0" w:rsidRDefault="00271E37">
            <w:pPr>
              <w:jc w:val="left"/>
            </w:pPr>
            <w:r w:rsidRPr="00694780">
              <w:t>Impairment – intangible assets</w:t>
            </w:r>
          </w:p>
        </w:tc>
        <w:tc>
          <w:tcPr>
            <w:tcW w:w="992" w:type="dxa"/>
            <w:vAlign w:val="center"/>
          </w:tcPr>
          <w:p w14:paraId="5BE94D1F"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20407794"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64383005"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5A97260D" w14:textId="77777777" w:rsidR="00271E37" w:rsidRPr="00E15093" w:rsidRDefault="00271E37">
            <w:pPr>
              <w:rPr>
                <w:rFonts w:cs="Arial"/>
                <w:szCs w:val="16"/>
              </w:rPr>
            </w:pPr>
            <w:r w:rsidRPr="00E15093">
              <w:rPr>
                <w:rFonts w:cs="Arial"/>
                <w:szCs w:val="16"/>
              </w:rPr>
              <w:t xml:space="preserve"> - </w:t>
            </w:r>
          </w:p>
        </w:tc>
        <w:tc>
          <w:tcPr>
            <w:tcW w:w="992" w:type="dxa"/>
            <w:vAlign w:val="center"/>
          </w:tcPr>
          <w:p w14:paraId="739BB2B0" w14:textId="77777777" w:rsidR="00271E37" w:rsidRPr="009D526A" w:rsidRDefault="00271E37">
            <w:pPr>
              <w:rPr>
                <w:rFonts w:cs="Arial"/>
                <w:szCs w:val="16"/>
              </w:rPr>
            </w:pPr>
            <w:r w:rsidRPr="009D526A">
              <w:rPr>
                <w:rFonts w:cs="Arial"/>
                <w:szCs w:val="16"/>
              </w:rPr>
              <w:t xml:space="preserve"> - </w:t>
            </w:r>
          </w:p>
        </w:tc>
        <w:tc>
          <w:tcPr>
            <w:tcW w:w="992" w:type="dxa"/>
            <w:vAlign w:val="center"/>
          </w:tcPr>
          <w:p w14:paraId="3722EE58" w14:textId="77777777" w:rsidR="00271E37" w:rsidRPr="00E15093" w:rsidRDefault="00271E37">
            <w:pPr>
              <w:rPr>
                <w:rFonts w:cs="Arial"/>
                <w:szCs w:val="16"/>
              </w:rPr>
            </w:pPr>
            <w:r w:rsidRPr="00E15093">
              <w:rPr>
                <w:rFonts w:cs="Arial"/>
                <w:szCs w:val="16"/>
              </w:rPr>
              <w:t xml:space="preserve">1,337 </w:t>
            </w:r>
          </w:p>
        </w:tc>
        <w:tc>
          <w:tcPr>
            <w:tcW w:w="992" w:type="dxa"/>
            <w:vAlign w:val="center"/>
          </w:tcPr>
          <w:p w14:paraId="521E68BB" w14:textId="77777777" w:rsidR="00271E37" w:rsidRPr="009D526A" w:rsidRDefault="00271E37">
            <w:pPr>
              <w:rPr>
                <w:rFonts w:cs="Arial"/>
                <w:szCs w:val="16"/>
              </w:rPr>
            </w:pPr>
            <w:r w:rsidRPr="009D526A">
              <w:rPr>
                <w:rFonts w:cs="Arial"/>
                <w:szCs w:val="16"/>
              </w:rPr>
              <w:t xml:space="preserve">1,337 </w:t>
            </w:r>
          </w:p>
        </w:tc>
      </w:tr>
      <w:tr w:rsidR="00271E37" w:rsidRPr="005D44F0" w14:paraId="7BA7CAC4" w14:textId="77777777">
        <w:tc>
          <w:tcPr>
            <w:tcW w:w="2975" w:type="dxa"/>
          </w:tcPr>
          <w:p w14:paraId="0DDC5315" w14:textId="77777777" w:rsidR="00271E37" w:rsidRPr="005D44F0" w:rsidRDefault="00271E37">
            <w:pPr>
              <w:jc w:val="left"/>
            </w:pPr>
            <w:r w:rsidRPr="00624E6D">
              <w:t>Impairment – goodwill</w:t>
            </w:r>
          </w:p>
        </w:tc>
        <w:tc>
          <w:tcPr>
            <w:tcW w:w="992" w:type="dxa"/>
            <w:vAlign w:val="center"/>
          </w:tcPr>
          <w:p w14:paraId="586BF444"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4086B1EA"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0A64365A" w14:textId="77777777" w:rsidR="00271E37" w:rsidRDefault="00271E37">
            <w:pPr>
              <w:rPr>
                <w:rFonts w:cs="Arial"/>
                <w:color w:val="000000"/>
                <w:szCs w:val="16"/>
              </w:rPr>
            </w:pPr>
            <w:r>
              <w:rPr>
                <w:rFonts w:cs="Arial"/>
                <w:color w:val="000000"/>
                <w:szCs w:val="16"/>
              </w:rPr>
              <w:t xml:space="preserve"> - </w:t>
            </w:r>
          </w:p>
        </w:tc>
        <w:tc>
          <w:tcPr>
            <w:tcW w:w="992" w:type="dxa"/>
            <w:vAlign w:val="center"/>
          </w:tcPr>
          <w:p w14:paraId="4185D417" w14:textId="77777777" w:rsidR="00271E37" w:rsidRPr="00E15093" w:rsidRDefault="00271E37">
            <w:pPr>
              <w:rPr>
                <w:rFonts w:cs="Arial"/>
                <w:szCs w:val="16"/>
              </w:rPr>
            </w:pPr>
            <w:r w:rsidRPr="00E15093">
              <w:rPr>
                <w:rFonts w:cs="Arial"/>
                <w:szCs w:val="16"/>
              </w:rPr>
              <w:t xml:space="preserve"> - </w:t>
            </w:r>
          </w:p>
        </w:tc>
        <w:tc>
          <w:tcPr>
            <w:tcW w:w="992" w:type="dxa"/>
            <w:vAlign w:val="center"/>
          </w:tcPr>
          <w:p w14:paraId="46265570" w14:textId="77777777" w:rsidR="00271E37" w:rsidRPr="009D526A" w:rsidRDefault="00271E37">
            <w:pPr>
              <w:rPr>
                <w:rFonts w:cs="Arial"/>
                <w:szCs w:val="16"/>
              </w:rPr>
            </w:pPr>
            <w:r w:rsidRPr="009D526A">
              <w:rPr>
                <w:rFonts w:cs="Arial"/>
                <w:szCs w:val="16"/>
              </w:rPr>
              <w:t xml:space="preserve"> - </w:t>
            </w:r>
          </w:p>
        </w:tc>
        <w:tc>
          <w:tcPr>
            <w:tcW w:w="992" w:type="dxa"/>
            <w:vAlign w:val="center"/>
          </w:tcPr>
          <w:p w14:paraId="47A896C8" w14:textId="77777777" w:rsidR="00271E37" w:rsidRPr="00E15093" w:rsidRDefault="00271E37">
            <w:pPr>
              <w:rPr>
                <w:rFonts w:cs="Arial"/>
                <w:szCs w:val="16"/>
              </w:rPr>
            </w:pPr>
            <w:r w:rsidRPr="00E15093">
              <w:rPr>
                <w:rFonts w:cs="Arial"/>
                <w:szCs w:val="16"/>
              </w:rPr>
              <w:t xml:space="preserve">37,760 </w:t>
            </w:r>
          </w:p>
        </w:tc>
        <w:tc>
          <w:tcPr>
            <w:tcW w:w="992" w:type="dxa"/>
            <w:vAlign w:val="center"/>
          </w:tcPr>
          <w:p w14:paraId="29AD627B" w14:textId="77777777" w:rsidR="00271E37" w:rsidRPr="009D526A" w:rsidRDefault="00271E37">
            <w:pPr>
              <w:rPr>
                <w:rFonts w:cs="Arial"/>
                <w:szCs w:val="16"/>
              </w:rPr>
            </w:pPr>
            <w:r w:rsidRPr="009D526A">
              <w:rPr>
                <w:rFonts w:cs="Arial"/>
                <w:szCs w:val="16"/>
              </w:rPr>
              <w:t xml:space="preserve">37,760 </w:t>
            </w:r>
          </w:p>
        </w:tc>
      </w:tr>
      <w:tr w:rsidR="00271E37" w:rsidRPr="005D44F0" w14:paraId="5B37FD62" w14:textId="77777777">
        <w:tc>
          <w:tcPr>
            <w:tcW w:w="2975" w:type="dxa"/>
          </w:tcPr>
          <w:p w14:paraId="6F1AC958" w14:textId="77777777" w:rsidR="00271E37" w:rsidRPr="005D44F0" w:rsidRDefault="00271E37">
            <w:pPr>
              <w:jc w:val="left"/>
            </w:pPr>
            <w:r w:rsidRPr="005D44F0">
              <w:t>Depreciation – right-of-use assets</w:t>
            </w:r>
          </w:p>
        </w:tc>
        <w:tc>
          <w:tcPr>
            <w:tcW w:w="992" w:type="dxa"/>
            <w:vAlign w:val="center"/>
          </w:tcPr>
          <w:p w14:paraId="71AB36D1" w14:textId="77777777" w:rsidR="00271E37" w:rsidRPr="00DD777C" w:rsidRDefault="00271E37">
            <w:r>
              <w:rPr>
                <w:rFonts w:cs="Arial"/>
                <w:color w:val="000000"/>
                <w:szCs w:val="16"/>
              </w:rPr>
              <w:t xml:space="preserve">938 </w:t>
            </w:r>
          </w:p>
        </w:tc>
        <w:tc>
          <w:tcPr>
            <w:tcW w:w="992" w:type="dxa"/>
            <w:vAlign w:val="center"/>
          </w:tcPr>
          <w:p w14:paraId="5062E7E3" w14:textId="77777777" w:rsidR="00271E37" w:rsidRPr="00DD777C" w:rsidRDefault="00271E37">
            <w:r>
              <w:rPr>
                <w:rFonts w:cs="Arial"/>
                <w:color w:val="000000"/>
                <w:szCs w:val="16"/>
              </w:rPr>
              <w:t xml:space="preserve">1,739 </w:t>
            </w:r>
          </w:p>
        </w:tc>
        <w:tc>
          <w:tcPr>
            <w:tcW w:w="992" w:type="dxa"/>
            <w:vAlign w:val="center"/>
          </w:tcPr>
          <w:p w14:paraId="7D66C1F5" w14:textId="77777777" w:rsidR="00271E37" w:rsidRPr="00DD777C" w:rsidRDefault="00271E37">
            <w:r>
              <w:rPr>
                <w:rFonts w:cs="Arial"/>
                <w:color w:val="000000"/>
                <w:szCs w:val="16"/>
              </w:rPr>
              <w:t xml:space="preserve">1,228 </w:t>
            </w:r>
          </w:p>
        </w:tc>
        <w:tc>
          <w:tcPr>
            <w:tcW w:w="992" w:type="dxa"/>
            <w:vAlign w:val="center"/>
          </w:tcPr>
          <w:p w14:paraId="6A2BD3AE" w14:textId="77777777" w:rsidR="00271E37" w:rsidRPr="00E15093" w:rsidRDefault="00271E37">
            <w:r w:rsidRPr="00E15093">
              <w:rPr>
                <w:rFonts w:cs="Arial"/>
                <w:szCs w:val="16"/>
              </w:rPr>
              <w:t xml:space="preserve">8 </w:t>
            </w:r>
          </w:p>
        </w:tc>
        <w:tc>
          <w:tcPr>
            <w:tcW w:w="992" w:type="dxa"/>
            <w:vAlign w:val="center"/>
          </w:tcPr>
          <w:p w14:paraId="2E64A7D5" w14:textId="77777777" w:rsidR="00271E37" w:rsidRPr="00E15093" w:rsidRDefault="00271E37">
            <w:r w:rsidRPr="009D526A">
              <w:rPr>
                <w:rFonts w:cs="Arial"/>
                <w:szCs w:val="16"/>
              </w:rPr>
              <w:t xml:space="preserve">3,913 </w:t>
            </w:r>
          </w:p>
        </w:tc>
        <w:tc>
          <w:tcPr>
            <w:tcW w:w="992" w:type="dxa"/>
            <w:vAlign w:val="center"/>
          </w:tcPr>
          <w:p w14:paraId="66876640" w14:textId="77777777" w:rsidR="00271E37" w:rsidRPr="00E15093" w:rsidRDefault="00271E37">
            <w:r w:rsidRPr="00E15093">
              <w:rPr>
                <w:rFonts w:cs="Arial"/>
                <w:szCs w:val="16"/>
              </w:rPr>
              <w:t xml:space="preserve">8,246 </w:t>
            </w:r>
          </w:p>
        </w:tc>
        <w:tc>
          <w:tcPr>
            <w:tcW w:w="992" w:type="dxa"/>
            <w:vAlign w:val="center"/>
          </w:tcPr>
          <w:p w14:paraId="736A9737" w14:textId="77777777" w:rsidR="00271E37" w:rsidRPr="00E15093" w:rsidRDefault="00271E37">
            <w:r w:rsidRPr="009D526A">
              <w:rPr>
                <w:rFonts w:cs="Arial"/>
                <w:szCs w:val="16"/>
              </w:rPr>
              <w:t xml:space="preserve">12,159 </w:t>
            </w:r>
          </w:p>
        </w:tc>
      </w:tr>
      <w:tr w:rsidR="00271E37" w:rsidRPr="005D44F0" w14:paraId="7F32343F" w14:textId="77777777">
        <w:tc>
          <w:tcPr>
            <w:tcW w:w="2975" w:type="dxa"/>
          </w:tcPr>
          <w:p w14:paraId="0E0081BB" w14:textId="77777777" w:rsidR="00271E37" w:rsidRPr="005D44F0" w:rsidRDefault="00271E37">
            <w:pPr>
              <w:jc w:val="left"/>
            </w:pPr>
            <w:r>
              <w:t>I</w:t>
            </w:r>
            <w:r w:rsidRPr="005D44F0">
              <w:t>mpairment – right-of-use assets</w:t>
            </w:r>
          </w:p>
        </w:tc>
        <w:tc>
          <w:tcPr>
            <w:tcW w:w="992" w:type="dxa"/>
            <w:vAlign w:val="center"/>
          </w:tcPr>
          <w:p w14:paraId="447D9057" w14:textId="77777777" w:rsidR="00271E37" w:rsidRPr="00DD777C" w:rsidRDefault="00271E37">
            <w:r>
              <w:rPr>
                <w:rFonts w:cs="Arial"/>
                <w:color w:val="000000"/>
                <w:szCs w:val="16"/>
              </w:rPr>
              <w:t xml:space="preserve"> - </w:t>
            </w:r>
          </w:p>
        </w:tc>
        <w:tc>
          <w:tcPr>
            <w:tcW w:w="992" w:type="dxa"/>
            <w:vAlign w:val="center"/>
          </w:tcPr>
          <w:p w14:paraId="2017364B" w14:textId="77777777" w:rsidR="00271E37" w:rsidRPr="00DD777C" w:rsidRDefault="00271E37">
            <w:r>
              <w:rPr>
                <w:rFonts w:cs="Arial"/>
                <w:color w:val="000000"/>
                <w:szCs w:val="16"/>
              </w:rPr>
              <w:t xml:space="preserve"> - </w:t>
            </w:r>
          </w:p>
        </w:tc>
        <w:tc>
          <w:tcPr>
            <w:tcW w:w="992" w:type="dxa"/>
            <w:vAlign w:val="center"/>
          </w:tcPr>
          <w:p w14:paraId="358AA92C" w14:textId="77777777" w:rsidR="00271E37" w:rsidRPr="00DD777C" w:rsidRDefault="00271E37">
            <w:r>
              <w:rPr>
                <w:rFonts w:cs="Arial"/>
                <w:color w:val="000000"/>
                <w:szCs w:val="16"/>
              </w:rPr>
              <w:t xml:space="preserve"> - </w:t>
            </w:r>
          </w:p>
        </w:tc>
        <w:tc>
          <w:tcPr>
            <w:tcW w:w="992" w:type="dxa"/>
            <w:vAlign w:val="center"/>
          </w:tcPr>
          <w:p w14:paraId="2388D33B" w14:textId="77777777" w:rsidR="00271E37" w:rsidRPr="00E15093" w:rsidRDefault="00271E37">
            <w:r w:rsidRPr="00E15093">
              <w:rPr>
                <w:rFonts w:cs="Arial"/>
                <w:szCs w:val="16"/>
              </w:rPr>
              <w:t xml:space="preserve"> - </w:t>
            </w:r>
          </w:p>
        </w:tc>
        <w:tc>
          <w:tcPr>
            <w:tcW w:w="992" w:type="dxa"/>
            <w:vAlign w:val="center"/>
          </w:tcPr>
          <w:p w14:paraId="531C3488" w14:textId="77777777" w:rsidR="00271E37" w:rsidRPr="00E15093" w:rsidRDefault="00271E37">
            <w:r w:rsidRPr="009D526A">
              <w:rPr>
                <w:rFonts w:cs="Arial"/>
                <w:szCs w:val="16"/>
              </w:rPr>
              <w:t xml:space="preserve"> - </w:t>
            </w:r>
          </w:p>
        </w:tc>
        <w:tc>
          <w:tcPr>
            <w:tcW w:w="992" w:type="dxa"/>
            <w:vAlign w:val="center"/>
          </w:tcPr>
          <w:p w14:paraId="7C1824C9" w14:textId="77777777" w:rsidR="00271E37" w:rsidRPr="00E15093" w:rsidRDefault="00271E37">
            <w:r w:rsidRPr="00E15093">
              <w:rPr>
                <w:rFonts w:cs="Arial"/>
                <w:szCs w:val="16"/>
              </w:rPr>
              <w:t xml:space="preserve">646 </w:t>
            </w:r>
          </w:p>
        </w:tc>
        <w:tc>
          <w:tcPr>
            <w:tcW w:w="992" w:type="dxa"/>
            <w:vAlign w:val="center"/>
          </w:tcPr>
          <w:p w14:paraId="45483BFD" w14:textId="77777777" w:rsidR="00271E37" w:rsidRPr="00E15093" w:rsidRDefault="00271E37">
            <w:r w:rsidRPr="009D526A">
              <w:rPr>
                <w:rFonts w:cs="Arial"/>
                <w:szCs w:val="16"/>
              </w:rPr>
              <w:t xml:space="preserve">646 </w:t>
            </w:r>
          </w:p>
        </w:tc>
      </w:tr>
      <w:tr w:rsidR="00271E37" w:rsidRPr="005D44F0" w14:paraId="0A1AF599" w14:textId="77777777">
        <w:tc>
          <w:tcPr>
            <w:tcW w:w="2975" w:type="dxa"/>
          </w:tcPr>
          <w:p w14:paraId="440B3ED6" w14:textId="77777777" w:rsidR="00271E37" w:rsidRPr="00B8452B" w:rsidRDefault="00271E37">
            <w:pPr>
              <w:jc w:val="left"/>
            </w:pPr>
            <w:r w:rsidRPr="00422755">
              <w:t>Cost of sales</w:t>
            </w:r>
          </w:p>
        </w:tc>
        <w:tc>
          <w:tcPr>
            <w:tcW w:w="992" w:type="dxa"/>
            <w:vAlign w:val="center"/>
          </w:tcPr>
          <w:p w14:paraId="7E766B95" w14:textId="77777777" w:rsidR="00271E37" w:rsidRPr="00B8452B" w:rsidRDefault="00271E37">
            <w:r>
              <w:rPr>
                <w:rFonts w:cs="Arial"/>
                <w:color w:val="000000"/>
                <w:szCs w:val="16"/>
              </w:rPr>
              <w:t xml:space="preserve">79,872 </w:t>
            </w:r>
          </w:p>
        </w:tc>
        <w:tc>
          <w:tcPr>
            <w:tcW w:w="992" w:type="dxa"/>
            <w:vAlign w:val="center"/>
          </w:tcPr>
          <w:p w14:paraId="200A3D26" w14:textId="77777777" w:rsidR="00271E37" w:rsidRPr="00B8452B" w:rsidRDefault="00271E37">
            <w:r>
              <w:rPr>
                <w:rFonts w:cs="Arial"/>
                <w:color w:val="000000"/>
                <w:szCs w:val="16"/>
              </w:rPr>
              <w:t xml:space="preserve">73,336 </w:t>
            </w:r>
          </w:p>
        </w:tc>
        <w:tc>
          <w:tcPr>
            <w:tcW w:w="992" w:type="dxa"/>
            <w:vAlign w:val="center"/>
          </w:tcPr>
          <w:p w14:paraId="43D8A4C2" w14:textId="77777777" w:rsidR="00271E37" w:rsidRPr="00B8452B" w:rsidRDefault="00271E37">
            <w:r>
              <w:rPr>
                <w:rFonts w:cs="Arial"/>
                <w:color w:val="000000"/>
                <w:szCs w:val="16"/>
              </w:rPr>
              <w:t xml:space="preserve">24,669 </w:t>
            </w:r>
          </w:p>
        </w:tc>
        <w:tc>
          <w:tcPr>
            <w:tcW w:w="992" w:type="dxa"/>
            <w:vAlign w:val="center"/>
          </w:tcPr>
          <w:p w14:paraId="69358B07" w14:textId="3CFF9FAC" w:rsidR="00271E37" w:rsidRPr="00B8452B" w:rsidRDefault="00271E37">
            <w:r w:rsidRPr="00E15093">
              <w:rPr>
                <w:rFonts w:cs="Arial"/>
                <w:szCs w:val="16"/>
              </w:rPr>
              <w:t>(9</w:t>
            </w:r>
            <w:r w:rsidR="00CE7D50">
              <w:rPr>
                <w:rFonts w:cs="Arial"/>
                <w:szCs w:val="16"/>
              </w:rPr>
              <w:t>52</w:t>
            </w:r>
            <w:r w:rsidRPr="00E15093">
              <w:rPr>
                <w:rFonts w:cs="Arial"/>
                <w:szCs w:val="16"/>
              </w:rPr>
              <w:t>)</w:t>
            </w:r>
          </w:p>
        </w:tc>
        <w:tc>
          <w:tcPr>
            <w:tcW w:w="992" w:type="dxa"/>
            <w:vAlign w:val="center"/>
          </w:tcPr>
          <w:p w14:paraId="4623829B" w14:textId="359D6FFD" w:rsidR="00271E37" w:rsidRPr="00B8452B" w:rsidRDefault="00271E37">
            <w:r w:rsidRPr="001D3100">
              <w:rPr>
                <w:rFonts w:cs="Arial"/>
                <w:szCs w:val="16"/>
              </w:rPr>
              <w:t>176,92</w:t>
            </w:r>
            <w:r w:rsidR="00443310">
              <w:rPr>
                <w:rFonts w:cs="Arial"/>
                <w:szCs w:val="16"/>
              </w:rPr>
              <w:t>5</w:t>
            </w:r>
            <w:r w:rsidRPr="009D526A">
              <w:rPr>
                <w:rFonts w:cs="Arial"/>
                <w:szCs w:val="16"/>
              </w:rPr>
              <w:t xml:space="preserve"> </w:t>
            </w:r>
          </w:p>
        </w:tc>
        <w:tc>
          <w:tcPr>
            <w:tcW w:w="992" w:type="dxa"/>
            <w:vAlign w:val="center"/>
          </w:tcPr>
          <w:p w14:paraId="5B563FD6" w14:textId="77777777" w:rsidR="00271E37" w:rsidRPr="00B8452B" w:rsidRDefault="00271E37">
            <w:r w:rsidRPr="00E15093">
              <w:rPr>
                <w:rFonts w:cs="Arial"/>
                <w:szCs w:val="16"/>
              </w:rPr>
              <w:t xml:space="preserve">312,100 </w:t>
            </w:r>
          </w:p>
        </w:tc>
        <w:tc>
          <w:tcPr>
            <w:tcW w:w="992" w:type="dxa"/>
            <w:vAlign w:val="center"/>
          </w:tcPr>
          <w:p w14:paraId="16DBD22E" w14:textId="73DE02F7" w:rsidR="00271E37" w:rsidRPr="00B8452B" w:rsidRDefault="00271E37">
            <w:r w:rsidRPr="00F026F9">
              <w:rPr>
                <w:rFonts w:cs="Arial"/>
                <w:szCs w:val="16"/>
              </w:rPr>
              <w:t>489,02</w:t>
            </w:r>
            <w:r w:rsidR="0090762A" w:rsidRPr="00F026F9">
              <w:rPr>
                <w:rFonts w:cs="Arial"/>
                <w:szCs w:val="16"/>
              </w:rPr>
              <w:t>5</w:t>
            </w:r>
            <w:r w:rsidRPr="009D526A">
              <w:rPr>
                <w:rFonts w:cs="Arial"/>
                <w:szCs w:val="16"/>
              </w:rPr>
              <w:t xml:space="preserve"> </w:t>
            </w:r>
          </w:p>
        </w:tc>
      </w:tr>
      <w:tr w:rsidR="00271E37" w:rsidRPr="005D44F0" w14:paraId="66FB253E" w14:textId="77777777">
        <w:tc>
          <w:tcPr>
            <w:tcW w:w="2975" w:type="dxa"/>
          </w:tcPr>
          <w:p w14:paraId="474C9B9D" w14:textId="1FD065EE" w:rsidR="00271E37" w:rsidRPr="005D44F0" w:rsidRDefault="00860FE9">
            <w:pPr>
              <w:jc w:val="left"/>
            </w:pPr>
            <w:r>
              <w:t>P</w:t>
            </w:r>
            <w:r w:rsidR="00271E37" w:rsidRPr="005D44F0">
              <w:t>rofit</w:t>
            </w:r>
            <w:r>
              <w:t>/(loss)</w:t>
            </w:r>
            <w:r w:rsidR="00271E37" w:rsidRPr="005D44F0">
              <w:t xml:space="preserve"> on disposal of property, plant and equipment</w:t>
            </w:r>
          </w:p>
        </w:tc>
        <w:tc>
          <w:tcPr>
            <w:tcW w:w="992" w:type="dxa"/>
            <w:vAlign w:val="center"/>
          </w:tcPr>
          <w:p w14:paraId="60FAB63E" w14:textId="77777777" w:rsidR="00271E37" w:rsidRPr="00DD777C" w:rsidRDefault="00271E37">
            <w:r>
              <w:rPr>
                <w:rFonts w:cs="Arial"/>
                <w:color w:val="000000"/>
                <w:szCs w:val="16"/>
              </w:rPr>
              <w:t xml:space="preserve">9 </w:t>
            </w:r>
          </w:p>
        </w:tc>
        <w:tc>
          <w:tcPr>
            <w:tcW w:w="992" w:type="dxa"/>
            <w:vAlign w:val="center"/>
          </w:tcPr>
          <w:p w14:paraId="0D2E4B0F" w14:textId="77777777" w:rsidR="00271E37" w:rsidRPr="00DD777C" w:rsidRDefault="00271E37">
            <w:r>
              <w:rPr>
                <w:rFonts w:cs="Arial"/>
                <w:color w:val="000000"/>
                <w:szCs w:val="16"/>
              </w:rPr>
              <w:t>(48)</w:t>
            </w:r>
          </w:p>
        </w:tc>
        <w:tc>
          <w:tcPr>
            <w:tcW w:w="992" w:type="dxa"/>
            <w:vAlign w:val="center"/>
          </w:tcPr>
          <w:p w14:paraId="44022C75" w14:textId="77777777" w:rsidR="00271E37" w:rsidRPr="00DD777C" w:rsidRDefault="00271E37">
            <w:r>
              <w:rPr>
                <w:rFonts w:cs="Arial"/>
                <w:color w:val="000000"/>
                <w:szCs w:val="16"/>
              </w:rPr>
              <w:t xml:space="preserve">18 </w:t>
            </w:r>
          </w:p>
        </w:tc>
        <w:tc>
          <w:tcPr>
            <w:tcW w:w="992" w:type="dxa"/>
            <w:vAlign w:val="center"/>
          </w:tcPr>
          <w:p w14:paraId="22704C36" w14:textId="77777777" w:rsidR="00271E37" w:rsidRPr="00E15093" w:rsidRDefault="00271E37">
            <w:r w:rsidRPr="00E15093">
              <w:rPr>
                <w:rFonts w:cs="Arial"/>
                <w:szCs w:val="16"/>
              </w:rPr>
              <w:t xml:space="preserve">50 </w:t>
            </w:r>
          </w:p>
        </w:tc>
        <w:tc>
          <w:tcPr>
            <w:tcW w:w="992" w:type="dxa"/>
            <w:vAlign w:val="center"/>
          </w:tcPr>
          <w:p w14:paraId="492886F0" w14:textId="77777777" w:rsidR="00271E37" w:rsidRPr="00E15093" w:rsidRDefault="00271E37">
            <w:r w:rsidRPr="009D526A">
              <w:rPr>
                <w:rFonts w:cs="Arial"/>
                <w:szCs w:val="16"/>
              </w:rPr>
              <w:t xml:space="preserve">29 </w:t>
            </w:r>
          </w:p>
        </w:tc>
        <w:tc>
          <w:tcPr>
            <w:tcW w:w="992" w:type="dxa"/>
            <w:vAlign w:val="center"/>
          </w:tcPr>
          <w:p w14:paraId="32CD7E6E" w14:textId="77777777" w:rsidR="00271E37" w:rsidRPr="00E15093" w:rsidRDefault="00271E37">
            <w:r w:rsidRPr="00E15093">
              <w:rPr>
                <w:rFonts w:cs="Arial"/>
                <w:szCs w:val="16"/>
              </w:rPr>
              <w:t xml:space="preserve">3,551 </w:t>
            </w:r>
          </w:p>
        </w:tc>
        <w:tc>
          <w:tcPr>
            <w:tcW w:w="992" w:type="dxa"/>
            <w:vAlign w:val="center"/>
          </w:tcPr>
          <w:p w14:paraId="10780241" w14:textId="77777777" w:rsidR="00271E37" w:rsidRPr="00E15093" w:rsidRDefault="00271E37">
            <w:r w:rsidRPr="009D526A">
              <w:rPr>
                <w:rFonts w:cs="Arial"/>
                <w:szCs w:val="16"/>
              </w:rPr>
              <w:t xml:space="preserve">3,580 </w:t>
            </w:r>
          </w:p>
        </w:tc>
      </w:tr>
    </w:tbl>
    <w:p w14:paraId="4BD0AD1D" w14:textId="77777777" w:rsidR="00271E37" w:rsidRDefault="00271E37" w:rsidP="00422755"/>
    <w:p w14:paraId="1F8E1977" w14:textId="77777777" w:rsidR="00271E37" w:rsidRDefault="00271E37" w:rsidP="002E39D4">
      <w:r>
        <w:t>The Group’s information about its segmental assets (non-current assets excluding deferred tax assets and other long-term assets) and revenue by customer destination are detailed below:</w:t>
      </w:r>
    </w:p>
    <w:tbl>
      <w:tblPr>
        <w:tblStyle w:val="tableDUL"/>
        <w:tblW w:w="9498" w:type="dxa"/>
        <w:tblLayout w:type="fixed"/>
        <w:tblLook w:val="04A0" w:firstRow="1" w:lastRow="0" w:firstColumn="1" w:lastColumn="0" w:noHBand="0" w:noVBand="1"/>
      </w:tblPr>
      <w:tblGrid>
        <w:gridCol w:w="7371"/>
        <w:gridCol w:w="1134"/>
        <w:gridCol w:w="993"/>
      </w:tblGrid>
      <w:tr w:rsidR="00271E37" w:rsidRPr="00F73C68" w14:paraId="39015A99" w14:textId="77777777">
        <w:tc>
          <w:tcPr>
            <w:tcW w:w="7371" w:type="dxa"/>
          </w:tcPr>
          <w:p w14:paraId="29739B3C" w14:textId="77777777" w:rsidR="00271E37" w:rsidRPr="00F73C68" w:rsidRDefault="00271E37" w:rsidP="00F73C68">
            <w:pPr>
              <w:jc w:val="left"/>
            </w:pPr>
          </w:p>
        </w:tc>
        <w:tc>
          <w:tcPr>
            <w:tcW w:w="2127" w:type="dxa"/>
            <w:gridSpan w:val="2"/>
            <w:tcBorders>
              <w:bottom w:val="single" w:sz="4" w:space="0" w:color="000000"/>
            </w:tcBorders>
          </w:tcPr>
          <w:p w14:paraId="53171EB1" w14:textId="77777777" w:rsidR="00271E37" w:rsidRPr="00F73C68" w:rsidRDefault="00271E37" w:rsidP="00F73C68">
            <w:pPr>
              <w:jc w:val="center"/>
            </w:pPr>
            <w:r w:rsidRPr="00F73C68">
              <w:t>Non-current assets</w:t>
            </w:r>
          </w:p>
        </w:tc>
      </w:tr>
      <w:tr w:rsidR="00271E37" w:rsidRPr="00F73C68" w14:paraId="759CB9D2" w14:textId="77777777">
        <w:tc>
          <w:tcPr>
            <w:tcW w:w="7371" w:type="dxa"/>
            <w:tcBorders>
              <w:bottom w:val="nil"/>
            </w:tcBorders>
          </w:tcPr>
          <w:p w14:paraId="03FD6173" w14:textId="77777777" w:rsidR="00271E37" w:rsidRPr="00F73C68" w:rsidRDefault="00271E37" w:rsidP="00F73C68"/>
        </w:tc>
        <w:tc>
          <w:tcPr>
            <w:tcW w:w="1134" w:type="dxa"/>
            <w:tcBorders>
              <w:top w:val="single" w:sz="4" w:space="0" w:color="000000"/>
              <w:bottom w:val="nil"/>
            </w:tcBorders>
          </w:tcPr>
          <w:p w14:paraId="2A901F4B" w14:textId="77777777" w:rsidR="00271E37" w:rsidRPr="00F73C68" w:rsidRDefault="00271E37" w:rsidP="00DD777C">
            <w:pPr>
              <w:rPr>
                <w:b/>
                <w:bCs/>
              </w:rPr>
            </w:pPr>
            <w:r>
              <w:rPr>
                <w:b/>
                <w:bCs/>
              </w:rPr>
              <w:t>2026</w:t>
            </w:r>
          </w:p>
        </w:tc>
        <w:tc>
          <w:tcPr>
            <w:tcW w:w="993" w:type="dxa"/>
            <w:tcBorders>
              <w:top w:val="single" w:sz="4" w:space="0" w:color="000000"/>
              <w:bottom w:val="nil"/>
            </w:tcBorders>
          </w:tcPr>
          <w:p w14:paraId="760D41A8" w14:textId="77777777" w:rsidR="00271E37" w:rsidRDefault="00271E37" w:rsidP="00DD777C">
            <w:r>
              <w:t>2025</w:t>
            </w:r>
          </w:p>
        </w:tc>
      </w:tr>
      <w:tr w:rsidR="00271E37" w:rsidRPr="00F73C68" w14:paraId="02E1B9C4" w14:textId="77777777">
        <w:tc>
          <w:tcPr>
            <w:tcW w:w="7371" w:type="dxa"/>
            <w:tcBorders>
              <w:bottom w:val="single" w:sz="4" w:space="0" w:color="000000"/>
            </w:tcBorders>
          </w:tcPr>
          <w:p w14:paraId="1891ADCB" w14:textId="77777777" w:rsidR="00271E37" w:rsidRPr="00F73C68" w:rsidRDefault="00271E37" w:rsidP="00F73C68"/>
        </w:tc>
        <w:tc>
          <w:tcPr>
            <w:tcW w:w="1134" w:type="dxa"/>
            <w:tcBorders>
              <w:top w:val="nil"/>
              <w:bottom w:val="single" w:sz="4" w:space="0" w:color="000000"/>
            </w:tcBorders>
          </w:tcPr>
          <w:p w14:paraId="27C50C01" w14:textId="77777777" w:rsidR="00271E37" w:rsidRPr="00F73C68" w:rsidRDefault="00271E37" w:rsidP="00DD777C">
            <w:pPr>
              <w:rPr>
                <w:b/>
                <w:bCs/>
              </w:rPr>
            </w:pPr>
            <w:r>
              <w:rPr>
                <w:b/>
                <w:bCs/>
              </w:rPr>
              <w:t>£000</w:t>
            </w:r>
          </w:p>
        </w:tc>
        <w:tc>
          <w:tcPr>
            <w:tcW w:w="993" w:type="dxa"/>
            <w:tcBorders>
              <w:top w:val="nil"/>
              <w:bottom w:val="single" w:sz="4" w:space="0" w:color="000000"/>
            </w:tcBorders>
          </w:tcPr>
          <w:p w14:paraId="4D6A523D" w14:textId="77777777" w:rsidR="00271E37" w:rsidRDefault="00271E37" w:rsidP="00DD777C">
            <w:r>
              <w:t>£000</w:t>
            </w:r>
          </w:p>
        </w:tc>
      </w:tr>
      <w:tr w:rsidR="00271E37" w:rsidRPr="00F73C68" w14:paraId="6A3336E2" w14:textId="77777777">
        <w:tc>
          <w:tcPr>
            <w:tcW w:w="7371" w:type="dxa"/>
            <w:tcBorders>
              <w:top w:val="single" w:sz="4" w:space="0" w:color="000000"/>
            </w:tcBorders>
          </w:tcPr>
          <w:p w14:paraId="28A0523F" w14:textId="77777777" w:rsidR="00271E37" w:rsidRPr="00F73C68" w:rsidRDefault="00271E37">
            <w:pPr>
              <w:jc w:val="left"/>
            </w:pPr>
            <w:r>
              <w:t>USA</w:t>
            </w:r>
            <w:r w:rsidRPr="00F73C68">
              <w:rPr>
                <w:vertAlign w:val="superscript"/>
              </w:rPr>
              <w:t>(a)</w:t>
            </w:r>
          </w:p>
        </w:tc>
        <w:tc>
          <w:tcPr>
            <w:tcW w:w="1134" w:type="dxa"/>
            <w:tcBorders>
              <w:top w:val="single" w:sz="4" w:space="0" w:color="000000"/>
            </w:tcBorders>
            <w:vAlign w:val="center"/>
          </w:tcPr>
          <w:p w14:paraId="297FFDA7" w14:textId="77777777" w:rsidR="00271E37" w:rsidRPr="005D44F0" w:rsidRDefault="00271E37">
            <w:pPr>
              <w:rPr>
                <w:b/>
                <w:bCs/>
              </w:rPr>
            </w:pPr>
            <w:r>
              <w:rPr>
                <w:rFonts w:cs="Arial"/>
                <w:b/>
                <w:bCs/>
                <w:color w:val="000000"/>
                <w:szCs w:val="16"/>
              </w:rPr>
              <w:t xml:space="preserve"> - </w:t>
            </w:r>
          </w:p>
        </w:tc>
        <w:tc>
          <w:tcPr>
            <w:tcW w:w="993" w:type="dxa"/>
            <w:tcBorders>
              <w:top w:val="single" w:sz="4" w:space="0" w:color="000000"/>
            </w:tcBorders>
            <w:vAlign w:val="center"/>
          </w:tcPr>
          <w:p w14:paraId="2E32B414" w14:textId="77777777" w:rsidR="00271E37" w:rsidRPr="005D44F0" w:rsidRDefault="00271E37">
            <w:r>
              <w:rPr>
                <w:rFonts w:cs="Arial"/>
                <w:color w:val="000000"/>
                <w:szCs w:val="16"/>
              </w:rPr>
              <w:t xml:space="preserve">51,070 </w:t>
            </w:r>
          </w:p>
        </w:tc>
      </w:tr>
      <w:tr w:rsidR="00271E37" w:rsidRPr="00F73C68" w14:paraId="04793B1E" w14:textId="77777777">
        <w:tc>
          <w:tcPr>
            <w:tcW w:w="7371" w:type="dxa"/>
          </w:tcPr>
          <w:p w14:paraId="49CD7137" w14:textId="77777777" w:rsidR="00271E37" w:rsidRPr="00F73C68" w:rsidRDefault="00271E37">
            <w:pPr>
              <w:jc w:val="left"/>
            </w:pPr>
            <w:r w:rsidRPr="00F73C68">
              <w:t>UK</w:t>
            </w:r>
          </w:p>
        </w:tc>
        <w:tc>
          <w:tcPr>
            <w:tcW w:w="1134" w:type="dxa"/>
            <w:vAlign w:val="center"/>
          </w:tcPr>
          <w:p w14:paraId="697D2125" w14:textId="77777777" w:rsidR="00271E37" w:rsidRPr="005D44F0" w:rsidRDefault="00271E37">
            <w:pPr>
              <w:rPr>
                <w:b/>
                <w:bCs/>
              </w:rPr>
            </w:pPr>
            <w:r>
              <w:rPr>
                <w:rFonts w:cs="Arial"/>
                <w:b/>
                <w:bCs/>
                <w:color w:val="000000"/>
                <w:szCs w:val="16"/>
              </w:rPr>
              <w:t xml:space="preserve">21,943 </w:t>
            </w:r>
          </w:p>
        </w:tc>
        <w:tc>
          <w:tcPr>
            <w:tcW w:w="993" w:type="dxa"/>
            <w:vAlign w:val="center"/>
          </w:tcPr>
          <w:p w14:paraId="006D844D" w14:textId="77777777" w:rsidR="00271E37" w:rsidRPr="005D44F0" w:rsidRDefault="00271E37">
            <w:r>
              <w:rPr>
                <w:rFonts w:cs="Arial"/>
                <w:color w:val="000000"/>
                <w:szCs w:val="16"/>
              </w:rPr>
              <w:t xml:space="preserve">21,557 </w:t>
            </w:r>
          </w:p>
        </w:tc>
      </w:tr>
      <w:tr w:rsidR="00271E37" w:rsidRPr="00F73C68" w14:paraId="296C76BF" w14:textId="77777777">
        <w:tc>
          <w:tcPr>
            <w:tcW w:w="7371" w:type="dxa"/>
            <w:tcBorders>
              <w:bottom w:val="nil"/>
            </w:tcBorders>
          </w:tcPr>
          <w:p w14:paraId="39DDA9C5" w14:textId="77777777" w:rsidR="00271E37" w:rsidRPr="00F73C68" w:rsidRDefault="00271E37">
            <w:pPr>
              <w:jc w:val="left"/>
            </w:pPr>
            <w:r w:rsidRPr="00F73C68">
              <w:t>Netherlands</w:t>
            </w:r>
          </w:p>
        </w:tc>
        <w:tc>
          <w:tcPr>
            <w:tcW w:w="1134" w:type="dxa"/>
            <w:tcBorders>
              <w:bottom w:val="nil"/>
            </w:tcBorders>
            <w:vAlign w:val="center"/>
          </w:tcPr>
          <w:p w14:paraId="07C6AE90" w14:textId="77777777" w:rsidR="00271E37" w:rsidRPr="005D44F0" w:rsidRDefault="00271E37">
            <w:pPr>
              <w:rPr>
                <w:b/>
                <w:bCs/>
              </w:rPr>
            </w:pPr>
            <w:r>
              <w:rPr>
                <w:rFonts w:cs="Arial"/>
                <w:b/>
                <w:bCs/>
                <w:color w:val="000000"/>
                <w:szCs w:val="16"/>
              </w:rPr>
              <w:t xml:space="preserve">19,541 </w:t>
            </w:r>
          </w:p>
        </w:tc>
        <w:tc>
          <w:tcPr>
            <w:tcW w:w="993" w:type="dxa"/>
            <w:tcBorders>
              <w:bottom w:val="nil"/>
            </w:tcBorders>
            <w:vAlign w:val="center"/>
          </w:tcPr>
          <w:p w14:paraId="6C23832E" w14:textId="77777777" w:rsidR="00271E37" w:rsidRPr="005D44F0" w:rsidRDefault="00271E37">
            <w:r>
              <w:rPr>
                <w:rFonts w:cs="Arial"/>
                <w:color w:val="000000"/>
                <w:szCs w:val="16"/>
              </w:rPr>
              <w:t xml:space="preserve">19,733 </w:t>
            </w:r>
          </w:p>
        </w:tc>
      </w:tr>
      <w:tr w:rsidR="00271E37" w:rsidRPr="00F73C68" w14:paraId="373F32AF" w14:textId="77777777">
        <w:tc>
          <w:tcPr>
            <w:tcW w:w="7371" w:type="dxa"/>
            <w:tcBorders>
              <w:bottom w:val="nil"/>
            </w:tcBorders>
          </w:tcPr>
          <w:p w14:paraId="41143AC1" w14:textId="77777777" w:rsidR="00271E37" w:rsidRPr="00F73C68" w:rsidRDefault="00271E37">
            <w:pPr>
              <w:jc w:val="left"/>
            </w:pPr>
            <w:r>
              <w:t>Australia</w:t>
            </w:r>
          </w:p>
        </w:tc>
        <w:tc>
          <w:tcPr>
            <w:tcW w:w="1134" w:type="dxa"/>
            <w:tcBorders>
              <w:bottom w:val="nil"/>
            </w:tcBorders>
            <w:vAlign w:val="center"/>
          </w:tcPr>
          <w:p w14:paraId="401ECEE3" w14:textId="77777777" w:rsidR="00271E37" w:rsidRDefault="00271E37">
            <w:pPr>
              <w:rPr>
                <w:rFonts w:cs="Arial"/>
                <w:b/>
                <w:bCs/>
                <w:color w:val="000000"/>
                <w:szCs w:val="16"/>
              </w:rPr>
            </w:pPr>
            <w:r>
              <w:rPr>
                <w:rFonts w:cs="Arial"/>
                <w:b/>
                <w:bCs/>
                <w:color w:val="000000"/>
                <w:szCs w:val="16"/>
              </w:rPr>
              <w:t>16,750</w:t>
            </w:r>
          </w:p>
        </w:tc>
        <w:tc>
          <w:tcPr>
            <w:tcW w:w="993" w:type="dxa"/>
            <w:tcBorders>
              <w:bottom w:val="nil"/>
            </w:tcBorders>
            <w:vAlign w:val="center"/>
          </w:tcPr>
          <w:p w14:paraId="78F3ACF5" w14:textId="77777777" w:rsidR="00271E37" w:rsidRDefault="00271E37">
            <w:pPr>
              <w:rPr>
                <w:rFonts w:cs="Arial"/>
                <w:color w:val="000000"/>
                <w:szCs w:val="16"/>
              </w:rPr>
            </w:pPr>
            <w:r>
              <w:rPr>
                <w:rFonts w:cs="Arial"/>
                <w:color w:val="000000"/>
                <w:szCs w:val="16"/>
              </w:rPr>
              <w:t>16,610</w:t>
            </w:r>
          </w:p>
        </w:tc>
      </w:tr>
      <w:tr w:rsidR="00271E37" w:rsidRPr="00F73C68" w14:paraId="73418C62" w14:textId="77777777">
        <w:tc>
          <w:tcPr>
            <w:tcW w:w="7371" w:type="dxa"/>
            <w:tcBorders>
              <w:top w:val="nil"/>
              <w:bottom w:val="single" w:sz="4" w:space="0" w:color="000000"/>
            </w:tcBorders>
          </w:tcPr>
          <w:p w14:paraId="0E882AD6" w14:textId="77777777" w:rsidR="00271E37" w:rsidRPr="00F73C68" w:rsidRDefault="00271E37">
            <w:pPr>
              <w:jc w:val="left"/>
            </w:pPr>
            <w:r w:rsidRPr="00F73C68">
              <w:t>Other</w:t>
            </w:r>
          </w:p>
        </w:tc>
        <w:tc>
          <w:tcPr>
            <w:tcW w:w="1134" w:type="dxa"/>
            <w:tcBorders>
              <w:top w:val="nil"/>
              <w:bottom w:val="single" w:sz="4" w:space="0" w:color="000000"/>
            </w:tcBorders>
            <w:vAlign w:val="center"/>
          </w:tcPr>
          <w:p w14:paraId="18DFFD41" w14:textId="2724B791" w:rsidR="00271E37" w:rsidRPr="005D44F0" w:rsidRDefault="00FB03AF">
            <w:pPr>
              <w:rPr>
                <w:b/>
                <w:bCs/>
              </w:rPr>
            </w:pPr>
            <w:r>
              <w:rPr>
                <w:rFonts w:cs="Arial"/>
                <w:b/>
                <w:bCs/>
                <w:color w:val="000000"/>
                <w:szCs w:val="16"/>
              </w:rPr>
              <w:t>419</w:t>
            </w:r>
            <w:r w:rsidR="00271E37">
              <w:rPr>
                <w:rFonts w:cs="Arial"/>
                <w:b/>
                <w:bCs/>
                <w:color w:val="000000"/>
                <w:szCs w:val="16"/>
              </w:rPr>
              <w:t xml:space="preserve"> </w:t>
            </w:r>
          </w:p>
        </w:tc>
        <w:tc>
          <w:tcPr>
            <w:tcW w:w="993" w:type="dxa"/>
            <w:tcBorders>
              <w:top w:val="nil"/>
              <w:bottom w:val="single" w:sz="4" w:space="0" w:color="000000"/>
            </w:tcBorders>
            <w:vAlign w:val="center"/>
          </w:tcPr>
          <w:p w14:paraId="64037237" w14:textId="46A2F6A3" w:rsidR="00271E37" w:rsidRPr="005D44F0" w:rsidRDefault="00DD3C90">
            <w:r>
              <w:rPr>
                <w:rFonts w:cs="Arial"/>
                <w:color w:val="000000"/>
                <w:szCs w:val="16"/>
              </w:rPr>
              <w:t>364</w:t>
            </w:r>
            <w:r w:rsidR="00271E37">
              <w:rPr>
                <w:rFonts w:cs="Arial"/>
                <w:color w:val="000000"/>
                <w:szCs w:val="16"/>
              </w:rPr>
              <w:t xml:space="preserve"> </w:t>
            </w:r>
          </w:p>
        </w:tc>
      </w:tr>
      <w:tr w:rsidR="00271E37" w:rsidRPr="003F6181" w14:paraId="7C27D20F" w14:textId="77777777">
        <w:tc>
          <w:tcPr>
            <w:tcW w:w="7371" w:type="dxa"/>
            <w:tcBorders>
              <w:top w:val="single" w:sz="4" w:space="0" w:color="000000"/>
            </w:tcBorders>
          </w:tcPr>
          <w:p w14:paraId="34B374BA" w14:textId="77777777" w:rsidR="00271E37" w:rsidRDefault="00271E37">
            <w:pPr>
              <w:jc w:val="left"/>
            </w:pPr>
          </w:p>
        </w:tc>
        <w:tc>
          <w:tcPr>
            <w:tcW w:w="1134" w:type="dxa"/>
            <w:tcBorders>
              <w:top w:val="single" w:sz="4" w:space="0" w:color="000000"/>
            </w:tcBorders>
            <w:vAlign w:val="center"/>
          </w:tcPr>
          <w:p w14:paraId="6391D76A" w14:textId="77777777" w:rsidR="00271E37" w:rsidRPr="005D44F0" w:rsidRDefault="00271E37">
            <w:pPr>
              <w:rPr>
                <w:b/>
                <w:bCs/>
              </w:rPr>
            </w:pPr>
            <w:r>
              <w:rPr>
                <w:rFonts w:cs="Arial"/>
                <w:b/>
                <w:bCs/>
                <w:color w:val="000000"/>
                <w:szCs w:val="16"/>
              </w:rPr>
              <w:t xml:space="preserve">58,653 </w:t>
            </w:r>
          </w:p>
        </w:tc>
        <w:tc>
          <w:tcPr>
            <w:tcW w:w="993" w:type="dxa"/>
            <w:tcBorders>
              <w:top w:val="single" w:sz="4" w:space="0" w:color="000000"/>
            </w:tcBorders>
            <w:vAlign w:val="center"/>
          </w:tcPr>
          <w:p w14:paraId="6D01E129" w14:textId="77777777" w:rsidR="00271E37" w:rsidRPr="003F6181" w:rsidRDefault="00271E37">
            <w:r w:rsidRPr="003F6181">
              <w:rPr>
                <w:rFonts w:cs="Arial"/>
                <w:color w:val="000000"/>
                <w:szCs w:val="16"/>
              </w:rPr>
              <w:t>109,33</w:t>
            </w:r>
            <w:r>
              <w:rPr>
                <w:rFonts w:cs="Arial"/>
                <w:color w:val="000000"/>
                <w:szCs w:val="16"/>
              </w:rPr>
              <w:t>4</w:t>
            </w:r>
            <w:r w:rsidRPr="003F6181">
              <w:rPr>
                <w:rFonts w:cs="Arial"/>
                <w:color w:val="000000"/>
                <w:szCs w:val="16"/>
              </w:rPr>
              <w:t xml:space="preserve"> </w:t>
            </w:r>
          </w:p>
        </w:tc>
      </w:tr>
    </w:tbl>
    <w:p w14:paraId="1EB28682" w14:textId="77777777" w:rsidR="00271E37" w:rsidRPr="00DD777C" w:rsidRDefault="00271E37" w:rsidP="005B0EAC">
      <w:pPr>
        <w:pStyle w:val="ListParagraph"/>
        <w:numPr>
          <w:ilvl w:val="0"/>
          <w:numId w:val="9"/>
        </w:numPr>
        <w:rPr>
          <w:sz w:val="14"/>
          <w:szCs w:val="14"/>
        </w:rPr>
      </w:pPr>
      <w:r>
        <w:rPr>
          <w:sz w:val="14"/>
          <w:szCs w:val="14"/>
        </w:rPr>
        <w:t>O</w:t>
      </w:r>
      <w:r w:rsidRPr="00DD777C">
        <w:rPr>
          <w:sz w:val="14"/>
          <w:szCs w:val="14"/>
        </w:rPr>
        <w:t xml:space="preserve">verseas entities </w:t>
      </w:r>
      <w:r>
        <w:rPr>
          <w:sz w:val="14"/>
          <w:szCs w:val="14"/>
        </w:rPr>
        <w:t>were included within the</w:t>
      </w:r>
      <w:r w:rsidRPr="00DD777C">
        <w:rPr>
          <w:sz w:val="14"/>
          <w:szCs w:val="14"/>
        </w:rPr>
        <w:t xml:space="preserve"> DG Americas operating segment. The overseas entities element </w:t>
      </w:r>
      <w:r>
        <w:rPr>
          <w:sz w:val="14"/>
          <w:szCs w:val="14"/>
        </w:rPr>
        <w:t xml:space="preserve">was </w:t>
      </w:r>
      <w:r w:rsidRPr="00DD777C">
        <w:rPr>
          <w:sz w:val="14"/>
          <w:szCs w:val="14"/>
        </w:rPr>
        <w:t xml:space="preserve">not material, and </w:t>
      </w:r>
      <w:r>
        <w:rPr>
          <w:sz w:val="14"/>
          <w:szCs w:val="14"/>
        </w:rPr>
        <w:t>the</w:t>
      </w:r>
      <w:r w:rsidRPr="00DD777C">
        <w:rPr>
          <w:sz w:val="14"/>
          <w:szCs w:val="14"/>
        </w:rPr>
        <w:t xml:space="preserve"> information </w:t>
      </w:r>
      <w:r>
        <w:rPr>
          <w:sz w:val="14"/>
          <w:szCs w:val="14"/>
        </w:rPr>
        <w:t>was</w:t>
      </w:r>
      <w:r w:rsidRPr="00DD777C">
        <w:rPr>
          <w:sz w:val="14"/>
          <w:szCs w:val="14"/>
        </w:rPr>
        <w:t xml:space="preserve"> not readily available. </w:t>
      </w:r>
    </w:p>
    <w:p w14:paraId="41DEE2D9" w14:textId="77777777" w:rsidR="00271E37" w:rsidRDefault="00271E37" w:rsidP="002E39D4"/>
    <w:p w14:paraId="1EB16C76" w14:textId="77777777" w:rsidR="00271E37" w:rsidRPr="00452155" w:rsidRDefault="00271E37" w:rsidP="002E39D4">
      <w:pPr>
        <w:rPr>
          <w:b/>
          <w:bCs/>
          <w:i/>
          <w:iCs/>
        </w:rPr>
      </w:pPr>
      <w:r w:rsidRPr="00452155">
        <w:rPr>
          <w:b/>
          <w:bCs/>
          <w:i/>
          <w:iCs/>
        </w:rPr>
        <w:t xml:space="preserve">Revenue by customer destination </w:t>
      </w:r>
    </w:p>
    <w:tbl>
      <w:tblPr>
        <w:tblStyle w:val="tableDUL"/>
        <w:tblW w:w="9498" w:type="dxa"/>
        <w:tblLayout w:type="fixed"/>
        <w:tblLook w:val="04A0" w:firstRow="1" w:lastRow="0" w:firstColumn="1" w:lastColumn="0" w:noHBand="0" w:noVBand="1"/>
      </w:tblPr>
      <w:tblGrid>
        <w:gridCol w:w="5103"/>
        <w:gridCol w:w="1134"/>
        <w:gridCol w:w="1134"/>
        <w:gridCol w:w="1134"/>
        <w:gridCol w:w="993"/>
      </w:tblGrid>
      <w:tr w:rsidR="00271E37" w:rsidRPr="00F73C68" w14:paraId="40594EDF" w14:textId="77777777">
        <w:tc>
          <w:tcPr>
            <w:tcW w:w="5103" w:type="dxa"/>
          </w:tcPr>
          <w:p w14:paraId="179AA53D" w14:textId="77777777" w:rsidR="00271E37" w:rsidRPr="00F73C68" w:rsidRDefault="00271E37" w:rsidP="00F73C68">
            <w:pPr>
              <w:jc w:val="left"/>
            </w:pPr>
          </w:p>
        </w:tc>
        <w:tc>
          <w:tcPr>
            <w:tcW w:w="1134" w:type="dxa"/>
          </w:tcPr>
          <w:p w14:paraId="22C1DBBF" w14:textId="77777777" w:rsidR="00271E37" w:rsidRPr="00F73C68" w:rsidRDefault="00271E37" w:rsidP="000923EA">
            <w:pPr>
              <w:rPr>
                <w:b/>
                <w:bCs/>
              </w:rPr>
            </w:pPr>
            <w:r w:rsidRPr="00F73C68">
              <w:rPr>
                <w:b/>
                <w:bCs/>
              </w:rPr>
              <w:t>202</w:t>
            </w:r>
            <w:r>
              <w:rPr>
                <w:b/>
                <w:bCs/>
              </w:rPr>
              <w:t>6</w:t>
            </w:r>
          </w:p>
        </w:tc>
        <w:tc>
          <w:tcPr>
            <w:tcW w:w="1134" w:type="dxa"/>
          </w:tcPr>
          <w:p w14:paraId="0217E5EA" w14:textId="77777777" w:rsidR="00271E37" w:rsidRPr="00F73C68" w:rsidRDefault="00271E37" w:rsidP="000923EA">
            <w:r w:rsidRPr="00F73C68">
              <w:t>202</w:t>
            </w:r>
            <w:r>
              <w:t>5</w:t>
            </w:r>
          </w:p>
        </w:tc>
        <w:tc>
          <w:tcPr>
            <w:tcW w:w="1134" w:type="dxa"/>
          </w:tcPr>
          <w:p w14:paraId="69DBE5F9" w14:textId="77777777" w:rsidR="00271E37" w:rsidRPr="00F73C68" w:rsidRDefault="00271E37" w:rsidP="000923EA">
            <w:pPr>
              <w:rPr>
                <w:b/>
                <w:bCs/>
              </w:rPr>
            </w:pPr>
            <w:r w:rsidRPr="00F73C68">
              <w:rPr>
                <w:b/>
                <w:bCs/>
              </w:rPr>
              <w:t>202</w:t>
            </w:r>
            <w:r>
              <w:rPr>
                <w:b/>
                <w:bCs/>
              </w:rPr>
              <w:t>6</w:t>
            </w:r>
          </w:p>
        </w:tc>
        <w:tc>
          <w:tcPr>
            <w:tcW w:w="993" w:type="dxa"/>
          </w:tcPr>
          <w:p w14:paraId="3412627E" w14:textId="77777777" w:rsidR="00271E37" w:rsidRPr="00F73C68" w:rsidRDefault="00271E37" w:rsidP="000923EA">
            <w:r w:rsidRPr="00F73C68">
              <w:t>202</w:t>
            </w:r>
            <w:r>
              <w:t>5</w:t>
            </w:r>
          </w:p>
        </w:tc>
      </w:tr>
      <w:tr w:rsidR="00271E37" w:rsidRPr="00F73C68" w14:paraId="37EE3A76" w14:textId="77777777">
        <w:tc>
          <w:tcPr>
            <w:tcW w:w="5103" w:type="dxa"/>
            <w:tcBorders>
              <w:bottom w:val="single" w:sz="4" w:space="0" w:color="000000"/>
            </w:tcBorders>
          </w:tcPr>
          <w:p w14:paraId="3D338559" w14:textId="77777777" w:rsidR="00271E37" w:rsidRPr="00F73C68" w:rsidRDefault="00271E37" w:rsidP="00F73C68">
            <w:pPr>
              <w:jc w:val="left"/>
            </w:pPr>
          </w:p>
        </w:tc>
        <w:tc>
          <w:tcPr>
            <w:tcW w:w="1134" w:type="dxa"/>
            <w:tcBorders>
              <w:bottom w:val="single" w:sz="4" w:space="0" w:color="000000"/>
            </w:tcBorders>
          </w:tcPr>
          <w:p w14:paraId="7C8F73FB" w14:textId="77777777" w:rsidR="00271E37" w:rsidRPr="00F73C68" w:rsidRDefault="00271E37" w:rsidP="00F73C68">
            <w:pPr>
              <w:rPr>
                <w:b/>
                <w:bCs/>
              </w:rPr>
            </w:pPr>
            <w:r>
              <w:rPr>
                <w:b/>
                <w:bCs/>
              </w:rPr>
              <w:t>£</w:t>
            </w:r>
            <w:r w:rsidRPr="00F73C68">
              <w:rPr>
                <w:b/>
                <w:bCs/>
              </w:rPr>
              <w:t>000</w:t>
            </w:r>
          </w:p>
        </w:tc>
        <w:tc>
          <w:tcPr>
            <w:tcW w:w="1134" w:type="dxa"/>
            <w:tcBorders>
              <w:bottom w:val="single" w:sz="4" w:space="0" w:color="000000"/>
            </w:tcBorders>
          </w:tcPr>
          <w:p w14:paraId="26615D6B" w14:textId="77777777" w:rsidR="00271E37" w:rsidRPr="00F73C68" w:rsidRDefault="00271E37" w:rsidP="00F73C68">
            <w:r>
              <w:t>£</w:t>
            </w:r>
            <w:r w:rsidRPr="00F73C68">
              <w:t>000</w:t>
            </w:r>
          </w:p>
        </w:tc>
        <w:tc>
          <w:tcPr>
            <w:tcW w:w="1134" w:type="dxa"/>
            <w:tcBorders>
              <w:bottom w:val="single" w:sz="4" w:space="0" w:color="000000"/>
            </w:tcBorders>
          </w:tcPr>
          <w:p w14:paraId="0049A7D1" w14:textId="77777777" w:rsidR="00271E37" w:rsidRPr="00F73C68" w:rsidRDefault="00271E37" w:rsidP="00F73C68">
            <w:pPr>
              <w:rPr>
                <w:b/>
                <w:bCs/>
              </w:rPr>
            </w:pPr>
            <w:r w:rsidRPr="00F73C68">
              <w:rPr>
                <w:b/>
                <w:bCs/>
              </w:rPr>
              <w:t>%</w:t>
            </w:r>
          </w:p>
        </w:tc>
        <w:tc>
          <w:tcPr>
            <w:tcW w:w="993" w:type="dxa"/>
            <w:tcBorders>
              <w:bottom w:val="single" w:sz="4" w:space="0" w:color="000000"/>
            </w:tcBorders>
          </w:tcPr>
          <w:p w14:paraId="24B7BD84" w14:textId="77777777" w:rsidR="00271E37" w:rsidRPr="00F73C68" w:rsidRDefault="00271E37" w:rsidP="00F73C68">
            <w:r w:rsidRPr="00F73C68">
              <w:t>%</w:t>
            </w:r>
          </w:p>
        </w:tc>
      </w:tr>
      <w:tr w:rsidR="00271E37" w:rsidRPr="00F73C68" w14:paraId="5B5AD26F" w14:textId="77777777">
        <w:tc>
          <w:tcPr>
            <w:tcW w:w="5103" w:type="dxa"/>
            <w:tcBorders>
              <w:top w:val="single" w:sz="4" w:space="0" w:color="000000"/>
            </w:tcBorders>
          </w:tcPr>
          <w:p w14:paraId="494589FF" w14:textId="77777777" w:rsidR="00271E37" w:rsidRPr="00F73C68" w:rsidRDefault="00271E37">
            <w:pPr>
              <w:jc w:val="left"/>
            </w:pPr>
            <w:r>
              <w:t>Europe</w:t>
            </w:r>
          </w:p>
        </w:tc>
        <w:tc>
          <w:tcPr>
            <w:tcW w:w="1134" w:type="dxa"/>
            <w:tcBorders>
              <w:top w:val="single" w:sz="4" w:space="0" w:color="000000"/>
            </w:tcBorders>
            <w:vAlign w:val="bottom"/>
          </w:tcPr>
          <w:p w14:paraId="0BCBE045" w14:textId="77777777" w:rsidR="00271E37" w:rsidRPr="005D44F0" w:rsidRDefault="00271E37">
            <w:pPr>
              <w:rPr>
                <w:b/>
                <w:bCs/>
              </w:rPr>
            </w:pPr>
            <w:r>
              <w:rPr>
                <w:rFonts w:cs="Arial"/>
                <w:b/>
                <w:bCs/>
                <w:color w:val="000000"/>
                <w:szCs w:val="16"/>
              </w:rPr>
              <w:t xml:space="preserve">103,233 </w:t>
            </w:r>
          </w:p>
        </w:tc>
        <w:tc>
          <w:tcPr>
            <w:tcW w:w="1134" w:type="dxa"/>
            <w:tcBorders>
              <w:top w:val="single" w:sz="4" w:space="0" w:color="000000"/>
            </w:tcBorders>
            <w:vAlign w:val="bottom"/>
          </w:tcPr>
          <w:p w14:paraId="2767685F" w14:textId="77777777" w:rsidR="00271E37" w:rsidRPr="00E91642" w:rsidRDefault="00271E37">
            <w:r w:rsidRPr="009D526A">
              <w:rPr>
                <w:rFonts w:cs="Arial"/>
                <w:color w:val="000000"/>
                <w:szCs w:val="16"/>
              </w:rPr>
              <w:t xml:space="preserve">100,967 </w:t>
            </w:r>
          </w:p>
        </w:tc>
        <w:tc>
          <w:tcPr>
            <w:tcW w:w="1134" w:type="dxa"/>
            <w:tcBorders>
              <w:top w:val="single" w:sz="4" w:space="0" w:color="000000"/>
            </w:tcBorders>
            <w:vAlign w:val="bottom"/>
          </w:tcPr>
          <w:p w14:paraId="451BCBEB" w14:textId="247B67A8" w:rsidR="00271E37" w:rsidRPr="005451C0" w:rsidRDefault="00271E37">
            <w:pPr>
              <w:rPr>
                <w:b/>
                <w:bCs/>
              </w:rPr>
            </w:pPr>
            <w:r w:rsidRPr="005451C0">
              <w:rPr>
                <w:rFonts w:cs="Arial"/>
                <w:b/>
                <w:bCs/>
                <w:color w:val="000000"/>
                <w:szCs w:val="16"/>
              </w:rPr>
              <w:t>47%</w:t>
            </w:r>
          </w:p>
        </w:tc>
        <w:tc>
          <w:tcPr>
            <w:tcW w:w="993" w:type="dxa"/>
            <w:tcBorders>
              <w:top w:val="single" w:sz="4" w:space="0" w:color="000000"/>
            </w:tcBorders>
            <w:vAlign w:val="bottom"/>
          </w:tcPr>
          <w:p w14:paraId="566AD42E" w14:textId="77777777" w:rsidR="00271E37" w:rsidRPr="00470B26" w:rsidRDefault="00271E37">
            <w:r w:rsidRPr="00470B26">
              <w:rPr>
                <w:rFonts w:cs="Arial"/>
                <w:szCs w:val="16"/>
              </w:rPr>
              <w:t>45%</w:t>
            </w:r>
          </w:p>
        </w:tc>
      </w:tr>
      <w:tr w:rsidR="00271E37" w:rsidRPr="00F73C68" w14:paraId="3232B8C3" w14:textId="77777777">
        <w:tc>
          <w:tcPr>
            <w:tcW w:w="5103" w:type="dxa"/>
            <w:tcBorders>
              <w:bottom w:val="nil"/>
            </w:tcBorders>
          </w:tcPr>
          <w:p w14:paraId="4647D17A" w14:textId="77777777" w:rsidR="00271E37" w:rsidRPr="00F73C68" w:rsidRDefault="00271E37">
            <w:pPr>
              <w:jc w:val="left"/>
            </w:pPr>
            <w:r w:rsidRPr="00F73C68">
              <w:t>UK</w:t>
            </w:r>
          </w:p>
        </w:tc>
        <w:tc>
          <w:tcPr>
            <w:tcW w:w="1134" w:type="dxa"/>
            <w:tcBorders>
              <w:bottom w:val="nil"/>
            </w:tcBorders>
            <w:vAlign w:val="bottom"/>
          </w:tcPr>
          <w:p w14:paraId="4C3C1767" w14:textId="77777777" w:rsidR="00271E37" w:rsidRPr="005D44F0" w:rsidRDefault="00271E37">
            <w:pPr>
              <w:rPr>
                <w:b/>
                <w:bCs/>
              </w:rPr>
            </w:pPr>
            <w:r>
              <w:rPr>
                <w:rFonts w:cs="Arial"/>
                <w:b/>
                <w:bCs/>
                <w:color w:val="000000"/>
                <w:szCs w:val="16"/>
              </w:rPr>
              <w:t xml:space="preserve">53,257 </w:t>
            </w:r>
          </w:p>
        </w:tc>
        <w:tc>
          <w:tcPr>
            <w:tcW w:w="1134" w:type="dxa"/>
            <w:tcBorders>
              <w:bottom w:val="nil"/>
            </w:tcBorders>
            <w:vAlign w:val="bottom"/>
          </w:tcPr>
          <w:p w14:paraId="385A9B57" w14:textId="77777777" w:rsidR="00271E37" w:rsidRPr="00E91642" w:rsidRDefault="00271E37">
            <w:r w:rsidRPr="009D526A">
              <w:rPr>
                <w:rFonts w:cs="Arial"/>
                <w:color w:val="000000"/>
                <w:szCs w:val="16"/>
              </w:rPr>
              <w:t xml:space="preserve">55,709 </w:t>
            </w:r>
          </w:p>
        </w:tc>
        <w:tc>
          <w:tcPr>
            <w:tcW w:w="1134" w:type="dxa"/>
            <w:tcBorders>
              <w:bottom w:val="nil"/>
            </w:tcBorders>
            <w:vAlign w:val="bottom"/>
          </w:tcPr>
          <w:p w14:paraId="0706390B" w14:textId="77777777" w:rsidR="00271E37" w:rsidRPr="005451C0" w:rsidRDefault="00271E37">
            <w:pPr>
              <w:rPr>
                <w:b/>
                <w:bCs/>
              </w:rPr>
            </w:pPr>
            <w:r w:rsidRPr="005451C0">
              <w:rPr>
                <w:rFonts w:cs="Arial"/>
                <w:b/>
                <w:bCs/>
                <w:color w:val="000000"/>
                <w:szCs w:val="16"/>
              </w:rPr>
              <w:t>24%</w:t>
            </w:r>
          </w:p>
        </w:tc>
        <w:tc>
          <w:tcPr>
            <w:tcW w:w="993" w:type="dxa"/>
            <w:tcBorders>
              <w:bottom w:val="nil"/>
            </w:tcBorders>
            <w:vAlign w:val="bottom"/>
          </w:tcPr>
          <w:p w14:paraId="14C705B5" w14:textId="77777777" w:rsidR="00271E37" w:rsidRPr="00470B26" w:rsidRDefault="00271E37">
            <w:r w:rsidRPr="00470B26">
              <w:rPr>
                <w:rFonts w:cs="Arial"/>
                <w:szCs w:val="16"/>
              </w:rPr>
              <w:t>25%</w:t>
            </w:r>
          </w:p>
        </w:tc>
      </w:tr>
      <w:tr w:rsidR="00271E37" w:rsidRPr="00F73C68" w14:paraId="4B11AC54" w14:textId="77777777">
        <w:tc>
          <w:tcPr>
            <w:tcW w:w="5103" w:type="dxa"/>
            <w:tcBorders>
              <w:bottom w:val="nil"/>
            </w:tcBorders>
          </w:tcPr>
          <w:p w14:paraId="5EE6D9AB" w14:textId="77777777" w:rsidR="00271E37" w:rsidRPr="00F73C68" w:rsidRDefault="00271E37">
            <w:pPr>
              <w:jc w:val="left"/>
            </w:pPr>
            <w:r>
              <w:t>Americas</w:t>
            </w:r>
          </w:p>
        </w:tc>
        <w:tc>
          <w:tcPr>
            <w:tcW w:w="1134" w:type="dxa"/>
            <w:tcBorders>
              <w:bottom w:val="nil"/>
            </w:tcBorders>
            <w:vAlign w:val="bottom"/>
          </w:tcPr>
          <w:p w14:paraId="5939643D" w14:textId="77777777" w:rsidR="00271E37" w:rsidRPr="005D44F0" w:rsidRDefault="00271E37">
            <w:pPr>
              <w:rPr>
                <w:b/>
                <w:bCs/>
              </w:rPr>
            </w:pPr>
            <w:r>
              <w:rPr>
                <w:rFonts w:cs="Arial"/>
                <w:b/>
                <w:bCs/>
                <w:color w:val="000000"/>
                <w:szCs w:val="16"/>
              </w:rPr>
              <w:t xml:space="preserve">25,316 </w:t>
            </w:r>
          </w:p>
        </w:tc>
        <w:tc>
          <w:tcPr>
            <w:tcW w:w="1134" w:type="dxa"/>
            <w:tcBorders>
              <w:bottom w:val="nil"/>
            </w:tcBorders>
            <w:vAlign w:val="bottom"/>
          </w:tcPr>
          <w:p w14:paraId="09C76050" w14:textId="77777777" w:rsidR="00271E37" w:rsidRPr="00E91642" w:rsidRDefault="00271E37">
            <w:r w:rsidRPr="009D526A">
              <w:rPr>
                <w:rFonts w:cs="Arial"/>
                <w:color w:val="000000"/>
                <w:szCs w:val="16"/>
              </w:rPr>
              <w:t xml:space="preserve">33,869 </w:t>
            </w:r>
          </w:p>
        </w:tc>
        <w:tc>
          <w:tcPr>
            <w:tcW w:w="1134" w:type="dxa"/>
            <w:tcBorders>
              <w:bottom w:val="nil"/>
            </w:tcBorders>
            <w:vAlign w:val="bottom"/>
          </w:tcPr>
          <w:p w14:paraId="40C6A2F9" w14:textId="77777777" w:rsidR="00271E37" w:rsidRPr="005451C0" w:rsidRDefault="00271E37">
            <w:pPr>
              <w:rPr>
                <w:b/>
                <w:bCs/>
              </w:rPr>
            </w:pPr>
            <w:r w:rsidRPr="005451C0">
              <w:rPr>
                <w:rFonts w:cs="Arial"/>
                <w:b/>
                <w:bCs/>
                <w:color w:val="000000"/>
                <w:szCs w:val="16"/>
              </w:rPr>
              <w:t>12%</w:t>
            </w:r>
          </w:p>
        </w:tc>
        <w:tc>
          <w:tcPr>
            <w:tcW w:w="993" w:type="dxa"/>
            <w:tcBorders>
              <w:bottom w:val="nil"/>
            </w:tcBorders>
            <w:vAlign w:val="bottom"/>
          </w:tcPr>
          <w:p w14:paraId="1F66EFFE" w14:textId="77777777" w:rsidR="00271E37" w:rsidRPr="00470B26" w:rsidRDefault="00271E37">
            <w:r w:rsidRPr="00470B26">
              <w:rPr>
                <w:rFonts w:cs="Arial"/>
                <w:szCs w:val="16"/>
              </w:rPr>
              <w:t>15%</w:t>
            </w:r>
          </w:p>
        </w:tc>
      </w:tr>
      <w:tr w:rsidR="00271E37" w:rsidRPr="00F73C68" w14:paraId="15BFDB8A" w14:textId="77777777">
        <w:tc>
          <w:tcPr>
            <w:tcW w:w="5103" w:type="dxa"/>
            <w:tcBorders>
              <w:top w:val="nil"/>
              <w:bottom w:val="single" w:sz="4" w:space="0" w:color="000000"/>
            </w:tcBorders>
          </w:tcPr>
          <w:p w14:paraId="000CF02E" w14:textId="77777777" w:rsidR="00271E37" w:rsidRPr="00F73C68" w:rsidRDefault="00271E37">
            <w:pPr>
              <w:jc w:val="left"/>
            </w:pPr>
            <w:r w:rsidRPr="00F73C68">
              <w:t>Rest of the world</w:t>
            </w:r>
          </w:p>
        </w:tc>
        <w:tc>
          <w:tcPr>
            <w:tcW w:w="1134" w:type="dxa"/>
            <w:tcBorders>
              <w:top w:val="nil"/>
              <w:bottom w:val="single" w:sz="4" w:space="0" w:color="000000"/>
            </w:tcBorders>
            <w:vAlign w:val="bottom"/>
          </w:tcPr>
          <w:p w14:paraId="0B66CA23" w14:textId="77777777" w:rsidR="00271E37" w:rsidRPr="005D44F0" w:rsidRDefault="00271E37">
            <w:pPr>
              <w:rPr>
                <w:b/>
                <w:bCs/>
              </w:rPr>
            </w:pPr>
            <w:r w:rsidRPr="00470B26">
              <w:rPr>
                <w:rFonts w:cs="Arial"/>
                <w:b/>
                <w:bCs/>
                <w:szCs w:val="16"/>
              </w:rPr>
              <w:t xml:space="preserve">36,068 </w:t>
            </w:r>
          </w:p>
        </w:tc>
        <w:tc>
          <w:tcPr>
            <w:tcW w:w="1134" w:type="dxa"/>
            <w:tcBorders>
              <w:top w:val="nil"/>
              <w:bottom w:val="single" w:sz="4" w:space="0" w:color="000000"/>
            </w:tcBorders>
            <w:vAlign w:val="bottom"/>
          </w:tcPr>
          <w:p w14:paraId="016567C1" w14:textId="74DCB78F" w:rsidR="00271E37" w:rsidRPr="00E91642" w:rsidRDefault="00271E37">
            <w:r w:rsidRPr="009D526A">
              <w:rPr>
                <w:rFonts w:cs="Arial"/>
                <w:color w:val="000000"/>
                <w:szCs w:val="16"/>
              </w:rPr>
              <w:t>34,82</w:t>
            </w:r>
            <w:r w:rsidR="005A39B4">
              <w:rPr>
                <w:rFonts w:cs="Arial"/>
                <w:color w:val="000000"/>
                <w:szCs w:val="16"/>
              </w:rPr>
              <w:t>6</w:t>
            </w:r>
            <w:r w:rsidRPr="009D526A">
              <w:rPr>
                <w:rFonts w:cs="Arial"/>
                <w:color w:val="000000"/>
                <w:szCs w:val="16"/>
              </w:rPr>
              <w:t xml:space="preserve"> </w:t>
            </w:r>
          </w:p>
        </w:tc>
        <w:tc>
          <w:tcPr>
            <w:tcW w:w="1134" w:type="dxa"/>
            <w:tcBorders>
              <w:top w:val="nil"/>
              <w:bottom w:val="single" w:sz="4" w:space="0" w:color="000000"/>
            </w:tcBorders>
            <w:vAlign w:val="bottom"/>
          </w:tcPr>
          <w:p w14:paraId="2A49F960" w14:textId="2D4463DC" w:rsidR="00271E37" w:rsidRPr="005451C0" w:rsidRDefault="00271E37">
            <w:pPr>
              <w:rPr>
                <w:b/>
                <w:bCs/>
              </w:rPr>
            </w:pPr>
            <w:r w:rsidRPr="005451C0">
              <w:rPr>
                <w:rFonts w:cs="Arial"/>
                <w:b/>
                <w:bCs/>
                <w:color w:val="000000"/>
                <w:szCs w:val="16"/>
              </w:rPr>
              <w:t>17%</w:t>
            </w:r>
          </w:p>
        </w:tc>
        <w:tc>
          <w:tcPr>
            <w:tcW w:w="993" w:type="dxa"/>
            <w:tcBorders>
              <w:top w:val="nil"/>
              <w:bottom w:val="single" w:sz="4" w:space="0" w:color="000000"/>
            </w:tcBorders>
            <w:vAlign w:val="bottom"/>
          </w:tcPr>
          <w:p w14:paraId="72F0AA3D" w14:textId="77777777" w:rsidR="00271E37" w:rsidRPr="00470B26" w:rsidRDefault="00271E37">
            <w:r w:rsidRPr="00470B26">
              <w:rPr>
                <w:rFonts w:cs="Arial"/>
                <w:szCs w:val="16"/>
              </w:rPr>
              <w:t>15%</w:t>
            </w:r>
          </w:p>
        </w:tc>
      </w:tr>
      <w:tr w:rsidR="00271E37" w:rsidRPr="00F73C68" w14:paraId="7475C51B" w14:textId="77777777">
        <w:tc>
          <w:tcPr>
            <w:tcW w:w="5103" w:type="dxa"/>
            <w:tcBorders>
              <w:top w:val="single" w:sz="4" w:space="0" w:color="000000"/>
            </w:tcBorders>
          </w:tcPr>
          <w:p w14:paraId="7C55F241" w14:textId="77777777" w:rsidR="00271E37" w:rsidRPr="00F73C68" w:rsidRDefault="00271E37">
            <w:pPr>
              <w:jc w:val="left"/>
            </w:pPr>
          </w:p>
        </w:tc>
        <w:tc>
          <w:tcPr>
            <w:tcW w:w="1134" w:type="dxa"/>
            <w:tcBorders>
              <w:top w:val="single" w:sz="4" w:space="0" w:color="000000"/>
            </w:tcBorders>
            <w:vAlign w:val="bottom"/>
          </w:tcPr>
          <w:p w14:paraId="083B9F81" w14:textId="77777777" w:rsidR="00271E37" w:rsidRPr="005D44F0" w:rsidRDefault="00271E37">
            <w:pPr>
              <w:rPr>
                <w:b/>
                <w:bCs/>
              </w:rPr>
            </w:pPr>
            <w:r>
              <w:rPr>
                <w:rFonts w:cs="Arial"/>
                <w:b/>
                <w:bCs/>
                <w:color w:val="000000"/>
                <w:szCs w:val="16"/>
              </w:rPr>
              <w:t xml:space="preserve">217,874 </w:t>
            </w:r>
          </w:p>
        </w:tc>
        <w:tc>
          <w:tcPr>
            <w:tcW w:w="1134" w:type="dxa"/>
            <w:tcBorders>
              <w:top w:val="single" w:sz="4" w:space="0" w:color="000000"/>
            </w:tcBorders>
            <w:vAlign w:val="bottom"/>
          </w:tcPr>
          <w:p w14:paraId="7262BCF3" w14:textId="77777777" w:rsidR="00271E37" w:rsidRPr="00E91642" w:rsidRDefault="00271E37">
            <w:r w:rsidRPr="009D526A">
              <w:rPr>
                <w:rFonts w:cs="Arial"/>
                <w:color w:val="000000"/>
                <w:szCs w:val="16"/>
              </w:rPr>
              <w:t xml:space="preserve">225,371 </w:t>
            </w:r>
          </w:p>
        </w:tc>
        <w:tc>
          <w:tcPr>
            <w:tcW w:w="1134" w:type="dxa"/>
            <w:tcBorders>
              <w:top w:val="single" w:sz="4" w:space="0" w:color="000000"/>
            </w:tcBorders>
            <w:vAlign w:val="bottom"/>
          </w:tcPr>
          <w:p w14:paraId="50F7B31B" w14:textId="77777777" w:rsidR="00271E37" w:rsidRPr="005D44F0" w:rsidRDefault="00271E37">
            <w:pPr>
              <w:rPr>
                <w:b/>
                <w:bCs/>
              </w:rPr>
            </w:pPr>
            <w:r>
              <w:rPr>
                <w:rFonts w:cs="Arial"/>
                <w:b/>
                <w:bCs/>
                <w:color w:val="000000"/>
                <w:szCs w:val="16"/>
              </w:rPr>
              <w:t>100%</w:t>
            </w:r>
          </w:p>
        </w:tc>
        <w:tc>
          <w:tcPr>
            <w:tcW w:w="993" w:type="dxa"/>
            <w:tcBorders>
              <w:top w:val="single" w:sz="4" w:space="0" w:color="000000"/>
            </w:tcBorders>
            <w:vAlign w:val="bottom"/>
          </w:tcPr>
          <w:p w14:paraId="499F0453" w14:textId="77777777" w:rsidR="00271E37" w:rsidRPr="00470B26" w:rsidRDefault="00271E37">
            <w:r w:rsidRPr="00470B26">
              <w:rPr>
                <w:rFonts w:cs="Arial"/>
                <w:szCs w:val="16"/>
              </w:rPr>
              <w:t>100%</w:t>
            </w:r>
          </w:p>
        </w:tc>
      </w:tr>
    </w:tbl>
    <w:p w14:paraId="65179EA8" w14:textId="77777777" w:rsidR="00271E37" w:rsidRDefault="00271E37" w:rsidP="002E39D4">
      <w:r>
        <w:t>All revenue arose from the sale of goods.</w:t>
      </w:r>
    </w:p>
    <w:p w14:paraId="562E8AFE" w14:textId="18E32318" w:rsidR="00271E37" w:rsidRPr="0077240B" w:rsidRDefault="00271E37">
      <w:pPr>
        <w:pStyle w:val="Heading2"/>
      </w:pPr>
      <w:r w:rsidRPr="0077240B">
        <w:t>3 Operating profit</w:t>
      </w:r>
    </w:p>
    <w:p w14:paraId="529704B2" w14:textId="5CC61C12" w:rsidR="00271E37" w:rsidRDefault="00271E37" w:rsidP="002E39D4">
      <w:r>
        <w:t>Included in the income statement are the following charges</w:t>
      </w:r>
      <w:r w:rsidR="00550AE7">
        <w:t xml:space="preserve"> </w:t>
      </w:r>
      <w:r>
        <w:t>that relate to continuing operations:</w:t>
      </w:r>
    </w:p>
    <w:tbl>
      <w:tblPr>
        <w:tblStyle w:val="tableDUL"/>
        <w:tblW w:w="9639" w:type="dxa"/>
        <w:tblLayout w:type="fixed"/>
        <w:tblLook w:val="04A0" w:firstRow="1" w:lastRow="0" w:firstColumn="1" w:lastColumn="0" w:noHBand="0" w:noVBand="1"/>
      </w:tblPr>
      <w:tblGrid>
        <w:gridCol w:w="6237"/>
        <w:gridCol w:w="1134"/>
        <w:gridCol w:w="1134"/>
        <w:gridCol w:w="1134"/>
      </w:tblGrid>
      <w:tr w:rsidR="00271E37" w:rsidRPr="00F73C68" w14:paraId="1E69FCAE" w14:textId="77777777" w:rsidTr="000923EA">
        <w:trPr>
          <w:trHeight w:hRule="exact" w:val="20"/>
        </w:trPr>
        <w:tc>
          <w:tcPr>
            <w:tcW w:w="6237" w:type="dxa"/>
            <w:tcBorders>
              <w:top w:val="nil"/>
              <w:left w:val="nil"/>
              <w:bottom w:val="nil"/>
              <w:right w:val="nil"/>
            </w:tcBorders>
          </w:tcPr>
          <w:p w14:paraId="069BF304" w14:textId="77777777" w:rsidR="00271E37" w:rsidRDefault="00271E37">
            <w:pPr>
              <w:rPr>
                <w:sz w:val="2"/>
              </w:rPr>
            </w:pPr>
            <w:bookmarkStart w:id="33" w:name="_49461b9e_9b6f_49b8_8cb4_f7d43720f6da"/>
            <w:bookmarkStart w:id="34" w:name="_f8f90983_29c0_4d41_863e_96f21352496a"/>
            <w:bookmarkEnd w:id="33"/>
          </w:p>
        </w:tc>
        <w:tc>
          <w:tcPr>
            <w:tcW w:w="1134" w:type="dxa"/>
            <w:tcBorders>
              <w:top w:val="nil"/>
              <w:left w:val="nil"/>
              <w:bottom w:val="nil"/>
              <w:right w:val="nil"/>
            </w:tcBorders>
          </w:tcPr>
          <w:p w14:paraId="27C68578" w14:textId="77777777" w:rsidR="00271E37" w:rsidRPr="00F73C68" w:rsidRDefault="00271E37" w:rsidP="000923EA"/>
          <w:p w14:paraId="05FB1C19" w14:textId="77777777" w:rsidR="00271E37" w:rsidRDefault="00271E37">
            <w:pPr>
              <w:rPr>
                <w:sz w:val="2"/>
              </w:rPr>
            </w:pPr>
          </w:p>
        </w:tc>
        <w:tc>
          <w:tcPr>
            <w:tcW w:w="1134" w:type="dxa"/>
            <w:tcBorders>
              <w:top w:val="nil"/>
              <w:left w:val="nil"/>
              <w:bottom w:val="nil"/>
              <w:right w:val="nil"/>
            </w:tcBorders>
          </w:tcPr>
          <w:p w14:paraId="0D7193D9" w14:textId="77777777" w:rsidR="00271E37" w:rsidRPr="00F73C68" w:rsidRDefault="00271E37" w:rsidP="000923EA">
            <w:pPr>
              <w:rPr>
                <w:b/>
                <w:bCs/>
              </w:rPr>
            </w:pPr>
          </w:p>
          <w:p w14:paraId="5941981D" w14:textId="77777777" w:rsidR="00271E37" w:rsidRDefault="00271E37">
            <w:pPr>
              <w:rPr>
                <w:sz w:val="2"/>
              </w:rPr>
            </w:pPr>
          </w:p>
        </w:tc>
        <w:tc>
          <w:tcPr>
            <w:tcW w:w="1134" w:type="dxa"/>
            <w:tcBorders>
              <w:top w:val="nil"/>
              <w:left w:val="nil"/>
              <w:bottom w:val="nil"/>
              <w:right w:val="nil"/>
            </w:tcBorders>
          </w:tcPr>
          <w:p w14:paraId="447577C9" w14:textId="77777777" w:rsidR="00271E37" w:rsidRPr="00F73C68" w:rsidRDefault="00271E37" w:rsidP="000923EA"/>
          <w:p w14:paraId="69813F65" w14:textId="77777777" w:rsidR="00271E37" w:rsidRDefault="00271E37">
            <w:pPr>
              <w:rPr>
                <w:sz w:val="2"/>
              </w:rPr>
            </w:pPr>
          </w:p>
        </w:tc>
      </w:tr>
      <w:tr w:rsidR="00271E37" w:rsidRPr="00F73C68" w14:paraId="3F5B7084" w14:textId="77777777">
        <w:tc>
          <w:tcPr>
            <w:tcW w:w="6237" w:type="dxa"/>
            <w:tcBorders>
              <w:bottom w:val="nil"/>
            </w:tcBorders>
          </w:tcPr>
          <w:p w14:paraId="630F63C5" w14:textId="77777777" w:rsidR="00271E37" w:rsidRPr="00F73C68" w:rsidRDefault="00271E37" w:rsidP="000923EA"/>
        </w:tc>
        <w:tc>
          <w:tcPr>
            <w:tcW w:w="1134" w:type="dxa"/>
            <w:tcBorders>
              <w:bottom w:val="nil"/>
            </w:tcBorders>
          </w:tcPr>
          <w:p w14:paraId="60735E1F" w14:textId="77777777" w:rsidR="00271E37" w:rsidRDefault="00271E37" w:rsidP="000923EA"/>
        </w:tc>
        <w:tc>
          <w:tcPr>
            <w:tcW w:w="1134" w:type="dxa"/>
            <w:tcBorders>
              <w:bottom w:val="nil"/>
            </w:tcBorders>
          </w:tcPr>
          <w:p w14:paraId="44EEB822" w14:textId="77777777" w:rsidR="00271E37" w:rsidRPr="00F73C68" w:rsidRDefault="00271E37" w:rsidP="000923EA">
            <w:pPr>
              <w:rPr>
                <w:b/>
                <w:bCs/>
              </w:rPr>
            </w:pPr>
            <w:r>
              <w:rPr>
                <w:b/>
                <w:bCs/>
              </w:rPr>
              <w:t>2026</w:t>
            </w:r>
          </w:p>
        </w:tc>
        <w:tc>
          <w:tcPr>
            <w:tcW w:w="1134" w:type="dxa"/>
            <w:tcBorders>
              <w:bottom w:val="nil"/>
            </w:tcBorders>
          </w:tcPr>
          <w:p w14:paraId="151AC745" w14:textId="77777777" w:rsidR="00271E37" w:rsidRPr="00F73C68" w:rsidRDefault="00271E37" w:rsidP="000923EA">
            <w:r>
              <w:t>2025</w:t>
            </w:r>
          </w:p>
        </w:tc>
      </w:tr>
      <w:tr w:rsidR="00271E37" w:rsidRPr="00F73C68" w14:paraId="57045101" w14:textId="77777777" w:rsidTr="000923EA">
        <w:tc>
          <w:tcPr>
            <w:tcW w:w="6237" w:type="dxa"/>
            <w:tcBorders>
              <w:bottom w:val="single" w:sz="4" w:space="0" w:color="000000"/>
            </w:tcBorders>
          </w:tcPr>
          <w:p w14:paraId="31F8589D" w14:textId="77777777" w:rsidR="00271E37" w:rsidRPr="00F73C68" w:rsidRDefault="00271E37" w:rsidP="000923EA"/>
        </w:tc>
        <w:tc>
          <w:tcPr>
            <w:tcW w:w="1134" w:type="dxa"/>
            <w:tcBorders>
              <w:bottom w:val="single" w:sz="4" w:space="0" w:color="000000"/>
            </w:tcBorders>
          </w:tcPr>
          <w:p w14:paraId="1F6C3EA7" w14:textId="77777777" w:rsidR="00271E37" w:rsidRDefault="00271E37" w:rsidP="000923EA">
            <w:r>
              <w:t>Note</w:t>
            </w:r>
          </w:p>
        </w:tc>
        <w:tc>
          <w:tcPr>
            <w:tcW w:w="1134" w:type="dxa"/>
            <w:tcBorders>
              <w:bottom w:val="single" w:sz="4" w:space="0" w:color="000000"/>
            </w:tcBorders>
          </w:tcPr>
          <w:p w14:paraId="16AC4850" w14:textId="77777777" w:rsidR="00271E37" w:rsidRPr="00F73C68" w:rsidRDefault="00271E37" w:rsidP="000923EA">
            <w:pPr>
              <w:rPr>
                <w:b/>
                <w:bCs/>
              </w:rPr>
            </w:pPr>
            <w:r>
              <w:rPr>
                <w:b/>
                <w:bCs/>
              </w:rPr>
              <w:t>£000</w:t>
            </w:r>
          </w:p>
        </w:tc>
        <w:tc>
          <w:tcPr>
            <w:tcW w:w="1134" w:type="dxa"/>
            <w:tcBorders>
              <w:bottom w:val="single" w:sz="4" w:space="0" w:color="000000"/>
            </w:tcBorders>
          </w:tcPr>
          <w:p w14:paraId="6A5EEF04" w14:textId="77777777" w:rsidR="00271E37" w:rsidRPr="00F73C68" w:rsidRDefault="00271E37" w:rsidP="000923EA">
            <w:r>
              <w:t>£000</w:t>
            </w:r>
          </w:p>
        </w:tc>
      </w:tr>
      <w:tr w:rsidR="00271E37" w:rsidRPr="00F73C68" w14:paraId="53097C0F" w14:textId="77777777">
        <w:tc>
          <w:tcPr>
            <w:tcW w:w="6237" w:type="dxa"/>
            <w:tcBorders>
              <w:top w:val="single" w:sz="4" w:space="0" w:color="000000"/>
            </w:tcBorders>
            <w:vAlign w:val="center"/>
          </w:tcPr>
          <w:p w14:paraId="5BA48A6C" w14:textId="77777777" w:rsidR="00271E37" w:rsidRPr="00F73C68" w:rsidRDefault="00271E37">
            <w:pPr>
              <w:jc w:val="left"/>
            </w:pPr>
            <w:r>
              <w:rPr>
                <w:rFonts w:cs="Arial"/>
                <w:color w:val="000000"/>
                <w:szCs w:val="16"/>
              </w:rPr>
              <w:t>Depreciation of tangible fixed assets</w:t>
            </w:r>
          </w:p>
        </w:tc>
        <w:tc>
          <w:tcPr>
            <w:tcW w:w="1134" w:type="dxa"/>
            <w:tcBorders>
              <w:top w:val="single" w:sz="4" w:space="0" w:color="000000"/>
            </w:tcBorders>
            <w:vAlign w:val="center"/>
          </w:tcPr>
          <w:p w14:paraId="525F4320" w14:textId="77777777" w:rsidR="00271E37" w:rsidRPr="00F73C68" w:rsidRDefault="00271E37">
            <w:r>
              <w:rPr>
                <w:rFonts w:cs="Arial"/>
                <w:color w:val="000000"/>
                <w:szCs w:val="16"/>
              </w:rPr>
              <w:t>8</w:t>
            </w:r>
          </w:p>
        </w:tc>
        <w:tc>
          <w:tcPr>
            <w:tcW w:w="1134" w:type="dxa"/>
            <w:tcBorders>
              <w:top w:val="single" w:sz="4" w:space="0" w:color="000000"/>
            </w:tcBorders>
            <w:vAlign w:val="center"/>
          </w:tcPr>
          <w:p w14:paraId="2B9F0010" w14:textId="77777777" w:rsidR="00271E37" w:rsidRPr="005D44F0" w:rsidRDefault="00271E37">
            <w:pPr>
              <w:rPr>
                <w:b/>
                <w:bCs/>
              </w:rPr>
            </w:pPr>
            <w:r>
              <w:rPr>
                <w:rFonts w:cs="Arial"/>
                <w:b/>
                <w:bCs/>
                <w:color w:val="000000"/>
                <w:szCs w:val="16"/>
              </w:rPr>
              <w:t xml:space="preserve">3,679 </w:t>
            </w:r>
          </w:p>
        </w:tc>
        <w:tc>
          <w:tcPr>
            <w:tcW w:w="1134" w:type="dxa"/>
            <w:tcBorders>
              <w:top w:val="single" w:sz="4" w:space="0" w:color="000000"/>
            </w:tcBorders>
            <w:vAlign w:val="center"/>
          </w:tcPr>
          <w:p w14:paraId="0DD22CB3" w14:textId="77777777" w:rsidR="00271E37" w:rsidRPr="005D44F0" w:rsidRDefault="00271E37">
            <w:r>
              <w:rPr>
                <w:rFonts w:cs="Arial"/>
                <w:color w:val="000000"/>
                <w:szCs w:val="16"/>
              </w:rPr>
              <w:t xml:space="preserve">3,762 </w:t>
            </w:r>
          </w:p>
        </w:tc>
      </w:tr>
      <w:tr w:rsidR="00271E37" w:rsidRPr="00F73C68" w14:paraId="5B54087A" w14:textId="77777777">
        <w:tc>
          <w:tcPr>
            <w:tcW w:w="6237" w:type="dxa"/>
            <w:vAlign w:val="center"/>
          </w:tcPr>
          <w:p w14:paraId="2DE92BA9" w14:textId="77777777" w:rsidR="00271E37" w:rsidRPr="00F73C68" w:rsidRDefault="00271E37">
            <w:pPr>
              <w:jc w:val="left"/>
            </w:pPr>
            <w:r>
              <w:rPr>
                <w:rFonts w:cs="Arial"/>
                <w:color w:val="000000"/>
                <w:szCs w:val="16"/>
              </w:rPr>
              <w:t>Impairment of tangible fixed assets</w:t>
            </w:r>
          </w:p>
        </w:tc>
        <w:tc>
          <w:tcPr>
            <w:tcW w:w="1134" w:type="dxa"/>
            <w:vAlign w:val="center"/>
          </w:tcPr>
          <w:p w14:paraId="653CAE8F" w14:textId="77777777" w:rsidR="00271E37" w:rsidRPr="00F73C68" w:rsidRDefault="00271E37">
            <w:r>
              <w:rPr>
                <w:rFonts w:cs="Arial"/>
                <w:color w:val="000000"/>
                <w:szCs w:val="16"/>
              </w:rPr>
              <w:t>8</w:t>
            </w:r>
          </w:p>
        </w:tc>
        <w:tc>
          <w:tcPr>
            <w:tcW w:w="1134" w:type="dxa"/>
            <w:vAlign w:val="center"/>
          </w:tcPr>
          <w:p w14:paraId="64019EAE" w14:textId="77777777" w:rsidR="00271E37" w:rsidRPr="00DD777C" w:rsidRDefault="00271E37">
            <w:pPr>
              <w:rPr>
                <w:b/>
                <w:bCs/>
              </w:rPr>
            </w:pPr>
            <w:r>
              <w:rPr>
                <w:rFonts w:cs="Arial"/>
                <w:b/>
                <w:bCs/>
                <w:color w:val="000000"/>
                <w:szCs w:val="16"/>
              </w:rPr>
              <w:t xml:space="preserve">1,504 </w:t>
            </w:r>
          </w:p>
        </w:tc>
        <w:tc>
          <w:tcPr>
            <w:tcW w:w="1134" w:type="dxa"/>
            <w:vAlign w:val="center"/>
          </w:tcPr>
          <w:p w14:paraId="2D316748" w14:textId="77777777" w:rsidR="00271E37" w:rsidRPr="00DD777C" w:rsidRDefault="00271E37">
            <w:r>
              <w:rPr>
                <w:rFonts w:cs="Arial"/>
                <w:color w:val="000000"/>
                <w:szCs w:val="16"/>
              </w:rPr>
              <w:t xml:space="preserve">593 </w:t>
            </w:r>
          </w:p>
        </w:tc>
      </w:tr>
      <w:tr w:rsidR="00271E37" w:rsidRPr="00F73C68" w14:paraId="7AC25E37" w14:textId="77777777">
        <w:tc>
          <w:tcPr>
            <w:tcW w:w="6237" w:type="dxa"/>
            <w:vAlign w:val="center"/>
          </w:tcPr>
          <w:p w14:paraId="41D6098F" w14:textId="77777777" w:rsidR="00271E37" w:rsidRPr="00F73C68" w:rsidRDefault="00271E37">
            <w:pPr>
              <w:jc w:val="left"/>
            </w:pPr>
            <w:r>
              <w:rPr>
                <w:rFonts w:cs="Arial"/>
                <w:color w:val="000000"/>
                <w:szCs w:val="16"/>
              </w:rPr>
              <w:t>Amortisation of intangible assets</w:t>
            </w:r>
          </w:p>
        </w:tc>
        <w:tc>
          <w:tcPr>
            <w:tcW w:w="1134" w:type="dxa"/>
            <w:vAlign w:val="center"/>
          </w:tcPr>
          <w:p w14:paraId="4B39999A" w14:textId="77777777" w:rsidR="00271E37" w:rsidRPr="00F73C68" w:rsidRDefault="00271E37">
            <w:r>
              <w:rPr>
                <w:rFonts w:cs="Arial"/>
                <w:color w:val="000000"/>
                <w:szCs w:val="16"/>
              </w:rPr>
              <w:t>9</w:t>
            </w:r>
          </w:p>
        </w:tc>
        <w:tc>
          <w:tcPr>
            <w:tcW w:w="1134" w:type="dxa"/>
            <w:vAlign w:val="center"/>
          </w:tcPr>
          <w:p w14:paraId="7BC67CF0" w14:textId="77777777" w:rsidR="00271E37" w:rsidRPr="005D44F0" w:rsidRDefault="00271E37">
            <w:pPr>
              <w:rPr>
                <w:b/>
                <w:bCs/>
              </w:rPr>
            </w:pPr>
            <w:r>
              <w:rPr>
                <w:rFonts w:cs="Arial"/>
                <w:b/>
                <w:bCs/>
                <w:color w:val="000000"/>
                <w:szCs w:val="16"/>
              </w:rPr>
              <w:t xml:space="preserve">143 </w:t>
            </w:r>
          </w:p>
        </w:tc>
        <w:tc>
          <w:tcPr>
            <w:tcW w:w="1134" w:type="dxa"/>
            <w:vAlign w:val="center"/>
          </w:tcPr>
          <w:p w14:paraId="08B3F4C8" w14:textId="77777777" w:rsidR="00271E37" w:rsidRPr="005D44F0" w:rsidRDefault="00271E37">
            <w:r>
              <w:rPr>
                <w:rFonts w:cs="Arial"/>
                <w:color w:val="000000"/>
                <w:szCs w:val="16"/>
              </w:rPr>
              <w:t xml:space="preserve">62 </w:t>
            </w:r>
          </w:p>
        </w:tc>
      </w:tr>
      <w:tr w:rsidR="00271E37" w:rsidRPr="00F73C68" w14:paraId="00E6DF4D" w14:textId="77777777">
        <w:tc>
          <w:tcPr>
            <w:tcW w:w="6237" w:type="dxa"/>
            <w:vAlign w:val="center"/>
          </w:tcPr>
          <w:p w14:paraId="0DA561B7" w14:textId="77777777" w:rsidR="00271E37" w:rsidRPr="00F73C68" w:rsidRDefault="00271E37">
            <w:pPr>
              <w:jc w:val="left"/>
            </w:pPr>
            <w:r>
              <w:rPr>
                <w:rFonts w:cs="Arial"/>
                <w:color w:val="000000"/>
                <w:szCs w:val="16"/>
              </w:rPr>
              <w:t>Depreciation of right-of-use assets</w:t>
            </w:r>
          </w:p>
        </w:tc>
        <w:tc>
          <w:tcPr>
            <w:tcW w:w="1134" w:type="dxa"/>
            <w:vAlign w:val="center"/>
          </w:tcPr>
          <w:p w14:paraId="1CA2552B" w14:textId="77777777" w:rsidR="00271E37" w:rsidRPr="00F73C68" w:rsidRDefault="00271E37">
            <w:r>
              <w:rPr>
                <w:rFonts w:cs="Arial"/>
                <w:color w:val="000000"/>
                <w:szCs w:val="16"/>
              </w:rPr>
              <w:t>10</w:t>
            </w:r>
          </w:p>
        </w:tc>
        <w:tc>
          <w:tcPr>
            <w:tcW w:w="1134" w:type="dxa"/>
            <w:vAlign w:val="center"/>
          </w:tcPr>
          <w:p w14:paraId="1AAA0221" w14:textId="77777777" w:rsidR="00271E37" w:rsidRPr="005D44F0" w:rsidRDefault="00271E37">
            <w:pPr>
              <w:rPr>
                <w:b/>
                <w:bCs/>
              </w:rPr>
            </w:pPr>
            <w:r>
              <w:rPr>
                <w:rFonts w:cs="Arial"/>
                <w:b/>
                <w:bCs/>
                <w:color w:val="000000"/>
                <w:szCs w:val="16"/>
              </w:rPr>
              <w:t xml:space="preserve">3,797 </w:t>
            </w:r>
          </w:p>
        </w:tc>
        <w:tc>
          <w:tcPr>
            <w:tcW w:w="1134" w:type="dxa"/>
            <w:vAlign w:val="center"/>
          </w:tcPr>
          <w:p w14:paraId="0720659D" w14:textId="77777777" w:rsidR="00271E37" w:rsidRPr="005D44F0" w:rsidRDefault="00271E37">
            <w:r>
              <w:rPr>
                <w:rFonts w:cs="Arial"/>
                <w:color w:val="000000"/>
                <w:szCs w:val="16"/>
              </w:rPr>
              <w:t xml:space="preserve">3,913 </w:t>
            </w:r>
          </w:p>
        </w:tc>
      </w:tr>
      <w:tr w:rsidR="00271E37" w:rsidRPr="00F73C68" w14:paraId="243E15B7" w14:textId="77777777">
        <w:tc>
          <w:tcPr>
            <w:tcW w:w="6237" w:type="dxa"/>
            <w:vAlign w:val="center"/>
          </w:tcPr>
          <w:p w14:paraId="34114758" w14:textId="77777777" w:rsidR="00271E37" w:rsidRPr="00F73C68" w:rsidRDefault="00271E37">
            <w:pPr>
              <w:jc w:val="left"/>
            </w:pPr>
            <w:r>
              <w:rPr>
                <w:rFonts w:cs="Arial"/>
                <w:color w:val="000000"/>
                <w:szCs w:val="16"/>
              </w:rPr>
              <w:t>Sub-lease rental income</w:t>
            </w:r>
          </w:p>
        </w:tc>
        <w:tc>
          <w:tcPr>
            <w:tcW w:w="1134" w:type="dxa"/>
            <w:vAlign w:val="center"/>
          </w:tcPr>
          <w:p w14:paraId="15EAC18E" w14:textId="77777777" w:rsidR="00271E37" w:rsidRPr="00F73C68" w:rsidRDefault="00271E37">
            <w:r>
              <w:rPr>
                <w:rFonts w:cs="Arial"/>
                <w:color w:val="000000"/>
                <w:szCs w:val="16"/>
              </w:rPr>
              <w:t>10</w:t>
            </w:r>
          </w:p>
        </w:tc>
        <w:tc>
          <w:tcPr>
            <w:tcW w:w="1134" w:type="dxa"/>
            <w:vAlign w:val="center"/>
          </w:tcPr>
          <w:p w14:paraId="6A10279B" w14:textId="77777777" w:rsidR="00271E37" w:rsidRPr="005D44F0" w:rsidRDefault="00271E37">
            <w:pPr>
              <w:rPr>
                <w:b/>
                <w:bCs/>
              </w:rPr>
            </w:pPr>
            <w:r>
              <w:rPr>
                <w:rFonts w:cs="Arial"/>
                <w:b/>
                <w:bCs/>
                <w:color w:val="000000"/>
                <w:szCs w:val="16"/>
              </w:rPr>
              <w:t xml:space="preserve">742 </w:t>
            </w:r>
          </w:p>
        </w:tc>
        <w:tc>
          <w:tcPr>
            <w:tcW w:w="1134" w:type="dxa"/>
            <w:vAlign w:val="center"/>
          </w:tcPr>
          <w:p w14:paraId="08CC64A7" w14:textId="77777777" w:rsidR="00271E37" w:rsidRPr="005D44F0" w:rsidRDefault="00271E37">
            <w:r>
              <w:rPr>
                <w:rFonts w:cs="Arial"/>
                <w:color w:val="000000"/>
                <w:szCs w:val="16"/>
              </w:rPr>
              <w:t xml:space="preserve">330 </w:t>
            </w:r>
          </w:p>
        </w:tc>
      </w:tr>
      <w:tr w:rsidR="00271E37" w:rsidRPr="00F73C68" w14:paraId="6C3D7297" w14:textId="77777777">
        <w:tc>
          <w:tcPr>
            <w:tcW w:w="6237" w:type="dxa"/>
            <w:vAlign w:val="center"/>
          </w:tcPr>
          <w:p w14:paraId="7CD3C60C" w14:textId="77777777" w:rsidR="00271E37" w:rsidRPr="00F73C68" w:rsidRDefault="00271E37">
            <w:pPr>
              <w:jc w:val="left"/>
            </w:pPr>
            <w:r>
              <w:rPr>
                <w:rFonts w:cs="Arial"/>
                <w:color w:val="000000"/>
                <w:szCs w:val="16"/>
              </w:rPr>
              <w:lastRenderedPageBreak/>
              <w:t>Provision for obsolete and slow-moving inventory</w:t>
            </w:r>
          </w:p>
        </w:tc>
        <w:tc>
          <w:tcPr>
            <w:tcW w:w="1134" w:type="dxa"/>
            <w:vAlign w:val="center"/>
          </w:tcPr>
          <w:p w14:paraId="6361BFE1" w14:textId="77777777" w:rsidR="00271E37" w:rsidRPr="00F73C68" w:rsidRDefault="00271E37">
            <w:r>
              <w:rPr>
                <w:rFonts w:cs="Arial"/>
                <w:color w:val="000000"/>
                <w:szCs w:val="16"/>
              </w:rPr>
              <w:t>12</w:t>
            </w:r>
          </w:p>
        </w:tc>
        <w:tc>
          <w:tcPr>
            <w:tcW w:w="1134" w:type="dxa"/>
            <w:vAlign w:val="center"/>
          </w:tcPr>
          <w:p w14:paraId="380B0EF4" w14:textId="77777777" w:rsidR="00271E37" w:rsidRPr="005D44F0" w:rsidRDefault="00271E37">
            <w:pPr>
              <w:rPr>
                <w:b/>
                <w:bCs/>
              </w:rPr>
            </w:pPr>
            <w:r>
              <w:rPr>
                <w:rFonts w:cs="Arial"/>
                <w:b/>
                <w:bCs/>
                <w:color w:val="000000"/>
                <w:szCs w:val="16"/>
              </w:rPr>
              <w:t xml:space="preserve">1,472 </w:t>
            </w:r>
          </w:p>
        </w:tc>
        <w:tc>
          <w:tcPr>
            <w:tcW w:w="1134" w:type="dxa"/>
            <w:vAlign w:val="center"/>
          </w:tcPr>
          <w:p w14:paraId="1B4975EB" w14:textId="77777777" w:rsidR="00271E37" w:rsidRPr="005D44F0" w:rsidRDefault="00271E37">
            <w:r>
              <w:rPr>
                <w:rFonts w:cs="Arial"/>
                <w:color w:val="000000"/>
                <w:szCs w:val="16"/>
              </w:rPr>
              <w:t xml:space="preserve">1,021 </w:t>
            </w:r>
          </w:p>
        </w:tc>
      </w:tr>
      <w:tr w:rsidR="00271E37" w:rsidRPr="00F73C68" w14:paraId="07DDAE7C" w14:textId="77777777">
        <w:tc>
          <w:tcPr>
            <w:tcW w:w="6237" w:type="dxa"/>
            <w:vAlign w:val="center"/>
          </w:tcPr>
          <w:p w14:paraId="0C61E9DE" w14:textId="372FBBE7" w:rsidR="00271E37" w:rsidRPr="00F73C68" w:rsidRDefault="00271E37">
            <w:pPr>
              <w:jc w:val="left"/>
            </w:pPr>
            <w:r>
              <w:rPr>
                <w:rFonts w:cs="Arial"/>
                <w:color w:val="000000"/>
                <w:szCs w:val="16"/>
              </w:rPr>
              <w:t>Reversal of previous write</w:t>
            </w:r>
            <w:r w:rsidR="00163C99">
              <w:rPr>
                <w:rFonts w:cs="Arial"/>
                <w:color w:val="000000"/>
                <w:szCs w:val="16"/>
              </w:rPr>
              <w:t>-</w:t>
            </w:r>
            <w:r>
              <w:rPr>
                <w:rFonts w:cs="Arial"/>
                <w:color w:val="000000"/>
                <w:szCs w:val="16"/>
              </w:rPr>
              <w:t>downs of inventory</w:t>
            </w:r>
          </w:p>
        </w:tc>
        <w:tc>
          <w:tcPr>
            <w:tcW w:w="1134" w:type="dxa"/>
            <w:vAlign w:val="center"/>
          </w:tcPr>
          <w:p w14:paraId="2355A96A" w14:textId="77777777" w:rsidR="00271E37" w:rsidRPr="00F73C68" w:rsidRDefault="00271E37">
            <w:r>
              <w:rPr>
                <w:rFonts w:cs="Arial"/>
                <w:color w:val="000000"/>
                <w:szCs w:val="16"/>
              </w:rPr>
              <w:t>12</w:t>
            </w:r>
          </w:p>
        </w:tc>
        <w:tc>
          <w:tcPr>
            <w:tcW w:w="1134" w:type="dxa"/>
            <w:vAlign w:val="center"/>
          </w:tcPr>
          <w:p w14:paraId="28511117" w14:textId="77777777" w:rsidR="00271E37" w:rsidRPr="005D44F0" w:rsidRDefault="00271E37">
            <w:pPr>
              <w:rPr>
                <w:b/>
                <w:bCs/>
              </w:rPr>
            </w:pPr>
            <w:r>
              <w:rPr>
                <w:rFonts w:cs="Arial"/>
                <w:b/>
                <w:bCs/>
                <w:color w:val="000000"/>
                <w:szCs w:val="16"/>
              </w:rPr>
              <w:t xml:space="preserve">321 </w:t>
            </w:r>
          </w:p>
        </w:tc>
        <w:tc>
          <w:tcPr>
            <w:tcW w:w="1134" w:type="dxa"/>
            <w:vAlign w:val="center"/>
          </w:tcPr>
          <w:p w14:paraId="49096111" w14:textId="77777777" w:rsidR="00271E37" w:rsidRPr="005D44F0" w:rsidRDefault="00271E37">
            <w:r>
              <w:rPr>
                <w:rFonts w:cs="Arial"/>
                <w:color w:val="000000"/>
                <w:szCs w:val="16"/>
              </w:rPr>
              <w:t xml:space="preserve">513 </w:t>
            </w:r>
          </w:p>
        </w:tc>
      </w:tr>
      <w:tr w:rsidR="00271E37" w:rsidRPr="00F73C68" w14:paraId="7F18CC64" w14:textId="77777777">
        <w:tc>
          <w:tcPr>
            <w:tcW w:w="6237" w:type="dxa"/>
            <w:tcBorders>
              <w:bottom w:val="nil"/>
            </w:tcBorders>
            <w:vAlign w:val="center"/>
          </w:tcPr>
          <w:p w14:paraId="5E7B6E56" w14:textId="77777777" w:rsidR="00271E37" w:rsidRPr="00F73C68" w:rsidRDefault="00271E37">
            <w:pPr>
              <w:jc w:val="left"/>
            </w:pPr>
            <w:r>
              <w:rPr>
                <w:rFonts w:cs="Arial"/>
                <w:color w:val="000000"/>
                <w:szCs w:val="16"/>
              </w:rPr>
              <w:t>Release of deferred grant income</w:t>
            </w:r>
          </w:p>
        </w:tc>
        <w:tc>
          <w:tcPr>
            <w:tcW w:w="1134" w:type="dxa"/>
            <w:tcBorders>
              <w:bottom w:val="nil"/>
            </w:tcBorders>
            <w:vAlign w:val="center"/>
          </w:tcPr>
          <w:p w14:paraId="4044C849" w14:textId="77777777" w:rsidR="00271E37" w:rsidRPr="00F73C68" w:rsidRDefault="00271E37"/>
        </w:tc>
        <w:tc>
          <w:tcPr>
            <w:tcW w:w="1134" w:type="dxa"/>
            <w:tcBorders>
              <w:bottom w:val="nil"/>
            </w:tcBorders>
            <w:vAlign w:val="center"/>
          </w:tcPr>
          <w:p w14:paraId="29C479B4" w14:textId="77777777" w:rsidR="00271E37" w:rsidRPr="005D44F0" w:rsidRDefault="00271E37">
            <w:pPr>
              <w:rPr>
                <w:b/>
                <w:bCs/>
              </w:rPr>
            </w:pPr>
            <w:r>
              <w:rPr>
                <w:rFonts w:cs="Arial"/>
                <w:b/>
                <w:bCs/>
                <w:color w:val="000000"/>
                <w:szCs w:val="16"/>
              </w:rPr>
              <w:t xml:space="preserve">66 </w:t>
            </w:r>
          </w:p>
        </w:tc>
        <w:tc>
          <w:tcPr>
            <w:tcW w:w="1134" w:type="dxa"/>
            <w:tcBorders>
              <w:bottom w:val="nil"/>
            </w:tcBorders>
            <w:vAlign w:val="center"/>
          </w:tcPr>
          <w:p w14:paraId="717DB86B" w14:textId="77777777" w:rsidR="00271E37" w:rsidRPr="005D44F0" w:rsidRDefault="00271E37">
            <w:r>
              <w:rPr>
                <w:rFonts w:cs="Arial"/>
                <w:color w:val="000000"/>
                <w:szCs w:val="16"/>
              </w:rPr>
              <w:t xml:space="preserve">66 </w:t>
            </w:r>
          </w:p>
        </w:tc>
      </w:tr>
      <w:tr w:rsidR="00271E37" w:rsidRPr="00F73C68" w14:paraId="048BB6E2" w14:textId="77777777">
        <w:tc>
          <w:tcPr>
            <w:tcW w:w="6237" w:type="dxa"/>
            <w:tcBorders>
              <w:bottom w:val="single" w:sz="4" w:space="0" w:color="auto"/>
            </w:tcBorders>
            <w:vAlign w:val="center"/>
          </w:tcPr>
          <w:p w14:paraId="75660B57" w14:textId="527ADBD0" w:rsidR="00271E37" w:rsidRPr="00F73C68" w:rsidRDefault="002A6B7C">
            <w:pPr>
              <w:jc w:val="left"/>
            </w:pPr>
            <w:r>
              <w:rPr>
                <w:rFonts w:cs="Arial"/>
                <w:color w:val="000000"/>
                <w:szCs w:val="16"/>
              </w:rPr>
              <w:t xml:space="preserve">Loss </w:t>
            </w:r>
            <w:r w:rsidR="00271E37">
              <w:rPr>
                <w:rFonts w:cs="Arial"/>
                <w:color w:val="000000"/>
                <w:szCs w:val="16"/>
              </w:rPr>
              <w:t>on foreign exchange</w:t>
            </w:r>
          </w:p>
        </w:tc>
        <w:tc>
          <w:tcPr>
            <w:tcW w:w="1134" w:type="dxa"/>
            <w:tcBorders>
              <w:bottom w:val="single" w:sz="4" w:space="0" w:color="auto"/>
            </w:tcBorders>
            <w:vAlign w:val="center"/>
          </w:tcPr>
          <w:p w14:paraId="66CE01EA" w14:textId="77777777" w:rsidR="00271E37" w:rsidRPr="00F73C68" w:rsidRDefault="00271E37">
            <w:r>
              <w:rPr>
                <w:rFonts w:cs="Arial"/>
                <w:color w:val="000000"/>
                <w:szCs w:val="16"/>
              </w:rPr>
              <w:t> </w:t>
            </w:r>
          </w:p>
        </w:tc>
        <w:tc>
          <w:tcPr>
            <w:tcW w:w="1134" w:type="dxa"/>
            <w:tcBorders>
              <w:bottom w:val="single" w:sz="4" w:space="0" w:color="auto"/>
            </w:tcBorders>
            <w:vAlign w:val="center"/>
          </w:tcPr>
          <w:p w14:paraId="082C4AD9" w14:textId="609DA6D3" w:rsidR="00271E37" w:rsidRPr="005D44F0" w:rsidRDefault="00271E37">
            <w:pPr>
              <w:rPr>
                <w:b/>
                <w:bCs/>
              </w:rPr>
            </w:pPr>
            <w:r>
              <w:rPr>
                <w:rFonts w:cs="Arial"/>
                <w:b/>
                <w:bCs/>
                <w:color w:val="000000"/>
                <w:szCs w:val="16"/>
              </w:rPr>
              <w:t>182</w:t>
            </w:r>
          </w:p>
        </w:tc>
        <w:tc>
          <w:tcPr>
            <w:tcW w:w="1134" w:type="dxa"/>
            <w:tcBorders>
              <w:bottom w:val="single" w:sz="4" w:space="0" w:color="auto"/>
            </w:tcBorders>
            <w:vAlign w:val="center"/>
          </w:tcPr>
          <w:p w14:paraId="26401C55" w14:textId="3251E90F" w:rsidR="00271E37" w:rsidRPr="005D44F0" w:rsidRDefault="00271E37">
            <w:r>
              <w:rPr>
                <w:rFonts w:cs="Arial"/>
                <w:color w:val="000000"/>
                <w:szCs w:val="16"/>
              </w:rPr>
              <w:t>65</w:t>
            </w:r>
          </w:p>
        </w:tc>
      </w:tr>
      <w:bookmarkEnd w:id="34"/>
    </w:tbl>
    <w:p w14:paraId="01C44418" w14:textId="77777777" w:rsidR="00271E37" w:rsidRDefault="00271E37" w:rsidP="002E39D4"/>
    <w:p w14:paraId="6174EBE3" w14:textId="77777777" w:rsidR="00271E37" w:rsidRDefault="00271E37" w:rsidP="002E39D4">
      <w:r w:rsidRPr="00373FAA">
        <w:t>This analysis of operating profit and adjusting items relates to continuing operations:</w:t>
      </w:r>
    </w:p>
    <w:tbl>
      <w:tblPr>
        <w:tblStyle w:val="tableDUL"/>
        <w:tblW w:w="9639" w:type="dxa"/>
        <w:tblLayout w:type="fixed"/>
        <w:tblLook w:val="04A0" w:firstRow="1" w:lastRow="0" w:firstColumn="1" w:lastColumn="0" w:noHBand="0" w:noVBand="1"/>
      </w:tblPr>
      <w:tblGrid>
        <w:gridCol w:w="7371"/>
        <w:gridCol w:w="1134"/>
        <w:gridCol w:w="1134"/>
      </w:tblGrid>
      <w:tr w:rsidR="00271E37" w:rsidRPr="00F73C68" w14:paraId="4D5A94F4" w14:textId="77777777">
        <w:tc>
          <w:tcPr>
            <w:tcW w:w="7371" w:type="dxa"/>
            <w:tcBorders>
              <w:bottom w:val="nil"/>
            </w:tcBorders>
          </w:tcPr>
          <w:p w14:paraId="5D8A52E2" w14:textId="77777777" w:rsidR="00271E37" w:rsidRPr="00F73C68" w:rsidRDefault="00271E37"/>
        </w:tc>
        <w:tc>
          <w:tcPr>
            <w:tcW w:w="1134" w:type="dxa"/>
            <w:tcBorders>
              <w:bottom w:val="nil"/>
            </w:tcBorders>
          </w:tcPr>
          <w:p w14:paraId="1E9A9CC4" w14:textId="77777777" w:rsidR="00271E37" w:rsidRPr="00F73C68" w:rsidRDefault="00271E37">
            <w:pPr>
              <w:rPr>
                <w:b/>
                <w:bCs/>
              </w:rPr>
            </w:pPr>
            <w:r>
              <w:rPr>
                <w:b/>
                <w:bCs/>
              </w:rPr>
              <w:t>2026</w:t>
            </w:r>
          </w:p>
        </w:tc>
        <w:tc>
          <w:tcPr>
            <w:tcW w:w="1134" w:type="dxa"/>
            <w:tcBorders>
              <w:bottom w:val="nil"/>
            </w:tcBorders>
          </w:tcPr>
          <w:p w14:paraId="2C7CDDED" w14:textId="77777777" w:rsidR="00271E37" w:rsidRPr="00F73C68" w:rsidRDefault="00271E37">
            <w:r>
              <w:t>2025</w:t>
            </w:r>
          </w:p>
        </w:tc>
      </w:tr>
      <w:tr w:rsidR="00271E37" w:rsidRPr="00F73C68" w14:paraId="5FB74013" w14:textId="77777777">
        <w:tc>
          <w:tcPr>
            <w:tcW w:w="7371" w:type="dxa"/>
            <w:tcBorders>
              <w:bottom w:val="single" w:sz="4" w:space="0" w:color="000000"/>
            </w:tcBorders>
          </w:tcPr>
          <w:p w14:paraId="271135E6" w14:textId="77777777" w:rsidR="00271E37" w:rsidRPr="00F73C68" w:rsidRDefault="00271E37"/>
        </w:tc>
        <w:tc>
          <w:tcPr>
            <w:tcW w:w="1134" w:type="dxa"/>
            <w:tcBorders>
              <w:bottom w:val="single" w:sz="4" w:space="0" w:color="000000"/>
            </w:tcBorders>
          </w:tcPr>
          <w:p w14:paraId="5A4D898D" w14:textId="77777777" w:rsidR="00271E37" w:rsidRPr="00F73C68" w:rsidRDefault="00271E37">
            <w:pPr>
              <w:rPr>
                <w:b/>
                <w:bCs/>
              </w:rPr>
            </w:pPr>
            <w:r>
              <w:rPr>
                <w:b/>
                <w:bCs/>
              </w:rPr>
              <w:t>£000</w:t>
            </w:r>
          </w:p>
        </w:tc>
        <w:tc>
          <w:tcPr>
            <w:tcW w:w="1134" w:type="dxa"/>
            <w:tcBorders>
              <w:bottom w:val="single" w:sz="4" w:space="0" w:color="000000"/>
            </w:tcBorders>
          </w:tcPr>
          <w:p w14:paraId="6BA2CD9F" w14:textId="77777777" w:rsidR="00271E37" w:rsidRPr="00F73C68" w:rsidRDefault="00271E37">
            <w:r>
              <w:t>£000</w:t>
            </w:r>
          </w:p>
        </w:tc>
      </w:tr>
      <w:tr w:rsidR="00271E37" w:rsidRPr="00F73C68" w14:paraId="568D2229" w14:textId="77777777">
        <w:tc>
          <w:tcPr>
            <w:tcW w:w="7371" w:type="dxa"/>
            <w:tcBorders>
              <w:top w:val="single" w:sz="4" w:space="0" w:color="000000"/>
            </w:tcBorders>
          </w:tcPr>
          <w:p w14:paraId="142207B9" w14:textId="3D484CD5" w:rsidR="00271E37" w:rsidRPr="00F73C68" w:rsidRDefault="00271E37">
            <w:pPr>
              <w:jc w:val="left"/>
            </w:pPr>
            <w:r w:rsidRPr="00F73C68">
              <w:t>Operating profit analysed as:</w:t>
            </w:r>
          </w:p>
        </w:tc>
        <w:tc>
          <w:tcPr>
            <w:tcW w:w="1134" w:type="dxa"/>
            <w:tcBorders>
              <w:top w:val="single" w:sz="4" w:space="0" w:color="000000"/>
            </w:tcBorders>
          </w:tcPr>
          <w:p w14:paraId="788F107B" w14:textId="77777777" w:rsidR="00271E37" w:rsidRPr="00F73C68" w:rsidRDefault="00271E37">
            <w:pPr>
              <w:rPr>
                <w:b/>
                <w:bCs/>
              </w:rPr>
            </w:pPr>
          </w:p>
        </w:tc>
        <w:tc>
          <w:tcPr>
            <w:tcW w:w="1134" w:type="dxa"/>
            <w:tcBorders>
              <w:top w:val="single" w:sz="4" w:space="0" w:color="000000"/>
            </w:tcBorders>
          </w:tcPr>
          <w:p w14:paraId="23783B71" w14:textId="77777777" w:rsidR="00271E37" w:rsidRPr="00F73C68" w:rsidRDefault="00271E37"/>
        </w:tc>
      </w:tr>
      <w:tr w:rsidR="00271E37" w:rsidRPr="005D44F0" w14:paraId="676A92B3" w14:textId="77777777">
        <w:trPr>
          <w:trHeight w:val="66"/>
        </w:trPr>
        <w:tc>
          <w:tcPr>
            <w:tcW w:w="7371" w:type="dxa"/>
          </w:tcPr>
          <w:p w14:paraId="7F645D00" w14:textId="77777777" w:rsidR="00271E37" w:rsidRPr="00F73C68" w:rsidRDefault="00271E37">
            <w:pPr>
              <w:jc w:val="left"/>
            </w:pPr>
            <w:r w:rsidRPr="00F73C68">
              <w:t>Adjusted operating profit</w:t>
            </w:r>
          </w:p>
        </w:tc>
        <w:tc>
          <w:tcPr>
            <w:tcW w:w="1134" w:type="dxa"/>
            <w:vAlign w:val="center"/>
          </w:tcPr>
          <w:p w14:paraId="4850CE99" w14:textId="77777777" w:rsidR="00271E37" w:rsidRPr="00F73C68" w:rsidRDefault="00271E37">
            <w:pPr>
              <w:rPr>
                <w:b/>
                <w:bCs/>
              </w:rPr>
            </w:pPr>
            <w:r>
              <w:rPr>
                <w:rFonts w:cs="Arial"/>
                <w:b/>
                <w:bCs/>
                <w:color w:val="000000"/>
                <w:szCs w:val="16"/>
              </w:rPr>
              <w:t xml:space="preserve">9,615 </w:t>
            </w:r>
          </w:p>
        </w:tc>
        <w:tc>
          <w:tcPr>
            <w:tcW w:w="1134" w:type="dxa"/>
            <w:vAlign w:val="center"/>
          </w:tcPr>
          <w:p w14:paraId="5F129853" w14:textId="77777777" w:rsidR="00271E37" w:rsidRPr="005D44F0" w:rsidRDefault="00271E37">
            <w:r>
              <w:rPr>
                <w:rFonts w:cs="Arial"/>
                <w:color w:val="000000"/>
                <w:szCs w:val="16"/>
              </w:rPr>
              <w:t xml:space="preserve">15,987 </w:t>
            </w:r>
          </w:p>
        </w:tc>
      </w:tr>
      <w:tr w:rsidR="00271E37" w:rsidRPr="005D44F0" w14:paraId="3D713C5A" w14:textId="77777777">
        <w:tc>
          <w:tcPr>
            <w:tcW w:w="7371" w:type="dxa"/>
            <w:tcBorders>
              <w:bottom w:val="single" w:sz="4" w:space="0" w:color="000000"/>
            </w:tcBorders>
          </w:tcPr>
          <w:p w14:paraId="7E8AC21A" w14:textId="77777777" w:rsidR="00271E37" w:rsidRPr="00F73C68" w:rsidRDefault="00271E37">
            <w:pPr>
              <w:jc w:val="left"/>
            </w:pPr>
            <w:r w:rsidRPr="00F73C68">
              <w:t>Adjusting items</w:t>
            </w:r>
          </w:p>
        </w:tc>
        <w:tc>
          <w:tcPr>
            <w:tcW w:w="1134" w:type="dxa"/>
            <w:tcBorders>
              <w:bottom w:val="single" w:sz="4" w:space="0" w:color="000000"/>
            </w:tcBorders>
            <w:vAlign w:val="center"/>
          </w:tcPr>
          <w:p w14:paraId="2C4560EC" w14:textId="77777777" w:rsidR="00271E37" w:rsidRPr="00F73C68" w:rsidRDefault="00271E37">
            <w:pPr>
              <w:rPr>
                <w:b/>
                <w:bCs/>
              </w:rPr>
            </w:pPr>
            <w:r>
              <w:rPr>
                <w:rFonts w:cs="Arial"/>
                <w:b/>
                <w:bCs/>
                <w:color w:val="000000"/>
                <w:szCs w:val="16"/>
              </w:rPr>
              <w:t xml:space="preserve">(2,078) </w:t>
            </w:r>
          </w:p>
        </w:tc>
        <w:tc>
          <w:tcPr>
            <w:tcW w:w="1134" w:type="dxa"/>
            <w:tcBorders>
              <w:bottom w:val="single" w:sz="4" w:space="0" w:color="000000"/>
            </w:tcBorders>
            <w:vAlign w:val="center"/>
          </w:tcPr>
          <w:p w14:paraId="7CA412C6" w14:textId="77777777" w:rsidR="00271E37" w:rsidRPr="005D44F0" w:rsidRDefault="00271E37">
            <w:r>
              <w:rPr>
                <w:rFonts w:cs="Arial"/>
                <w:color w:val="000000"/>
                <w:szCs w:val="16"/>
              </w:rPr>
              <w:t>(5,719)</w:t>
            </w:r>
          </w:p>
        </w:tc>
      </w:tr>
      <w:tr w:rsidR="00271E37" w:rsidRPr="005D44F0" w14:paraId="0887A291" w14:textId="77777777">
        <w:tc>
          <w:tcPr>
            <w:tcW w:w="7371" w:type="dxa"/>
            <w:tcBorders>
              <w:top w:val="single" w:sz="4" w:space="0" w:color="000000"/>
            </w:tcBorders>
          </w:tcPr>
          <w:p w14:paraId="3C251D71" w14:textId="19B85EE6" w:rsidR="00271E37" w:rsidRPr="00F73C68" w:rsidRDefault="00271E37">
            <w:pPr>
              <w:jc w:val="left"/>
              <w:rPr>
                <w:b/>
                <w:bCs/>
              </w:rPr>
            </w:pPr>
            <w:r w:rsidRPr="00F73C68">
              <w:rPr>
                <w:b/>
                <w:bCs/>
              </w:rPr>
              <w:t>Operating profit</w:t>
            </w:r>
          </w:p>
        </w:tc>
        <w:tc>
          <w:tcPr>
            <w:tcW w:w="1134" w:type="dxa"/>
            <w:tcBorders>
              <w:top w:val="single" w:sz="4" w:space="0" w:color="000000"/>
            </w:tcBorders>
            <w:vAlign w:val="center"/>
          </w:tcPr>
          <w:p w14:paraId="76E73C3C" w14:textId="77777777" w:rsidR="00271E37" w:rsidRPr="00F73C68" w:rsidRDefault="00271E37">
            <w:pPr>
              <w:rPr>
                <w:b/>
                <w:bCs/>
              </w:rPr>
            </w:pPr>
            <w:r>
              <w:rPr>
                <w:rFonts w:cs="Arial"/>
                <w:b/>
                <w:bCs/>
                <w:color w:val="000000"/>
                <w:szCs w:val="16"/>
              </w:rPr>
              <w:t xml:space="preserve">7,537 </w:t>
            </w:r>
          </w:p>
        </w:tc>
        <w:tc>
          <w:tcPr>
            <w:tcW w:w="1134" w:type="dxa"/>
            <w:tcBorders>
              <w:top w:val="single" w:sz="4" w:space="0" w:color="000000"/>
            </w:tcBorders>
            <w:vAlign w:val="center"/>
          </w:tcPr>
          <w:p w14:paraId="1FFEAEE1" w14:textId="77777777" w:rsidR="00271E37" w:rsidRPr="005D44F0" w:rsidRDefault="00271E37">
            <w:r>
              <w:rPr>
                <w:rFonts w:cs="Arial"/>
                <w:color w:val="000000"/>
                <w:szCs w:val="16"/>
              </w:rPr>
              <w:t xml:space="preserve">10,268 </w:t>
            </w:r>
          </w:p>
        </w:tc>
      </w:tr>
    </w:tbl>
    <w:p w14:paraId="56744A53" w14:textId="77777777" w:rsidR="00271E37" w:rsidRDefault="00271E37" w:rsidP="002E39D4"/>
    <w:p w14:paraId="46542E17" w14:textId="77777777" w:rsidR="00271E37" w:rsidRPr="00173836" w:rsidRDefault="00271E37">
      <w:pPr>
        <w:rPr>
          <w:b/>
          <w:bCs/>
          <w:i/>
          <w:iCs/>
        </w:rPr>
      </w:pPr>
      <w:r w:rsidRPr="00173836">
        <w:rPr>
          <w:b/>
          <w:bCs/>
          <w:i/>
          <w:iCs/>
        </w:rPr>
        <w:t>Other operating income</w:t>
      </w:r>
    </w:p>
    <w:tbl>
      <w:tblPr>
        <w:tblStyle w:val="tableDUL"/>
        <w:tblW w:w="9639" w:type="dxa"/>
        <w:tblLayout w:type="fixed"/>
        <w:tblLook w:val="04A0" w:firstRow="1" w:lastRow="0" w:firstColumn="1" w:lastColumn="0" w:noHBand="0" w:noVBand="1"/>
      </w:tblPr>
      <w:tblGrid>
        <w:gridCol w:w="7371"/>
        <w:gridCol w:w="1134"/>
        <w:gridCol w:w="1134"/>
      </w:tblGrid>
      <w:tr w:rsidR="00271E37" w:rsidRPr="00454905" w14:paraId="7116F965" w14:textId="77777777">
        <w:trPr>
          <w:trHeight w:hRule="exact" w:val="20"/>
        </w:trPr>
        <w:tc>
          <w:tcPr>
            <w:tcW w:w="7371" w:type="dxa"/>
            <w:tcBorders>
              <w:top w:val="nil"/>
              <w:left w:val="nil"/>
              <w:bottom w:val="nil"/>
              <w:right w:val="nil"/>
            </w:tcBorders>
          </w:tcPr>
          <w:p w14:paraId="2678FD53" w14:textId="77777777" w:rsidR="00271E37" w:rsidRDefault="00271E37">
            <w:pPr>
              <w:rPr>
                <w:sz w:val="2"/>
              </w:rPr>
            </w:pPr>
            <w:bookmarkStart w:id="35" w:name="_a2a9350a_5f0c_47f8_8b0c_1d97bec78981"/>
            <w:bookmarkStart w:id="36" w:name="_615803d9_3e4f_46ec_9626_45e37923f990"/>
            <w:bookmarkEnd w:id="35"/>
          </w:p>
        </w:tc>
        <w:tc>
          <w:tcPr>
            <w:tcW w:w="1134" w:type="dxa"/>
            <w:tcBorders>
              <w:top w:val="nil"/>
              <w:left w:val="nil"/>
              <w:bottom w:val="nil"/>
              <w:right w:val="nil"/>
            </w:tcBorders>
          </w:tcPr>
          <w:p w14:paraId="0A9B323F" w14:textId="77777777" w:rsidR="00271E37" w:rsidRDefault="00271E37">
            <w:pPr>
              <w:rPr>
                <w:sz w:val="2"/>
              </w:rPr>
            </w:pPr>
          </w:p>
        </w:tc>
        <w:tc>
          <w:tcPr>
            <w:tcW w:w="1134" w:type="dxa"/>
            <w:tcBorders>
              <w:top w:val="nil"/>
              <w:left w:val="nil"/>
              <w:bottom w:val="nil"/>
              <w:right w:val="nil"/>
            </w:tcBorders>
          </w:tcPr>
          <w:p w14:paraId="7EE34D3C" w14:textId="77777777" w:rsidR="00271E37" w:rsidRDefault="00271E37">
            <w:pPr>
              <w:rPr>
                <w:sz w:val="2"/>
              </w:rPr>
            </w:pPr>
          </w:p>
        </w:tc>
      </w:tr>
      <w:tr w:rsidR="00271E37" w:rsidRPr="00454905" w14:paraId="57229B99" w14:textId="77777777">
        <w:tc>
          <w:tcPr>
            <w:tcW w:w="7371" w:type="dxa"/>
            <w:tcBorders>
              <w:bottom w:val="nil"/>
            </w:tcBorders>
          </w:tcPr>
          <w:p w14:paraId="196A889C" w14:textId="77777777" w:rsidR="00271E37" w:rsidRPr="004F1A6B" w:rsidRDefault="00271E37">
            <w:pPr>
              <w:rPr>
                <w:i/>
                <w:iCs/>
              </w:rPr>
            </w:pPr>
          </w:p>
        </w:tc>
        <w:tc>
          <w:tcPr>
            <w:tcW w:w="1134" w:type="dxa"/>
            <w:tcBorders>
              <w:bottom w:val="nil"/>
            </w:tcBorders>
          </w:tcPr>
          <w:p w14:paraId="27079853" w14:textId="77777777" w:rsidR="00271E37" w:rsidRPr="00454905" w:rsidRDefault="00271E37">
            <w:pPr>
              <w:rPr>
                <w:b/>
                <w:bCs/>
              </w:rPr>
            </w:pPr>
            <w:r>
              <w:rPr>
                <w:b/>
                <w:bCs/>
              </w:rPr>
              <w:t>2026</w:t>
            </w:r>
          </w:p>
        </w:tc>
        <w:tc>
          <w:tcPr>
            <w:tcW w:w="1134" w:type="dxa"/>
            <w:tcBorders>
              <w:bottom w:val="nil"/>
            </w:tcBorders>
          </w:tcPr>
          <w:p w14:paraId="696B5ED9" w14:textId="77777777" w:rsidR="00271E37" w:rsidRPr="00454905" w:rsidRDefault="00271E37">
            <w:r>
              <w:t>2025</w:t>
            </w:r>
          </w:p>
        </w:tc>
      </w:tr>
      <w:tr w:rsidR="00271E37" w:rsidRPr="00454905" w14:paraId="1EA54209" w14:textId="77777777">
        <w:tc>
          <w:tcPr>
            <w:tcW w:w="7371" w:type="dxa"/>
            <w:tcBorders>
              <w:bottom w:val="single" w:sz="4" w:space="0" w:color="000000"/>
            </w:tcBorders>
          </w:tcPr>
          <w:p w14:paraId="65B82495" w14:textId="77777777" w:rsidR="00271E37" w:rsidRPr="004F1A6B" w:rsidRDefault="00271E37">
            <w:pPr>
              <w:jc w:val="left"/>
              <w:rPr>
                <w:i/>
                <w:iCs/>
              </w:rPr>
            </w:pPr>
            <w:r w:rsidRPr="004F1A6B">
              <w:rPr>
                <w:i/>
                <w:iCs/>
              </w:rPr>
              <w:t>Continuing operations</w:t>
            </w:r>
          </w:p>
        </w:tc>
        <w:tc>
          <w:tcPr>
            <w:tcW w:w="1134" w:type="dxa"/>
            <w:tcBorders>
              <w:bottom w:val="single" w:sz="4" w:space="0" w:color="000000"/>
            </w:tcBorders>
          </w:tcPr>
          <w:p w14:paraId="64604676" w14:textId="77777777" w:rsidR="00271E37" w:rsidRPr="00454905" w:rsidRDefault="00271E37">
            <w:pPr>
              <w:rPr>
                <w:b/>
                <w:bCs/>
              </w:rPr>
            </w:pPr>
            <w:r>
              <w:rPr>
                <w:b/>
                <w:bCs/>
              </w:rPr>
              <w:t>£000</w:t>
            </w:r>
          </w:p>
        </w:tc>
        <w:tc>
          <w:tcPr>
            <w:tcW w:w="1134" w:type="dxa"/>
            <w:tcBorders>
              <w:bottom w:val="single" w:sz="4" w:space="0" w:color="000000"/>
            </w:tcBorders>
          </w:tcPr>
          <w:p w14:paraId="5C7C1101" w14:textId="77777777" w:rsidR="00271E37" w:rsidRPr="00454905" w:rsidRDefault="00271E37">
            <w:r>
              <w:t>£000</w:t>
            </w:r>
          </w:p>
        </w:tc>
      </w:tr>
      <w:tr w:rsidR="00271E37" w:rsidRPr="00454905" w14:paraId="6D8802BB" w14:textId="77777777">
        <w:tc>
          <w:tcPr>
            <w:tcW w:w="7371" w:type="dxa"/>
            <w:tcBorders>
              <w:top w:val="single" w:sz="4" w:space="0" w:color="000000"/>
            </w:tcBorders>
            <w:vAlign w:val="bottom"/>
          </w:tcPr>
          <w:p w14:paraId="44E3119C" w14:textId="77777777" w:rsidR="00271E37" w:rsidRPr="00454905" w:rsidRDefault="00271E37">
            <w:pPr>
              <w:jc w:val="left"/>
            </w:pPr>
            <w:r>
              <w:rPr>
                <w:rFonts w:cs="Arial"/>
                <w:color w:val="000000"/>
                <w:szCs w:val="16"/>
              </w:rPr>
              <w:t>Profit/(loss) on disposal of property, plant and equipment</w:t>
            </w:r>
          </w:p>
        </w:tc>
        <w:tc>
          <w:tcPr>
            <w:tcW w:w="1134" w:type="dxa"/>
            <w:tcBorders>
              <w:top w:val="single" w:sz="4" w:space="0" w:color="000000"/>
            </w:tcBorders>
            <w:vAlign w:val="center"/>
          </w:tcPr>
          <w:p w14:paraId="56276C4E" w14:textId="77777777" w:rsidR="00271E37" w:rsidRPr="004F1A6B" w:rsidRDefault="00271E37">
            <w:r>
              <w:rPr>
                <w:rFonts w:cs="Arial"/>
                <w:b/>
                <w:bCs/>
                <w:color w:val="000000"/>
                <w:szCs w:val="16"/>
              </w:rPr>
              <w:t xml:space="preserve">2,946 </w:t>
            </w:r>
          </w:p>
        </w:tc>
        <w:tc>
          <w:tcPr>
            <w:tcW w:w="1134" w:type="dxa"/>
            <w:tcBorders>
              <w:top w:val="single" w:sz="4" w:space="0" w:color="000000"/>
            </w:tcBorders>
            <w:vAlign w:val="center"/>
          </w:tcPr>
          <w:p w14:paraId="4172D5FC" w14:textId="77777777" w:rsidR="00271E37" w:rsidRPr="004F1A6B" w:rsidRDefault="00271E37">
            <w:r>
              <w:rPr>
                <w:rFonts w:cs="Arial"/>
                <w:color w:val="000000"/>
                <w:szCs w:val="16"/>
              </w:rPr>
              <w:t>(24)</w:t>
            </w:r>
          </w:p>
        </w:tc>
      </w:tr>
      <w:tr w:rsidR="00271E37" w:rsidRPr="00454905" w14:paraId="0A059E14" w14:textId="77777777">
        <w:tc>
          <w:tcPr>
            <w:tcW w:w="7371" w:type="dxa"/>
            <w:tcBorders>
              <w:bottom w:val="nil"/>
            </w:tcBorders>
            <w:vAlign w:val="bottom"/>
          </w:tcPr>
          <w:p w14:paraId="15DDA624" w14:textId="77777777" w:rsidR="00271E37" w:rsidRPr="00454905" w:rsidRDefault="00271E37">
            <w:pPr>
              <w:jc w:val="left"/>
            </w:pPr>
            <w:r>
              <w:rPr>
                <w:rFonts w:cs="Arial"/>
                <w:color w:val="000000"/>
                <w:szCs w:val="16"/>
              </w:rPr>
              <w:t>Sub-lease rental income</w:t>
            </w:r>
          </w:p>
        </w:tc>
        <w:tc>
          <w:tcPr>
            <w:tcW w:w="1134" w:type="dxa"/>
            <w:tcBorders>
              <w:bottom w:val="nil"/>
            </w:tcBorders>
            <w:vAlign w:val="center"/>
          </w:tcPr>
          <w:p w14:paraId="733B5D43" w14:textId="77777777" w:rsidR="00271E37" w:rsidRPr="004F1A6B" w:rsidRDefault="00271E37">
            <w:r>
              <w:rPr>
                <w:rFonts w:cs="Arial"/>
                <w:b/>
                <w:bCs/>
                <w:color w:val="000000"/>
                <w:szCs w:val="16"/>
              </w:rPr>
              <w:t xml:space="preserve">742 </w:t>
            </w:r>
          </w:p>
        </w:tc>
        <w:tc>
          <w:tcPr>
            <w:tcW w:w="1134" w:type="dxa"/>
            <w:tcBorders>
              <w:bottom w:val="nil"/>
            </w:tcBorders>
            <w:vAlign w:val="center"/>
          </w:tcPr>
          <w:p w14:paraId="4775B74B" w14:textId="77777777" w:rsidR="00271E37" w:rsidRPr="004F1A6B" w:rsidRDefault="00271E37">
            <w:r>
              <w:rPr>
                <w:rFonts w:cs="Arial"/>
                <w:color w:val="000000"/>
                <w:szCs w:val="16"/>
              </w:rPr>
              <w:t xml:space="preserve">330 </w:t>
            </w:r>
          </w:p>
        </w:tc>
      </w:tr>
      <w:tr w:rsidR="00271E37" w:rsidRPr="00454905" w14:paraId="0EEE07B4" w14:textId="77777777">
        <w:tc>
          <w:tcPr>
            <w:tcW w:w="7371" w:type="dxa"/>
            <w:tcBorders>
              <w:bottom w:val="nil"/>
            </w:tcBorders>
            <w:vAlign w:val="bottom"/>
          </w:tcPr>
          <w:p w14:paraId="148E12FA" w14:textId="77777777" w:rsidR="00271E37" w:rsidRDefault="00271E37">
            <w:pPr>
              <w:jc w:val="left"/>
              <w:rPr>
                <w:rFonts w:cs="Arial"/>
                <w:color w:val="000000"/>
                <w:szCs w:val="16"/>
              </w:rPr>
            </w:pPr>
            <w:r w:rsidRPr="006E787A">
              <w:rPr>
                <w:rFonts w:cs="Arial"/>
                <w:color w:val="000000"/>
                <w:szCs w:val="16"/>
              </w:rPr>
              <w:t>Recycling of cumulative foreign currency translation differences on dissolution of Huizhou</w:t>
            </w:r>
          </w:p>
        </w:tc>
        <w:tc>
          <w:tcPr>
            <w:tcW w:w="1134" w:type="dxa"/>
            <w:tcBorders>
              <w:bottom w:val="nil"/>
            </w:tcBorders>
            <w:vAlign w:val="center"/>
          </w:tcPr>
          <w:p w14:paraId="297AACA8" w14:textId="77777777" w:rsidR="00271E37" w:rsidRDefault="00271E37">
            <w:pPr>
              <w:rPr>
                <w:rFonts w:cs="Arial"/>
                <w:b/>
                <w:bCs/>
                <w:color w:val="000000"/>
                <w:szCs w:val="16"/>
              </w:rPr>
            </w:pPr>
            <w:r>
              <w:rPr>
                <w:rFonts w:cs="Arial"/>
                <w:b/>
                <w:bCs/>
                <w:color w:val="000000"/>
                <w:szCs w:val="16"/>
              </w:rPr>
              <w:t>405</w:t>
            </w:r>
          </w:p>
        </w:tc>
        <w:tc>
          <w:tcPr>
            <w:tcW w:w="1134" w:type="dxa"/>
            <w:tcBorders>
              <w:bottom w:val="nil"/>
            </w:tcBorders>
            <w:vAlign w:val="center"/>
          </w:tcPr>
          <w:p w14:paraId="623E6678" w14:textId="77777777" w:rsidR="00271E37" w:rsidRDefault="00271E37">
            <w:pPr>
              <w:rPr>
                <w:rFonts w:cs="Arial"/>
                <w:color w:val="000000"/>
                <w:szCs w:val="16"/>
              </w:rPr>
            </w:pPr>
            <w:r>
              <w:rPr>
                <w:rFonts w:cs="Arial"/>
                <w:color w:val="000000"/>
                <w:szCs w:val="16"/>
              </w:rPr>
              <w:t>-</w:t>
            </w:r>
          </w:p>
        </w:tc>
      </w:tr>
      <w:tr w:rsidR="00271E37" w:rsidRPr="00454905" w14:paraId="1C83D3EA" w14:textId="77777777">
        <w:tc>
          <w:tcPr>
            <w:tcW w:w="7371" w:type="dxa"/>
            <w:tcBorders>
              <w:top w:val="nil"/>
              <w:bottom w:val="nil"/>
            </w:tcBorders>
            <w:vAlign w:val="bottom"/>
          </w:tcPr>
          <w:p w14:paraId="5CAA2C67" w14:textId="77777777" w:rsidR="00271E37" w:rsidRPr="00454905" w:rsidRDefault="00271E37">
            <w:pPr>
              <w:jc w:val="left"/>
            </w:pPr>
            <w:r>
              <w:rPr>
                <w:rFonts w:cs="Arial"/>
                <w:color w:val="000000"/>
                <w:szCs w:val="16"/>
              </w:rPr>
              <w:t>Grant income</w:t>
            </w:r>
          </w:p>
        </w:tc>
        <w:tc>
          <w:tcPr>
            <w:tcW w:w="1134" w:type="dxa"/>
            <w:tcBorders>
              <w:top w:val="nil"/>
              <w:bottom w:val="nil"/>
            </w:tcBorders>
            <w:vAlign w:val="center"/>
          </w:tcPr>
          <w:p w14:paraId="0776451C" w14:textId="77777777" w:rsidR="00271E37" w:rsidRPr="004F1A6B" w:rsidRDefault="00271E37">
            <w:pPr>
              <w:rPr>
                <w:rFonts w:cs="Arial"/>
                <w:color w:val="000000"/>
                <w:szCs w:val="16"/>
              </w:rPr>
            </w:pPr>
            <w:r>
              <w:rPr>
                <w:rFonts w:cs="Arial"/>
                <w:b/>
                <w:bCs/>
                <w:color w:val="000000"/>
                <w:szCs w:val="16"/>
              </w:rPr>
              <w:t xml:space="preserve">66 </w:t>
            </w:r>
          </w:p>
        </w:tc>
        <w:tc>
          <w:tcPr>
            <w:tcW w:w="1134" w:type="dxa"/>
            <w:tcBorders>
              <w:top w:val="nil"/>
              <w:bottom w:val="nil"/>
            </w:tcBorders>
            <w:vAlign w:val="center"/>
          </w:tcPr>
          <w:p w14:paraId="5F4606E8" w14:textId="77777777" w:rsidR="00271E37" w:rsidRPr="004F1A6B" w:rsidRDefault="00271E37">
            <w:r>
              <w:rPr>
                <w:rFonts w:cs="Arial"/>
                <w:color w:val="000000"/>
                <w:szCs w:val="16"/>
              </w:rPr>
              <w:t xml:space="preserve">66 </w:t>
            </w:r>
          </w:p>
        </w:tc>
      </w:tr>
      <w:tr w:rsidR="00271E37" w:rsidRPr="00454905" w14:paraId="1BC5EB62" w14:textId="77777777">
        <w:tc>
          <w:tcPr>
            <w:tcW w:w="7371" w:type="dxa"/>
            <w:tcBorders>
              <w:top w:val="nil"/>
              <w:bottom w:val="single" w:sz="4" w:space="0" w:color="000000"/>
            </w:tcBorders>
            <w:vAlign w:val="bottom"/>
          </w:tcPr>
          <w:p w14:paraId="0865857D" w14:textId="77777777" w:rsidR="00271E37" w:rsidRPr="00454905" w:rsidRDefault="00271E37">
            <w:pPr>
              <w:jc w:val="left"/>
            </w:pPr>
            <w:r>
              <w:rPr>
                <w:rFonts w:cs="Arial"/>
                <w:color w:val="000000"/>
                <w:szCs w:val="16"/>
              </w:rPr>
              <w:t>Other</w:t>
            </w:r>
          </w:p>
        </w:tc>
        <w:tc>
          <w:tcPr>
            <w:tcW w:w="1134" w:type="dxa"/>
            <w:tcBorders>
              <w:top w:val="nil"/>
              <w:bottom w:val="single" w:sz="4" w:space="0" w:color="000000"/>
            </w:tcBorders>
            <w:vAlign w:val="center"/>
          </w:tcPr>
          <w:p w14:paraId="39BEB8D8" w14:textId="77777777" w:rsidR="00271E37" w:rsidRPr="004F1A6B" w:rsidRDefault="00271E37">
            <w:r>
              <w:rPr>
                <w:rFonts w:cs="Arial"/>
                <w:b/>
                <w:bCs/>
                <w:color w:val="000000"/>
                <w:szCs w:val="16"/>
              </w:rPr>
              <w:t xml:space="preserve">8 </w:t>
            </w:r>
          </w:p>
        </w:tc>
        <w:tc>
          <w:tcPr>
            <w:tcW w:w="1134" w:type="dxa"/>
            <w:tcBorders>
              <w:top w:val="nil"/>
              <w:bottom w:val="single" w:sz="4" w:space="0" w:color="000000"/>
            </w:tcBorders>
            <w:vAlign w:val="center"/>
          </w:tcPr>
          <w:p w14:paraId="64C6054B" w14:textId="77777777" w:rsidR="00271E37" w:rsidRPr="004F1A6B" w:rsidRDefault="00271E37">
            <w:r>
              <w:rPr>
                <w:rFonts w:cs="Arial"/>
                <w:color w:val="000000"/>
                <w:szCs w:val="16"/>
              </w:rPr>
              <w:t xml:space="preserve">18 </w:t>
            </w:r>
          </w:p>
        </w:tc>
      </w:tr>
      <w:tr w:rsidR="00271E37" w:rsidRPr="00454905" w14:paraId="2EACA6E5" w14:textId="77777777">
        <w:tc>
          <w:tcPr>
            <w:tcW w:w="7371" w:type="dxa"/>
            <w:tcBorders>
              <w:top w:val="single" w:sz="4" w:space="0" w:color="000000"/>
            </w:tcBorders>
          </w:tcPr>
          <w:p w14:paraId="12E3DFFA" w14:textId="77777777" w:rsidR="00271E37" w:rsidRPr="00454905" w:rsidRDefault="00271E37">
            <w:pPr>
              <w:jc w:val="left"/>
            </w:pPr>
          </w:p>
        </w:tc>
        <w:tc>
          <w:tcPr>
            <w:tcW w:w="1134" w:type="dxa"/>
            <w:tcBorders>
              <w:top w:val="single" w:sz="4" w:space="0" w:color="000000"/>
            </w:tcBorders>
            <w:vAlign w:val="center"/>
          </w:tcPr>
          <w:p w14:paraId="4B143756" w14:textId="77777777" w:rsidR="00271E37" w:rsidRPr="004F1A6B" w:rsidRDefault="00271E37">
            <w:r>
              <w:rPr>
                <w:rFonts w:cs="Arial"/>
                <w:b/>
                <w:bCs/>
                <w:color w:val="000000"/>
                <w:szCs w:val="16"/>
              </w:rPr>
              <w:t xml:space="preserve">4,167 </w:t>
            </w:r>
          </w:p>
        </w:tc>
        <w:tc>
          <w:tcPr>
            <w:tcW w:w="1134" w:type="dxa"/>
            <w:tcBorders>
              <w:top w:val="single" w:sz="4" w:space="0" w:color="000000"/>
            </w:tcBorders>
            <w:vAlign w:val="center"/>
          </w:tcPr>
          <w:p w14:paraId="619BBCF3" w14:textId="77777777" w:rsidR="00271E37" w:rsidRPr="004F1A6B" w:rsidRDefault="00271E37">
            <w:r>
              <w:rPr>
                <w:rFonts w:cs="Arial"/>
                <w:color w:val="000000"/>
                <w:szCs w:val="16"/>
              </w:rPr>
              <w:t xml:space="preserve">390 </w:t>
            </w:r>
          </w:p>
        </w:tc>
      </w:tr>
      <w:bookmarkEnd w:id="36"/>
    </w:tbl>
    <w:p w14:paraId="308B7942" w14:textId="77777777" w:rsidR="00271E37" w:rsidRDefault="00271E37"/>
    <w:p w14:paraId="71B79930" w14:textId="77777777" w:rsidR="00271E37" w:rsidRPr="00B438FE" w:rsidRDefault="00271E37" w:rsidP="002E39D4">
      <w:pPr>
        <w:rPr>
          <w:b/>
          <w:bCs/>
          <w:i/>
          <w:iCs/>
        </w:rPr>
      </w:pPr>
      <w:r w:rsidRPr="00B438FE">
        <w:rPr>
          <w:b/>
          <w:bCs/>
          <w:i/>
          <w:iCs/>
        </w:rPr>
        <w:t>Auditors’ remuneration</w:t>
      </w:r>
    </w:p>
    <w:tbl>
      <w:tblPr>
        <w:tblStyle w:val="tableDUL"/>
        <w:tblW w:w="9639" w:type="dxa"/>
        <w:tblLayout w:type="fixed"/>
        <w:tblLook w:val="04A0" w:firstRow="1" w:lastRow="0" w:firstColumn="1" w:lastColumn="0" w:noHBand="0" w:noVBand="1"/>
      </w:tblPr>
      <w:tblGrid>
        <w:gridCol w:w="7371"/>
        <w:gridCol w:w="1134"/>
        <w:gridCol w:w="1134"/>
      </w:tblGrid>
      <w:tr w:rsidR="00271E37" w:rsidRPr="00B438FE" w14:paraId="5FFFAA47" w14:textId="77777777">
        <w:tc>
          <w:tcPr>
            <w:tcW w:w="7371" w:type="dxa"/>
            <w:tcBorders>
              <w:bottom w:val="nil"/>
            </w:tcBorders>
          </w:tcPr>
          <w:p w14:paraId="2B7CB9D4" w14:textId="77777777" w:rsidR="00271E37" w:rsidRPr="00B438FE" w:rsidRDefault="00271E37" w:rsidP="00B438FE"/>
        </w:tc>
        <w:tc>
          <w:tcPr>
            <w:tcW w:w="1134" w:type="dxa"/>
            <w:tcBorders>
              <w:bottom w:val="nil"/>
            </w:tcBorders>
          </w:tcPr>
          <w:p w14:paraId="6AF1C95D" w14:textId="77777777" w:rsidR="00271E37" w:rsidRPr="00B438FE" w:rsidRDefault="00271E37" w:rsidP="00B438FE">
            <w:pPr>
              <w:rPr>
                <w:b/>
                <w:bCs/>
              </w:rPr>
            </w:pPr>
            <w:r>
              <w:rPr>
                <w:b/>
                <w:bCs/>
              </w:rPr>
              <w:t>2026</w:t>
            </w:r>
          </w:p>
        </w:tc>
        <w:tc>
          <w:tcPr>
            <w:tcW w:w="1134" w:type="dxa"/>
            <w:tcBorders>
              <w:bottom w:val="nil"/>
            </w:tcBorders>
          </w:tcPr>
          <w:p w14:paraId="58C6DC56" w14:textId="77777777" w:rsidR="00271E37" w:rsidRPr="00B438FE" w:rsidRDefault="00271E37" w:rsidP="00B438FE">
            <w:r>
              <w:t>2025</w:t>
            </w:r>
          </w:p>
        </w:tc>
      </w:tr>
      <w:tr w:rsidR="00271E37" w:rsidRPr="00B438FE" w14:paraId="6C45219D" w14:textId="77777777" w:rsidTr="00B438FE">
        <w:tc>
          <w:tcPr>
            <w:tcW w:w="7371" w:type="dxa"/>
            <w:tcBorders>
              <w:bottom w:val="single" w:sz="4" w:space="0" w:color="000000"/>
            </w:tcBorders>
          </w:tcPr>
          <w:p w14:paraId="6E345A3B" w14:textId="77777777" w:rsidR="00271E37" w:rsidRPr="00B438FE" w:rsidRDefault="00271E37" w:rsidP="00B438FE"/>
        </w:tc>
        <w:tc>
          <w:tcPr>
            <w:tcW w:w="1134" w:type="dxa"/>
            <w:tcBorders>
              <w:bottom w:val="single" w:sz="4" w:space="0" w:color="000000"/>
            </w:tcBorders>
          </w:tcPr>
          <w:p w14:paraId="69766D9C" w14:textId="77777777" w:rsidR="00271E37" w:rsidRPr="00B438FE" w:rsidRDefault="00271E37" w:rsidP="00B438FE">
            <w:pPr>
              <w:rPr>
                <w:b/>
                <w:bCs/>
              </w:rPr>
            </w:pPr>
            <w:r>
              <w:rPr>
                <w:b/>
                <w:bCs/>
              </w:rPr>
              <w:t>£000</w:t>
            </w:r>
          </w:p>
        </w:tc>
        <w:tc>
          <w:tcPr>
            <w:tcW w:w="1134" w:type="dxa"/>
            <w:tcBorders>
              <w:bottom w:val="single" w:sz="4" w:space="0" w:color="000000"/>
            </w:tcBorders>
          </w:tcPr>
          <w:p w14:paraId="7F57F453" w14:textId="77777777" w:rsidR="00271E37" w:rsidRPr="00B438FE" w:rsidRDefault="00271E37" w:rsidP="00B438FE">
            <w:r>
              <w:t>£000</w:t>
            </w:r>
          </w:p>
        </w:tc>
      </w:tr>
      <w:tr w:rsidR="00271E37" w:rsidRPr="00B438FE" w14:paraId="1445DC32" w14:textId="77777777" w:rsidTr="00B438FE">
        <w:tc>
          <w:tcPr>
            <w:tcW w:w="7371" w:type="dxa"/>
            <w:tcBorders>
              <w:top w:val="single" w:sz="4" w:space="0" w:color="000000"/>
            </w:tcBorders>
          </w:tcPr>
          <w:p w14:paraId="332781D7" w14:textId="77777777" w:rsidR="00271E37" w:rsidRPr="00B438FE" w:rsidRDefault="00271E37" w:rsidP="00B438FE">
            <w:pPr>
              <w:jc w:val="left"/>
            </w:pPr>
            <w:r w:rsidRPr="00B438FE">
              <w:t>Amounts receivable by auditor and its associates in respect of:</w:t>
            </w:r>
          </w:p>
        </w:tc>
        <w:tc>
          <w:tcPr>
            <w:tcW w:w="1134" w:type="dxa"/>
            <w:tcBorders>
              <w:top w:val="single" w:sz="4" w:space="0" w:color="000000"/>
            </w:tcBorders>
          </w:tcPr>
          <w:p w14:paraId="0DACEE0C" w14:textId="77777777" w:rsidR="00271E37" w:rsidRPr="00B438FE" w:rsidRDefault="00271E37" w:rsidP="000923EA">
            <w:pPr>
              <w:rPr>
                <w:b/>
                <w:bCs/>
              </w:rPr>
            </w:pPr>
          </w:p>
        </w:tc>
        <w:tc>
          <w:tcPr>
            <w:tcW w:w="1134" w:type="dxa"/>
            <w:tcBorders>
              <w:top w:val="single" w:sz="4" w:space="0" w:color="000000"/>
            </w:tcBorders>
          </w:tcPr>
          <w:p w14:paraId="3E350D23" w14:textId="77777777" w:rsidR="00271E37" w:rsidRPr="00B438FE" w:rsidRDefault="00271E37" w:rsidP="000923EA"/>
        </w:tc>
      </w:tr>
      <w:tr w:rsidR="00271E37" w:rsidRPr="00B438FE" w14:paraId="3A9BFC07" w14:textId="77777777">
        <w:tc>
          <w:tcPr>
            <w:tcW w:w="7371" w:type="dxa"/>
          </w:tcPr>
          <w:p w14:paraId="571D33E4" w14:textId="77777777" w:rsidR="00271E37" w:rsidRPr="00B438FE" w:rsidRDefault="00271E37">
            <w:pPr>
              <w:jc w:val="left"/>
            </w:pPr>
            <w:r w:rsidRPr="00B438FE">
              <w:t>Audit of these financial statements</w:t>
            </w:r>
          </w:p>
        </w:tc>
        <w:tc>
          <w:tcPr>
            <w:tcW w:w="1134" w:type="dxa"/>
            <w:vAlign w:val="center"/>
          </w:tcPr>
          <w:p w14:paraId="165CA7D8" w14:textId="0B66C423" w:rsidR="00271E37" w:rsidRPr="004955F2" w:rsidRDefault="00271E37">
            <w:pPr>
              <w:rPr>
                <w:b/>
                <w:bCs/>
              </w:rPr>
            </w:pPr>
            <w:r>
              <w:rPr>
                <w:rFonts w:cs="Arial"/>
                <w:b/>
                <w:bCs/>
                <w:color w:val="000000"/>
                <w:szCs w:val="16"/>
              </w:rPr>
              <w:t>1,08</w:t>
            </w:r>
            <w:r w:rsidR="00250873">
              <w:rPr>
                <w:rFonts w:cs="Arial"/>
                <w:b/>
                <w:bCs/>
                <w:color w:val="000000"/>
                <w:szCs w:val="16"/>
              </w:rPr>
              <w:t>7</w:t>
            </w:r>
            <w:r>
              <w:rPr>
                <w:rFonts w:cs="Arial"/>
                <w:b/>
                <w:bCs/>
                <w:color w:val="000000"/>
                <w:szCs w:val="16"/>
              </w:rPr>
              <w:t xml:space="preserve"> </w:t>
            </w:r>
          </w:p>
        </w:tc>
        <w:tc>
          <w:tcPr>
            <w:tcW w:w="1134" w:type="dxa"/>
            <w:vAlign w:val="center"/>
          </w:tcPr>
          <w:p w14:paraId="7B9FC02A" w14:textId="77777777" w:rsidR="00271E37" w:rsidRPr="00705DAF" w:rsidRDefault="00271E37">
            <w:r>
              <w:rPr>
                <w:rFonts w:cs="Arial"/>
                <w:color w:val="000000"/>
                <w:szCs w:val="16"/>
              </w:rPr>
              <w:t xml:space="preserve">1,406 </w:t>
            </w:r>
          </w:p>
        </w:tc>
      </w:tr>
      <w:tr w:rsidR="00271E37" w:rsidRPr="00B438FE" w14:paraId="29F5263A" w14:textId="77777777">
        <w:tc>
          <w:tcPr>
            <w:tcW w:w="7371" w:type="dxa"/>
          </w:tcPr>
          <w:p w14:paraId="0D205A42" w14:textId="77777777" w:rsidR="00271E37" w:rsidRPr="00B438FE" w:rsidRDefault="00271E37">
            <w:pPr>
              <w:jc w:val="left"/>
            </w:pPr>
            <w:r w:rsidRPr="00B438FE">
              <w:t>Audit of financial statements of subsidiaries pursuant to legislation</w:t>
            </w:r>
          </w:p>
        </w:tc>
        <w:tc>
          <w:tcPr>
            <w:tcW w:w="1134" w:type="dxa"/>
            <w:vAlign w:val="center"/>
          </w:tcPr>
          <w:p w14:paraId="2D3354EB" w14:textId="77777777" w:rsidR="00271E37" w:rsidRPr="004955F2" w:rsidRDefault="00271E37">
            <w:pPr>
              <w:rPr>
                <w:b/>
                <w:bCs/>
              </w:rPr>
            </w:pPr>
            <w:r>
              <w:rPr>
                <w:rFonts w:cs="Arial"/>
                <w:b/>
                <w:bCs/>
                <w:color w:val="000000"/>
                <w:szCs w:val="16"/>
              </w:rPr>
              <w:t> </w:t>
            </w:r>
          </w:p>
        </w:tc>
        <w:tc>
          <w:tcPr>
            <w:tcW w:w="1134" w:type="dxa"/>
            <w:vAlign w:val="center"/>
          </w:tcPr>
          <w:p w14:paraId="254D8507" w14:textId="77777777" w:rsidR="00271E37" w:rsidRPr="00705DAF" w:rsidRDefault="00271E37">
            <w:r>
              <w:rPr>
                <w:rFonts w:cs="Arial"/>
                <w:color w:val="000000"/>
                <w:szCs w:val="16"/>
              </w:rPr>
              <w:t> </w:t>
            </w:r>
          </w:p>
        </w:tc>
      </w:tr>
      <w:tr w:rsidR="00271E37" w:rsidRPr="00B438FE" w14:paraId="6A2E4C34" w14:textId="77777777">
        <w:tc>
          <w:tcPr>
            <w:tcW w:w="7371" w:type="dxa"/>
          </w:tcPr>
          <w:p w14:paraId="3CC839E4" w14:textId="77777777" w:rsidR="00271E37" w:rsidRPr="00B438FE" w:rsidRDefault="00271E37">
            <w:pPr>
              <w:jc w:val="left"/>
            </w:pPr>
            <w:r w:rsidRPr="00B438FE">
              <w:t>– Overseas subsidiaries</w:t>
            </w:r>
          </w:p>
        </w:tc>
        <w:tc>
          <w:tcPr>
            <w:tcW w:w="1134" w:type="dxa"/>
            <w:vAlign w:val="center"/>
          </w:tcPr>
          <w:p w14:paraId="6861A9DB" w14:textId="77777777" w:rsidR="00271E37" w:rsidRPr="004955F2" w:rsidRDefault="00271E37">
            <w:pPr>
              <w:rPr>
                <w:b/>
                <w:bCs/>
              </w:rPr>
            </w:pPr>
            <w:r>
              <w:rPr>
                <w:rFonts w:cs="Arial"/>
                <w:b/>
                <w:bCs/>
                <w:color w:val="000000"/>
                <w:szCs w:val="16"/>
              </w:rPr>
              <w:t xml:space="preserve">73 </w:t>
            </w:r>
          </w:p>
        </w:tc>
        <w:tc>
          <w:tcPr>
            <w:tcW w:w="1134" w:type="dxa"/>
            <w:vAlign w:val="center"/>
          </w:tcPr>
          <w:p w14:paraId="05BE2216" w14:textId="77777777" w:rsidR="00271E37" w:rsidRPr="00705DAF" w:rsidRDefault="00271E37">
            <w:r>
              <w:rPr>
                <w:rFonts w:cs="Arial"/>
                <w:color w:val="000000"/>
                <w:szCs w:val="16"/>
              </w:rPr>
              <w:t xml:space="preserve">78 </w:t>
            </w:r>
          </w:p>
        </w:tc>
      </w:tr>
      <w:tr w:rsidR="00271E37" w:rsidRPr="00B438FE" w14:paraId="0BF5B95C" w14:textId="77777777">
        <w:tc>
          <w:tcPr>
            <w:tcW w:w="7371" w:type="dxa"/>
            <w:tcBorders>
              <w:bottom w:val="single" w:sz="4" w:space="0" w:color="auto"/>
            </w:tcBorders>
          </w:tcPr>
          <w:p w14:paraId="0D2E5929" w14:textId="511D5706" w:rsidR="00271E37" w:rsidRPr="00B438FE" w:rsidRDefault="00271E37">
            <w:pPr>
              <w:jc w:val="left"/>
            </w:pPr>
            <w:r w:rsidRPr="00B438FE">
              <w:t>Other audit</w:t>
            </w:r>
            <w:r w:rsidR="008B4CAE">
              <w:t>-</w:t>
            </w:r>
            <w:r w:rsidRPr="00B438FE">
              <w:t>related assurance services</w:t>
            </w:r>
          </w:p>
        </w:tc>
        <w:tc>
          <w:tcPr>
            <w:tcW w:w="1134" w:type="dxa"/>
            <w:tcBorders>
              <w:bottom w:val="single" w:sz="4" w:space="0" w:color="auto"/>
            </w:tcBorders>
            <w:vAlign w:val="center"/>
          </w:tcPr>
          <w:p w14:paraId="461F2D72" w14:textId="28A6DA73" w:rsidR="00271E37" w:rsidRPr="004955F2" w:rsidRDefault="00271E37">
            <w:pPr>
              <w:rPr>
                <w:b/>
                <w:bCs/>
              </w:rPr>
            </w:pPr>
            <w:r>
              <w:rPr>
                <w:rFonts w:cs="Arial"/>
                <w:b/>
                <w:bCs/>
                <w:color w:val="000000"/>
                <w:szCs w:val="16"/>
              </w:rPr>
              <w:t xml:space="preserve"> </w:t>
            </w:r>
            <w:r w:rsidR="009B52AC">
              <w:rPr>
                <w:rFonts w:cs="Arial"/>
                <w:b/>
                <w:bCs/>
                <w:color w:val="000000"/>
                <w:szCs w:val="16"/>
              </w:rPr>
              <w:t>1</w:t>
            </w:r>
            <w:r>
              <w:rPr>
                <w:rFonts w:cs="Arial"/>
                <w:b/>
                <w:bCs/>
                <w:color w:val="000000"/>
                <w:szCs w:val="16"/>
              </w:rPr>
              <w:t xml:space="preserve"> </w:t>
            </w:r>
          </w:p>
        </w:tc>
        <w:tc>
          <w:tcPr>
            <w:tcW w:w="1134" w:type="dxa"/>
            <w:tcBorders>
              <w:bottom w:val="single" w:sz="4" w:space="0" w:color="auto"/>
            </w:tcBorders>
            <w:vAlign w:val="center"/>
          </w:tcPr>
          <w:p w14:paraId="351F470E" w14:textId="77777777" w:rsidR="00271E37" w:rsidRPr="00705DAF" w:rsidRDefault="00271E37">
            <w:r>
              <w:rPr>
                <w:rFonts w:cs="Arial"/>
                <w:color w:val="000000"/>
                <w:szCs w:val="16"/>
              </w:rPr>
              <w:t xml:space="preserve">96 </w:t>
            </w:r>
          </w:p>
        </w:tc>
      </w:tr>
      <w:tr w:rsidR="00271E37" w:rsidRPr="00B438FE" w14:paraId="1B2B66AE" w14:textId="77777777">
        <w:tc>
          <w:tcPr>
            <w:tcW w:w="7371" w:type="dxa"/>
            <w:tcBorders>
              <w:top w:val="single" w:sz="4" w:space="0" w:color="auto"/>
              <w:bottom w:val="single" w:sz="12" w:space="0" w:color="auto"/>
            </w:tcBorders>
          </w:tcPr>
          <w:p w14:paraId="6CD4A6A8" w14:textId="77777777" w:rsidR="00271E37" w:rsidRPr="00B438FE" w:rsidRDefault="00271E37"/>
        </w:tc>
        <w:tc>
          <w:tcPr>
            <w:tcW w:w="1134" w:type="dxa"/>
            <w:tcBorders>
              <w:top w:val="single" w:sz="4" w:space="0" w:color="auto"/>
              <w:bottom w:val="single" w:sz="12" w:space="0" w:color="auto"/>
            </w:tcBorders>
            <w:vAlign w:val="center"/>
          </w:tcPr>
          <w:p w14:paraId="350A69A0" w14:textId="77777777" w:rsidR="00271E37" w:rsidRDefault="00271E37">
            <w:pPr>
              <w:rPr>
                <w:rFonts w:cs="Arial"/>
                <w:b/>
                <w:bCs/>
                <w:color w:val="000000"/>
                <w:szCs w:val="16"/>
              </w:rPr>
            </w:pPr>
            <w:r>
              <w:rPr>
                <w:rFonts w:cs="Arial"/>
                <w:b/>
                <w:bCs/>
                <w:color w:val="000000"/>
                <w:szCs w:val="16"/>
              </w:rPr>
              <w:t>1,161</w:t>
            </w:r>
          </w:p>
        </w:tc>
        <w:tc>
          <w:tcPr>
            <w:tcW w:w="1134" w:type="dxa"/>
            <w:tcBorders>
              <w:top w:val="single" w:sz="4" w:space="0" w:color="auto"/>
              <w:bottom w:val="single" w:sz="12" w:space="0" w:color="auto"/>
            </w:tcBorders>
            <w:vAlign w:val="center"/>
          </w:tcPr>
          <w:p w14:paraId="6B82FCDC" w14:textId="77777777" w:rsidR="00271E37" w:rsidRDefault="00271E37">
            <w:pPr>
              <w:rPr>
                <w:rFonts w:cs="Arial"/>
                <w:color w:val="000000"/>
                <w:szCs w:val="16"/>
              </w:rPr>
            </w:pPr>
            <w:r>
              <w:rPr>
                <w:rFonts w:cs="Arial"/>
                <w:color w:val="000000"/>
                <w:szCs w:val="16"/>
              </w:rPr>
              <w:t>1,580</w:t>
            </w:r>
          </w:p>
        </w:tc>
      </w:tr>
    </w:tbl>
    <w:p w14:paraId="6B0EE445" w14:textId="77777777" w:rsidR="00271E37" w:rsidRDefault="00271E37" w:rsidP="002E39D4"/>
    <w:p w14:paraId="35581AB6" w14:textId="77777777" w:rsidR="00271E37" w:rsidRPr="001D424C" w:rsidRDefault="00271E37">
      <w:pPr>
        <w:pStyle w:val="Heading2"/>
      </w:pPr>
      <w:r w:rsidRPr="00D806DC">
        <w:t>4 Discontinued operations</w:t>
      </w:r>
    </w:p>
    <w:p w14:paraId="10058479" w14:textId="77777777" w:rsidR="00271E37" w:rsidRDefault="00271E37" w:rsidP="002E39D4"/>
    <w:p w14:paraId="3EB7CCF4" w14:textId="4A57807A" w:rsidR="00271E37" w:rsidRPr="00D806DC" w:rsidRDefault="00271E37">
      <w:r w:rsidRPr="00D806DC">
        <w:t xml:space="preserve">On 30 May 2025, the Group completed the sale of its wholly owned subsidiary, </w:t>
      </w:r>
      <w:r w:rsidR="00895EB7">
        <w:t xml:space="preserve">IG </w:t>
      </w:r>
      <w:r w:rsidRPr="00D806DC">
        <w:t>Design Group Americas, Inc., the holding company of the Group’s US division (DG Americas), to HUK 168 Limited, a special purpose vehicle owned by the Hilco Capital group (the ‘buyer’).</w:t>
      </w:r>
    </w:p>
    <w:p w14:paraId="2C3E92EB" w14:textId="77777777" w:rsidR="00271E37" w:rsidRPr="00D806DC" w:rsidRDefault="00271E37"/>
    <w:p w14:paraId="779718E2" w14:textId="3DA52B69" w:rsidR="00271E37" w:rsidRPr="00091C79" w:rsidRDefault="00271E37">
      <w:r w:rsidRPr="00D806DC">
        <w:t>Under the terms of the share purchase agreement, the Company received a nominal upfront payment of $1 and</w:t>
      </w:r>
      <w:r w:rsidR="00AF57F1">
        <w:t xml:space="preserve"> is</w:t>
      </w:r>
      <w:r w:rsidRPr="00D806DC" w:rsidDel="0037695B">
        <w:t xml:space="preserve"> </w:t>
      </w:r>
      <w:r w:rsidRPr="00D806DC">
        <w:t>entitled to 75% of any future net proceeds realised by the buyer from a sale or realisation of DG Americas or its assets, after agreed deductions and to the extent such proceeds are not retained for DG Americas working capital purposes. As at 3</w:t>
      </w:r>
      <w:r>
        <w:t>1 March 2026</w:t>
      </w:r>
      <w:r w:rsidRPr="00D806DC">
        <w:t xml:space="preserve">, and as the buyer progresses with the sale and realisation of the DG Americas assets, the fair value measured as the expected cash flows from the future proceeds was estimated at </w:t>
      </w:r>
      <w:r>
        <w:t>£</w:t>
      </w:r>
      <w:r w:rsidRPr="00D806DC">
        <w:t>nil.</w:t>
      </w:r>
    </w:p>
    <w:p w14:paraId="7AA29C4B" w14:textId="77777777" w:rsidR="00271E37" w:rsidRPr="00091C79" w:rsidRDefault="00271E37"/>
    <w:p w14:paraId="4B52F5BC" w14:textId="77777777" w:rsidR="00271E37" w:rsidRPr="00091C79" w:rsidRDefault="00271E37">
      <w:r w:rsidRPr="00091C79">
        <w:t xml:space="preserve">A loss on sale of DG Americas of </w:t>
      </w:r>
      <w:r>
        <w:t>£110.2</w:t>
      </w:r>
      <w:r w:rsidRPr="00091C79">
        <w:t xml:space="preserve"> million was recognised in the consolidated income statement in the current year.</w:t>
      </w:r>
    </w:p>
    <w:p w14:paraId="48AA1D51" w14:textId="77777777" w:rsidR="00271E37" w:rsidRPr="00091C79" w:rsidRDefault="00271E37"/>
    <w:tbl>
      <w:tblPr>
        <w:tblW w:w="7371" w:type="dxa"/>
        <w:tblLook w:val="04A0" w:firstRow="1" w:lastRow="0" w:firstColumn="1" w:lastColumn="0" w:noHBand="0" w:noVBand="1"/>
      </w:tblPr>
      <w:tblGrid>
        <w:gridCol w:w="6025"/>
        <w:gridCol w:w="1346"/>
      </w:tblGrid>
      <w:tr w:rsidR="00271E37" w:rsidRPr="00091C79" w14:paraId="6D28734D" w14:textId="77777777">
        <w:trPr>
          <w:trHeight w:hRule="exact" w:val="20"/>
        </w:trPr>
        <w:tc>
          <w:tcPr>
            <w:tcW w:w="6025" w:type="dxa"/>
          </w:tcPr>
          <w:p w14:paraId="4133751B" w14:textId="77777777" w:rsidR="00271E37" w:rsidRPr="00091C79" w:rsidRDefault="00271E37">
            <w:pPr>
              <w:rPr>
                <w:lang w:val="en-US"/>
              </w:rPr>
            </w:pPr>
          </w:p>
        </w:tc>
        <w:tc>
          <w:tcPr>
            <w:tcW w:w="1346" w:type="dxa"/>
          </w:tcPr>
          <w:p w14:paraId="6E206DFD" w14:textId="77777777" w:rsidR="00271E37" w:rsidRPr="00091C79" w:rsidRDefault="00271E37">
            <w:pPr>
              <w:rPr>
                <w:lang w:val="en-US"/>
              </w:rPr>
            </w:pPr>
          </w:p>
        </w:tc>
      </w:tr>
      <w:tr w:rsidR="00271E37" w:rsidRPr="00091C79" w14:paraId="536A3841" w14:textId="77777777">
        <w:tc>
          <w:tcPr>
            <w:tcW w:w="6025" w:type="dxa"/>
          </w:tcPr>
          <w:p w14:paraId="43DC3C7F" w14:textId="77777777" w:rsidR="00271E37" w:rsidRPr="00091C79" w:rsidRDefault="00271E37">
            <w:pPr>
              <w:rPr>
                <w:lang w:val="en-US"/>
              </w:rPr>
            </w:pPr>
          </w:p>
        </w:tc>
        <w:tc>
          <w:tcPr>
            <w:tcW w:w="1346" w:type="dxa"/>
            <w:hideMark/>
          </w:tcPr>
          <w:p w14:paraId="7309A0C9" w14:textId="77777777" w:rsidR="00271E37" w:rsidRPr="00B75E62" w:rsidRDefault="00271E37">
            <w:pPr>
              <w:jc w:val="right"/>
              <w:rPr>
                <w:b/>
                <w:bCs/>
                <w:lang w:val="en-US"/>
              </w:rPr>
            </w:pPr>
            <w:r w:rsidRPr="00091C79">
              <w:rPr>
                <w:b/>
                <w:bCs/>
                <w:lang w:val="en-US"/>
              </w:rPr>
              <w:t>2026</w:t>
            </w:r>
          </w:p>
        </w:tc>
      </w:tr>
      <w:tr w:rsidR="00271E37" w:rsidRPr="00091C79" w14:paraId="6A73B0A3" w14:textId="77777777">
        <w:tc>
          <w:tcPr>
            <w:tcW w:w="6025" w:type="dxa"/>
            <w:tcBorders>
              <w:top w:val="nil"/>
              <w:left w:val="nil"/>
              <w:bottom w:val="single" w:sz="4" w:space="0" w:color="auto"/>
              <w:right w:val="nil"/>
            </w:tcBorders>
          </w:tcPr>
          <w:p w14:paraId="2CFCEB8F" w14:textId="77777777" w:rsidR="00271E37" w:rsidRPr="00091C79" w:rsidRDefault="00271E37">
            <w:pPr>
              <w:rPr>
                <w:lang w:val="en-US"/>
              </w:rPr>
            </w:pPr>
          </w:p>
        </w:tc>
        <w:tc>
          <w:tcPr>
            <w:tcW w:w="1346" w:type="dxa"/>
            <w:tcBorders>
              <w:top w:val="nil"/>
              <w:left w:val="nil"/>
              <w:bottom w:val="single" w:sz="4" w:space="0" w:color="auto"/>
              <w:right w:val="nil"/>
            </w:tcBorders>
            <w:hideMark/>
          </w:tcPr>
          <w:p w14:paraId="7DE58D89" w14:textId="77777777" w:rsidR="00271E37" w:rsidRPr="00B75E62" w:rsidRDefault="00271E37">
            <w:pPr>
              <w:jc w:val="right"/>
              <w:rPr>
                <w:b/>
                <w:bCs/>
                <w:lang w:val="en-US"/>
              </w:rPr>
            </w:pPr>
            <w:r w:rsidRPr="00091C79">
              <w:rPr>
                <w:b/>
                <w:bCs/>
                <w:lang w:val="en-US"/>
              </w:rPr>
              <w:t>£</w:t>
            </w:r>
            <w:r w:rsidRPr="00B75E62">
              <w:rPr>
                <w:b/>
                <w:bCs/>
                <w:lang w:val="en-US"/>
              </w:rPr>
              <w:t>000</w:t>
            </w:r>
          </w:p>
        </w:tc>
      </w:tr>
      <w:tr w:rsidR="00271E37" w:rsidRPr="00091C79" w14:paraId="31B7A627" w14:textId="77777777">
        <w:tc>
          <w:tcPr>
            <w:tcW w:w="6025" w:type="dxa"/>
            <w:hideMark/>
          </w:tcPr>
          <w:p w14:paraId="734C3E65" w14:textId="77777777" w:rsidR="00271E37" w:rsidRPr="00091C79" w:rsidRDefault="00271E37">
            <w:pPr>
              <w:rPr>
                <w:lang w:val="en-US"/>
              </w:rPr>
            </w:pPr>
            <w:r w:rsidRPr="00091C79">
              <w:rPr>
                <w:lang w:val="en-US"/>
              </w:rPr>
              <w:t>Consideration received</w:t>
            </w:r>
          </w:p>
        </w:tc>
        <w:tc>
          <w:tcPr>
            <w:tcW w:w="1346" w:type="dxa"/>
            <w:vAlign w:val="center"/>
          </w:tcPr>
          <w:p w14:paraId="4F029915" w14:textId="77777777" w:rsidR="00271E37" w:rsidRPr="00091C79" w:rsidRDefault="00271E37">
            <w:pPr>
              <w:jc w:val="right"/>
              <w:rPr>
                <w:lang w:val="en-US"/>
              </w:rPr>
            </w:pPr>
            <w:r>
              <w:rPr>
                <w:rFonts w:cs="Arial"/>
                <w:color w:val="000000"/>
                <w:szCs w:val="16"/>
              </w:rPr>
              <w:t xml:space="preserve"> - </w:t>
            </w:r>
          </w:p>
        </w:tc>
      </w:tr>
      <w:tr w:rsidR="00271E37" w:rsidRPr="00091C79" w14:paraId="4402D1DF" w14:textId="77777777">
        <w:tc>
          <w:tcPr>
            <w:tcW w:w="6025" w:type="dxa"/>
            <w:tcBorders>
              <w:top w:val="nil"/>
              <w:left w:val="nil"/>
              <w:bottom w:val="single" w:sz="4" w:space="0" w:color="auto"/>
              <w:right w:val="nil"/>
            </w:tcBorders>
            <w:hideMark/>
          </w:tcPr>
          <w:p w14:paraId="6D6DF2BE" w14:textId="77777777" w:rsidR="00271E37" w:rsidRPr="00091C79" w:rsidRDefault="00271E37">
            <w:pPr>
              <w:rPr>
                <w:lang w:val="en-US"/>
              </w:rPr>
            </w:pPr>
            <w:r w:rsidRPr="00091C79">
              <w:rPr>
                <w:lang w:val="en-US"/>
              </w:rPr>
              <w:t>Fair value of contingent consideration</w:t>
            </w:r>
          </w:p>
        </w:tc>
        <w:tc>
          <w:tcPr>
            <w:tcW w:w="1346" w:type="dxa"/>
            <w:tcBorders>
              <w:top w:val="nil"/>
              <w:left w:val="nil"/>
              <w:bottom w:val="single" w:sz="4" w:space="0" w:color="auto"/>
              <w:right w:val="nil"/>
            </w:tcBorders>
            <w:vAlign w:val="center"/>
          </w:tcPr>
          <w:p w14:paraId="2E06554A" w14:textId="77777777" w:rsidR="00271E37" w:rsidRPr="00091C79" w:rsidRDefault="00271E37">
            <w:pPr>
              <w:jc w:val="right"/>
              <w:rPr>
                <w:lang w:val="en-US"/>
              </w:rPr>
            </w:pPr>
            <w:r>
              <w:rPr>
                <w:rFonts w:cs="Arial"/>
                <w:color w:val="000000"/>
                <w:szCs w:val="16"/>
              </w:rPr>
              <w:t xml:space="preserve"> - </w:t>
            </w:r>
          </w:p>
        </w:tc>
      </w:tr>
      <w:tr w:rsidR="00271E37" w:rsidRPr="00091C79" w14:paraId="6C277C9E" w14:textId="77777777">
        <w:tc>
          <w:tcPr>
            <w:tcW w:w="6025" w:type="dxa"/>
            <w:tcBorders>
              <w:top w:val="single" w:sz="4" w:space="0" w:color="auto"/>
              <w:left w:val="nil"/>
              <w:bottom w:val="single" w:sz="4" w:space="0" w:color="auto"/>
              <w:right w:val="nil"/>
            </w:tcBorders>
            <w:hideMark/>
          </w:tcPr>
          <w:p w14:paraId="3B3A379F" w14:textId="77777777" w:rsidR="00271E37" w:rsidRPr="00091C79" w:rsidRDefault="00271E37">
            <w:pPr>
              <w:rPr>
                <w:lang w:val="en-US"/>
              </w:rPr>
            </w:pPr>
            <w:r w:rsidRPr="00091C79">
              <w:rPr>
                <w:lang w:val="en-US"/>
              </w:rPr>
              <w:t>Total consideration</w:t>
            </w:r>
          </w:p>
        </w:tc>
        <w:tc>
          <w:tcPr>
            <w:tcW w:w="1346" w:type="dxa"/>
            <w:tcBorders>
              <w:top w:val="single" w:sz="4" w:space="0" w:color="auto"/>
              <w:left w:val="nil"/>
              <w:bottom w:val="single" w:sz="4" w:space="0" w:color="auto"/>
              <w:right w:val="nil"/>
            </w:tcBorders>
            <w:vAlign w:val="center"/>
          </w:tcPr>
          <w:p w14:paraId="43749FE9" w14:textId="77777777" w:rsidR="00271E37" w:rsidRPr="00091C79" w:rsidRDefault="00271E37">
            <w:pPr>
              <w:jc w:val="right"/>
              <w:rPr>
                <w:lang w:val="en-US"/>
              </w:rPr>
            </w:pPr>
            <w:r>
              <w:rPr>
                <w:rFonts w:cs="Arial"/>
                <w:b/>
                <w:bCs/>
                <w:color w:val="000000"/>
                <w:szCs w:val="16"/>
              </w:rPr>
              <w:t xml:space="preserve"> - </w:t>
            </w:r>
          </w:p>
        </w:tc>
      </w:tr>
      <w:tr w:rsidR="00271E37" w:rsidRPr="00091C79" w14:paraId="71C9337D" w14:textId="77777777">
        <w:tc>
          <w:tcPr>
            <w:tcW w:w="6025" w:type="dxa"/>
            <w:tcBorders>
              <w:top w:val="single" w:sz="4" w:space="0" w:color="auto"/>
              <w:left w:val="nil"/>
              <w:bottom w:val="nil"/>
              <w:right w:val="nil"/>
            </w:tcBorders>
            <w:hideMark/>
          </w:tcPr>
          <w:p w14:paraId="41E4A479" w14:textId="77777777" w:rsidR="00271E37" w:rsidRPr="00091C79" w:rsidRDefault="00271E37">
            <w:pPr>
              <w:rPr>
                <w:lang w:val="en-US"/>
              </w:rPr>
            </w:pPr>
            <w:r w:rsidRPr="00091C79">
              <w:rPr>
                <w:lang w:val="en-US"/>
              </w:rPr>
              <w:t>Carrying amount of net assets sold</w:t>
            </w:r>
          </w:p>
        </w:tc>
        <w:tc>
          <w:tcPr>
            <w:tcW w:w="1346" w:type="dxa"/>
            <w:tcBorders>
              <w:top w:val="single" w:sz="4" w:space="0" w:color="auto"/>
              <w:left w:val="nil"/>
              <w:bottom w:val="nil"/>
              <w:right w:val="nil"/>
            </w:tcBorders>
            <w:vAlign w:val="center"/>
          </w:tcPr>
          <w:p w14:paraId="7B867F29" w14:textId="77777777" w:rsidR="00271E37" w:rsidRPr="00091C79" w:rsidRDefault="00271E37">
            <w:pPr>
              <w:jc w:val="right"/>
              <w:rPr>
                <w:lang w:val="en-US"/>
              </w:rPr>
            </w:pPr>
            <w:r>
              <w:rPr>
                <w:rFonts w:cs="Arial"/>
                <w:color w:val="000000"/>
                <w:szCs w:val="16"/>
              </w:rPr>
              <w:t>(97,648)</w:t>
            </w:r>
          </w:p>
        </w:tc>
      </w:tr>
      <w:tr w:rsidR="00271E37" w:rsidRPr="00091C79" w14:paraId="5D12E432" w14:textId="77777777">
        <w:tc>
          <w:tcPr>
            <w:tcW w:w="6025" w:type="dxa"/>
            <w:tcBorders>
              <w:top w:val="nil"/>
              <w:left w:val="nil"/>
              <w:bottom w:val="single" w:sz="4" w:space="0" w:color="auto"/>
              <w:right w:val="nil"/>
            </w:tcBorders>
            <w:hideMark/>
          </w:tcPr>
          <w:p w14:paraId="4EC93C51" w14:textId="77777777" w:rsidR="00271E37" w:rsidRPr="00091C79" w:rsidRDefault="00271E37">
            <w:pPr>
              <w:rPr>
                <w:lang w:val="en-US"/>
              </w:rPr>
            </w:pPr>
            <w:r w:rsidRPr="00091C79">
              <w:rPr>
                <w:lang w:val="en-US"/>
              </w:rPr>
              <w:t>Cost to sell</w:t>
            </w:r>
          </w:p>
        </w:tc>
        <w:tc>
          <w:tcPr>
            <w:tcW w:w="1346" w:type="dxa"/>
            <w:tcBorders>
              <w:top w:val="nil"/>
              <w:left w:val="nil"/>
              <w:bottom w:val="single" w:sz="4" w:space="0" w:color="auto"/>
              <w:right w:val="nil"/>
            </w:tcBorders>
            <w:vAlign w:val="center"/>
          </w:tcPr>
          <w:p w14:paraId="191BDDA6" w14:textId="77777777" w:rsidR="00271E37" w:rsidRPr="00091C79" w:rsidRDefault="00271E37">
            <w:pPr>
              <w:jc w:val="right"/>
              <w:rPr>
                <w:lang w:val="en-US"/>
              </w:rPr>
            </w:pPr>
            <w:r>
              <w:rPr>
                <w:rFonts w:cs="Arial"/>
                <w:color w:val="000000"/>
                <w:szCs w:val="16"/>
              </w:rPr>
              <w:t>(1,707)</w:t>
            </w:r>
          </w:p>
        </w:tc>
      </w:tr>
      <w:tr w:rsidR="00271E37" w:rsidRPr="00091C79" w14:paraId="0362CF96" w14:textId="77777777">
        <w:tc>
          <w:tcPr>
            <w:tcW w:w="6025" w:type="dxa"/>
            <w:tcBorders>
              <w:top w:val="single" w:sz="4" w:space="0" w:color="auto"/>
              <w:left w:val="nil"/>
              <w:bottom w:val="single" w:sz="4" w:space="0" w:color="auto"/>
              <w:right w:val="nil"/>
            </w:tcBorders>
            <w:hideMark/>
          </w:tcPr>
          <w:p w14:paraId="38C94987" w14:textId="77777777" w:rsidR="00271E37" w:rsidRPr="00091C79" w:rsidRDefault="00271E37">
            <w:pPr>
              <w:rPr>
                <w:lang w:val="en-US"/>
              </w:rPr>
            </w:pPr>
            <w:r w:rsidRPr="00091C79">
              <w:rPr>
                <w:lang w:val="en-US"/>
              </w:rPr>
              <w:t>Loss on sale before tax and reclassification of translation reserve</w:t>
            </w:r>
          </w:p>
        </w:tc>
        <w:tc>
          <w:tcPr>
            <w:tcW w:w="1346" w:type="dxa"/>
            <w:tcBorders>
              <w:top w:val="single" w:sz="4" w:space="0" w:color="auto"/>
              <w:left w:val="nil"/>
              <w:bottom w:val="single" w:sz="4" w:space="0" w:color="auto"/>
              <w:right w:val="nil"/>
            </w:tcBorders>
            <w:vAlign w:val="center"/>
          </w:tcPr>
          <w:p w14:paraId="1D168115" w14:textId="77777777" w:rsidR="00271E37" w:rsidRPr="00091C79" w:rsidRDefault="00271E37">
            <w:pPr>
              <w:jc w:val="right"/>
              <w:rPr>
                <w:lang w:val="en-US"/>
              </w:rPr>
            </w:pPr>
            <w:r>
              <w:rPr>
                <w:rFonts w:cs="Arial"/>
                <w:b/>
                <w:bCs/>
                <w:color w:val="000000"/>
                <w:szCs w:val="16"/>
              </w:rPr>
              <w:t>(99,355)</w:t>
            </w:r>
          </w:p>
        </w:tc>
      </w:tr>
      <w:tr w:rsidR="00271E37" w:rsidRPr="00091C79" w14:paraId="42FB6712" w14:textId="77777777">
        <w:tc>
          <w:tcPr>
            <w:tcW w:w="6025" w:type="dxa"/>
            <w:tcBorders>
              <w:top w:val="single" w:sz="4" w:space="0" w:color="auto"/>
              <w:left w:val="nil"/>
              <w:bottom w:val="nil"/>
              <w:right w:val="nil"/>
            </w:tcBorders>
            <w:hideMark/>
          </w:tcPr>
          <w:p w14:paraId="00C24F84" w14:textId="77777777" w:rsidR="00271E37" w:rsidRPr="00091C79" w:rsidRDefault="00271E37">
            <w:pPr>
              <w:rPr>
                <w:lang w:val="en-US"/>
              </w:rPr>
            </w:pPr>
            <w:r w:rsidRPr="00091C79">
              <w:rPr>
                <w:lang w:val="en-US"/>
              </w:rPr>
              <w:t>Reclassification of translation reserve</w:t>
            </w:r>
          </w:p>
        </w:tc>
        <w:tc>
          <w:tcPr>
            <w:tcW w:w="1346" w:type="dxa"/>
            <w:tcBorders>
              <w:top w:val="single" w:sz="4" w:space="0" w:color="auto"/>
              <w:left w:val="nil"/>
              <w:bottom w:val="nil"/>
              <w:right w:val="nil"/>
            </w:tcBorders>
            <w:vAlign w:val="center"/>
          </w:tcPr>
          <w:p w14:paraId="397119E6" w14:textId="77777777" w:rsidR="00271E37" w:rsidRPr="00091C79" w:rsidRDefault="00271E37">
            <w:pPr>
              <w:jc w:val="right"/>
              <w:rPr>
                <w:lang w:val="en-US"/>
              </w:rPr>
            </w:pPr>
            <w:r>
              <w:rPr>
                <w:lang w:val="en-US"/>
              </w:rPr>
              <w:t>(10,813)</w:t>
            </w:r>
          </w:p>
        </w:tc>
      </w:tr>
      <w:tr w:rsidR="00271E37" w:rsidRPr="00091C79" w14:paraId="34183EAC" w14:textId="77777777">
        <w:tc>
          <w:tcPr>
            <w:tcW w:w="6025" w:type="dxa"/>
            <w:tcBorders>
              <w:top w:val="nil"/>
              <w:left w:val="nil"/>
              <w:bottom w:val="single" w:sz="4" w:space="0" w:color="auto"/>
              <w:right w:val="nil"/>
            </w:tcBorders>
            <w:hideMark/>
          </w:tcPr>
          <w:p w14:paraId="41ADECAA" w14:textId="77777777" w:rsidR="00271E37" w:rsidRPr="00091C79" w:rsidRDefault="00271E37">
            <w:pPr>
              <w:rPr>
                <w:lang w:val="en-US"/>
              </w:rPr>
            </w:pPr>
            <w:r w:rsidRPr="00091C79">
              <w:rPr>
                <w:lang w:val="en-US"/>
              </w:rPr>
              <w:t>Income tax on sale</w:t>
            </w:r>
          </w:p>
        </w:tc>
        <w:tc>
          <w:tcPr>
            <w:tcW w:w="1346" w:type="dxa"/>
            <w:tcBorders>
              <w:top w:val="nil"/>
              <w:left w:val="nil"/>
              <w:bottom w:val="single" w:sz="4" w:space="0" w:color="auto"/>
              <w:right w:val="nil"/>
            </w:tcBorders>
            <w:vAlign w:val="center"/>
          </w:tcPr>
          <w:p w14:paraId="485D0867" w14:textId="77777777" w:rsidR="00271E37" w:rsidRPr="00091C79" w:rsidRDefault="00271E37">
            <w:pPr>
              <w:jc w:val="right"/>
              <w:rPr>
                <w:lang w:val="en-US"/>
              </w:rPr>
            </w:pPr>
            <w:r>
              <w:rPr>
                <w:rFonts w:cs="Arial"/>
                <w:color w:val="000000"/>
                <w:szCs w:val="16"/>
              </w:rPr>
              <w:t xml:space="preserve"> - </w:t>
            </w:r>
          </w:p>
        </w:tc>
      </w:tr>
      <w:tr w:rsidR="00271E37" w:rsidRPr="00091C79" w14:paraId="40E3D62F" w14:textId="77777777">
        <w:tc>
          <w:tcPr>
            <w:tcW w:w="6025" w:type="dxa"/>
            <w:tcBorders>
              <w:top w:val="single" w:sz="4" w:space="0" w:color="auto"/>
              <w:left w:val="nil"/>
              <w:bottom w:val="single" w:sz="12" w:space="0" w:color="auto"/>
              <w:right w:val="nil"/>
            </w:tcBorders>
            <w:hideMark/>
          </w:tcPr>
          <w:p w14:paraId="21290B80" w14:textId="77777777" w:rsidR="00271E37" w:rsidRPr="00091C79" w:rsidRDefault="00271E37">
            <w:pPr>
              <w:rPr>
                <w:lang w:val="en-US"/>
              </w:rPr>
            </w:pPr>
            <w:r w:rsidRPr="00091C79">
              <w:rPr>
                <w:lang w:val="en-US"/>
              </w:rPr>
              <w:t>Loss on sale after income tax</w:t>
            </w:r>
          </w:p>
        </w:tc>
        <w:tc>
          <w:tcPr>
            <w:tcW w:w="1346" w:type="dxa"/>
            <w:tcBorders>
              <w:top w:val="single" w:sz="4" w:space="0" w:color="auto"/>
              <w:left w:val="nil"/>
              <w:bottom w:val="single" w:sz="12" w:space="0" w:color="auto"/>
              <w:right w:val="nil"/>
            </w:tcBorders>
            <w:vAlign w:val="center"/>
          </w:tcPr>
          <w:p w14:paraId="3EAAFE20" w14:textId="77777777" w:rsidR="00271E37" w:rsidRPr="00091C79" w:rsidRDefault="00271E37">
            <w:pPr>
              <w:jc w:val="right"/>
              <w:rPr>
                <w:lang w:val="en-US"/>
              </w:rPr>
            </w:pPr>
            <w:r>
              <w:rPr>
                <w:rFonts w:cs="Arial"/>
                <w:b/>
                <w:bCs/>
                <w:color w:val="000000"/>
                <w:szCs w:val="16"/>
              </w:rPr>
              <w:t>(110,168)</w:t>
            </w:r>
          </w:p>
        </w:tc>
      </w:tr>
    </w:tbl>
    <w:p w14:paraId="7F9CAAA1" w14:textId="77777777" w:rsidR="00271E37" w:rsidRPr="00091C79" w:rsidRDefault="00271E37"/>
    <w:p w14:paraId="384ACF5C" w14:textId="77777777" w:rsidR="00271E37" w:rsidRPr="00091C79" w:rsidRDefault="00271E37"/>
    <w:p w14:paraId="2901D36A" w14:textId="77777777" w:rsidR="00271E37" w:rsidRPr="00091C79" w:rsidRDefault="00271E37">
      <w:r w:rsidRPr="00091C79">
        <w:t>The carrying amounts of assets and liabilities at the date of disposal on 30 May 2025 were as follows:</w:t>
      </w:r>
    </w:p>
    <w:p w14:paraId="46185EED" w14:textId="77777777" w:rsidR="00271E37" w:rsidRPr="00091C79" w:rsidRDefault="00271E37"/>
    <w:tbl>
      <w:tblPr>
        <w:tblW w:w="7371" w:type="dxa"/>
        <w:tblLook w:val="04A0" w:firstRow="1" w:lastRow="0" w:firstColumn="1" w:lastColumn="0" w:noHBand="0" w:noVBand="1"/>
      </w:tblPr>
      <w:tblGrid>
        <w:gridCol w:w="5980"/>
        <w:gridCol w:w="1391"/>
      </w:tblGrid>
      <w:tr w:rsidR="00271E37" w:rsidRPr="00091C79" w14:paraId="0E093861" w14:textId="77777777">
        <w:trPr>
          <w:trHeight w:hRule="exact" w:val="20"/>
        </w:trPr>
        <w:tc>
          <w:tcPr>
            <w:tcW w:w="5980" w:type="dxa"/>
          </w:tcPr>
          <w:p w14:paraId="2FFE86A3" w14:textId="77777777" w:rsidR="00271E37" w:rsidRPr="00091C79" w:rsidRDefault="00271E37">
            <w:pPr>
              <w:rPr>
                <w:lang w:val="en-US"/>
              </w:rPr>
            </w:pPr>
          </w:p>
        </w:tc>
        <w:tc>
          <w:tcPr>
            <w:tcW w:w="1391" w:type="dxa"/>
          </w:tcPr>
          <w:p w14:paraId="527FDB34" w14:textId="77777777" w:rsidR="00271E37" w:rsidRPr="00091C79" w:rsidRDefault="00271E37">
            <w:pPr>
              <w:rPr>
                <w:lang w:val="en-US"/>
              </w:rPr>
            </w:pPr>
          </w:p>
        </w:tc>
      </w:tr>
      <w:tr w:rsidR="00271E37" w:rsidRPr="00091C79" w14:paraId="0061C2D4" w14:textId="77777777">
        <w:tc>
          <w:tcPr>
            <w:tcW w:w="5980" w:type="dxa"/>
          </w:tcPr>
          <w:p w14:paraId="12C49697" w14:textId="77777777" w:rsidR="00271E37" w:rsidRPr="00091C79" w:rsidRDefault="00271E37">
            <w:pPr>
              <w:rPr>
                <w:lang w:val="en-US"/>
              </w:rPr>
            </w:pPr>
          </w:p>
        </w:tc>
        <w:tc>
          <w:tcPr>
            <w:tcW w:w="1391" w:type="dxa"/>
            <w:hideMark/>
          </w:tcPr>
          <w:p w14:paraId="1AD1DEEC" w14:textId="77777777" w:rsidR="00271E37" w:rsidRPr="00827C65" w:rsidRDefault="00271E37">
            <w:pPr>
              <w:jc w:val="right"/>
              <w:rPr>
                <w:b/>
                <w:bCs/>
                <w:lang w:val="en-US"/>
              </w:rPr>
            </w:pPr>
            <w:r w:rsidRPr="00091C79">
              <w:rPr>
                <w:b/>
                <w:bCs/>
                <w:lang w:val="en-US"/>
              </w:rPr>
              <w:t>2026</w:t>
            </w:r>
          </w:p>
        </w:tc>
      </w:tr>
      <w:tr w:rsidR="00271E37" w:rsidRPr="00091C79" w14:paraId="37EE9D78" w14:textId="77777777">
        <w:tc>
          <w:tcPr>
            <w:tcW w:w="5980" w:type="dxa"/>
            <w:tcBorders>
              <w:top w:val="nil"/>
              <w:left w:val="nil"/>
              <w:bottom w:val="single" w:sz="4" w:space="0" w:color="auto"/>
              <w:right w:val="nil"/>
            </w:tcBorders>
          </w:tcPr>
          <w:p w14:paraId="417BF03E" w14:textId="77777777" w:rsidR="00271E37" w:rsidRPr="00091C79" w:rsidRDefault="00271E37">
            <w:pPr>
              <w:rPr>
                <w:lang w:val="en-US"/>
              </w:rPr>
            </w:pPr>
          </w:p>
        </w:tc>
        <w:tc>
          <w:tcPr>
            <w:tcW w:w="1391" w:type="dxa"/>
            <w:tcBorders>
              <w:top w:val="nil"/>
              <w:left w:val="nil"/>
              <w:bottom w:val="single" w:sz="4" w:space="0" w:color="auto"/>
              <w:right w:val="nil"/>
            </w:tcBorders>
            <w:hideMark/>
          </w:tcPr>
          <w:p w14:paraId="4ABC6154" w14:textId="77777777" w:rsidR="00271E37" w:rsidRPr="00827C65" w:rsidRDefault="00271E37">
            <w:pPr>
              <w:jc w:val="right"/>
              <w:rPr>
                <w:b/>
                <w:bCs/>
                <w:lang w:val="en-US"/>
              </w:rPr>
            </w:pPr>
            <w:r w:rsidRPr="00091C79">
              <w:rPr>
                <w:b/>
                <w:bCs/>
                <w:lang w:val="en-US"/>
              </w:rPr>
              <w:t>£</w:t>
            </w:r>
            <w:r w:rsidRPr="00827C65">
              <w:rPr>
                <w:b/>
                <w:bCs/>
                <w:lang w:val="en-US"/>
              </w:rPr>
              <w:t>000</w:t>
            </w:r>
          </w:p>
        </w:tc>
      </w:tr>
      <w:tr w:rsidR="00271E37" w:rsidRPr="00091C79" w14:paraId="50144B64" w14:textId="77777777">
        <w:tc>
          <w:tcPr>
            <w:tcW w:w="5980" w:type="dxa"/>
            <w:hideMark/>
          </w:tcPr>
          <w:p w14:paraId="581BE925" w14:textId="77777777" w:rsidR="00271E37" w:rsidRPr="00091C79" w:rsidRDefault="00271E37">
            <w:pPr>
              <w:rPr>
                <w:lang w:val="en-US"/>
              </w:rPr>
            </w:pPr>
            <w:r w:rsidRPr="00091C79">
              <w:rPr>
                <w:lang w:val="en-US"/>
              </w:rPr>
              <w:t>Non-current assets</w:t>
            </w:r>
          </w:p>
        </w:tc>
        <w:tc>
          <w:tcPr>
            <w:tcW w:w="1391" w:type="dxa"/>
            <w:vAlign w:val="center"/>
          </w:tcPr>
          <w:p w14:paraId="41CC2781" w14:textId="77777777" w:rsidR="00271E37" w:rsidRPr="00091C79" w:rsidRDefault="00271E37">
            <w:pPr>
              <w:jc w:val="right"/>
              <w:rPr>
                <w:lang w:val="en-US"/>
              </w:rPr>
            </w:pPr>
            <w:r>
              <w:rPr>
                <w:rFonts w:cs="Arial"/>
                <w:color w:val="000000"/>
                <w:szCs w:val="16"/>
              </w:rPr>
              <w:t xml:space="preserve">47,376 </w:t>
            </w:r>
          </w:p>
        </w:tc>
      </w:tr>
      <w:tr w:rsidR="00271E37" w:rsidRPr="00091C79" w14:paraId="3613C563" w14:textId="77777777">
        <w:tc>
          <w:tcPr>
            <w:tcW w:w="5980" w:type="dxa"/>
            <w:hideMark/>
          </w:tcPr>
          <w:p w14:paraId="359D18C4" w14:textId="77777777" w:rsidR="00271E37" w:rsidRPr="00091C79" w:rsidRDefault="00271E37">
            <w:pPr>
              <w:rPr>
                <w:lang w:val="en-US"/>
              </w:rPr>
            </w:pPr>
            <w:r w:rsidRPr="00091C79">
              <w:rPr>
                <w:lang w:val="en-US"/>
              </w:rPr>
              <w:lastRenderedPageBreak/>
              <w:t>Inventory</w:t>
            </w:r>
          </w:p>
        </w:tc>
        <w:tc>
          <w:tcPr>
            <w:tcW w:w="1391" w:type="dxa"/>
            <w:vAlign w:val="center"/>
          </w:tcPr>
          <w:p w14:paraId="66CBDE15" w14:textId="77777777" w:rsidR="00271E37" w:rsidRPr="00091C79" w:rsidRDefault="00271E37">
            <w:pPr>
              <w:jc w:val="right"/>
              <w:rPr>
                <w:lang w:val="en-US"/>
              </w:rPr>
            </w:pPr>
            <w:r>
              <w:rPr>
                <w:rFonts w:cs="Arial"/>
                <w:color w:val="000000"/>
                <w:szCs w:val="16"/>
              </w:rPr>
              <w:t xml:space="preserve">86,913 </w:t>
            </w:r>
          </w:p>
        </w:tc>
      </w:tr>
      <w:tr w:rsidR="00271E37" w:rsidRPr="00091C79" w14:paraId="3CBAAD53" w14:textId="77777777">
        <w:tc>
          <w:tcPr>
            <w:tcW w:w="5980" w:type="dxa"/>
            <w:hideMark/>
          </w:tcPr>
          <w:p w14:paraId="2F88472D" w14:textId="77777777" w:rsidR="00271E37" w:rsidRPr="00091C79" w:rsidRDefault="00271E37">
            <w:pPr>
              <w:rPr>
                <w:lang w:val="en-US"/>
              </w:rPr>
            </w:pPr>
            <w:r w:rsidRPr="00091C79">
              <w:rPr>
                <w:lang w:val="en-US"/>
              </w:rPr>
              <w:t>Trade and other receivables</w:t>
            </w:r>
          </w:p>
        </w:tc>
        <w:tc>
          <w:tcPr>
            <w:tcW w:w="1391" w:type="dxa"/>
            <w:vAlign w:val="center"/>
          </w:tcPr>
          <w:p w14:paraId="1A1F4585" w14:textId="047F210E" w:rsidR="00271E37" w:rsidRPr="00091C79" w:rsidRDefault="00271E37">
            <w:pPr>
              <w:jc w:val="right"/>
              <w:rPr>
                <w:lang w:val="en-US"/>
              </w:rPr>
            </w:pPr>
            <w:r>
              <w:rPr>
                <w:rFonts w:cs="Arial"/>
                <w:color w:val="000000"/>
                <w:szCs w:val="16"/>
              </w:rPr>
              <w:t>33,</w:t>
            </w:r>
            <w:r w:rsidR="006A68AB">
              <w:rPr>
                <w:rFonts w:cs="Arial"/>
                <w:color w:val="000000"/>
                <w:szCs w:val="16"/>
              </w:rPr>
              <w:t>436</w:t>
            </w:r>
            <w:r>
              <w:rPr>
                <w:rFonts w:cs="Arial"/>
                <w:color w:val="000000"/>
                <w:szCs w:val="16"/>
              </w:rPr>
              <w:t xml:space="preserve"> </w:t>
            </w:r>
          </w:p>
        </w:tc>
      </w:tr>
      <w:tr w:rsidR="00271E37" w:rsidRPr="00091C79" w14:paraId="520F72C3" w14:textId="77777777">
        <w:tc>
          <w:tcPr>
            <w:tcW w:w="5980" w:type="dxa"/>
            <w:hideMark/>
          </w:tcPr>
          <w:p w14:paraId="609810DB" w14:textId="77777777" w:rsidR="00271E37" w:rsidRPr="00091C79" w:rsidRDefault="00271E37">
            <w:pPr>
              <w:rPr>
                <w:lang w:val="en-US"/>
              </w:rPr>
            </w:pPr>
            <w:r w:rsidRPr="00091C79">
              <w:rPr>
                <w:lang w:val="en-US"/>
              </w:rPr>
              <w:t>Cash and cash equivalents</w:t>
            </w:r>
          </w:p>
        </w:tc>
        <w:tc>
          <w:tcPr>
            <w:tcW w:w="1391" w:type="dxa"/>
            <w:vAlign w:val="center"/>
          </w:tcPr>
          <w:p w14:paraId="44CB9B3E" w14:textId="77777777" w:rsidR="00271E37" w:rsidRPr="00091C79" w:rsidRDefault="00271E37">
            <w:pPr>
              <w:jc w:val="right"/>
              <w:rPr>
                <w:lang w:val="en-US"/>
              </w:rPr>
            </w:pPr>
            <w:r>
              <w:rPr>
                <w:rFonts w:cs="Arial"/>
                <w:color w:val="000000"/>
                <w:szCs w:val="16"/>
              </w:rPr>
              <w:t xml:space="preserve">7,899 </w:t>
            </w:r>
          </w:p>
        </w:tc>
      </w:tr>
      <w:tr w:rsidR="00271E37" w:rsidRPr="00091C79" w14:paraId="59DFA2CB" w14:textId="77777777">
        <w:tc>
          <w:tcPr>
            <w:tcW w:w="5980" w:type="dxa"/>
            <w:tcBorders>
              <w:top w:val="nil"/>
              <w:left w:val="nil"/>
              <w:bottom w:val="single" w:sz="4" w:space="0" w:color="auto"/>
              <w:right w:val="nil"/>
            </w:tcBorders>
            <w:hideMark/>
          </w:tcPr>
          <w:p w14:paraId="35B2897E" w14:textId="77777777" w:rsidR="00271E37" w:rsidRPr="00091C79" w:rsidRDefault="00271E37">
            <w:pPr>
              <w:rPr>
                <w:lang w:val="en-US"/>
              </w:rPr>
            </w:pPr>
            <w:r w:rsidRPr="00091C79">
              <w:rPr>
                <w:lang w:val="en-US"/>
              </w:rPr>
              <w:t>Income tax receivable</w:t>
            </w:r>
          </w:p>
        </w:tc>
        <w:tc>
          <w:tcPr>
            <w:tcW w:w="1391" w:type="dxa"/>
            <w:tcBorders>
              <w:top w:val="nil"/>
              <w:left w:val="nil"/>
              <w:bottom w:val="single" w:sz="4" w:space="0" w:color="auto"/>
              <w:right w:val="nil"/>
            </w:tcBorders>
            <w:vAlign w:val="center"/>
          </w:tcPr>
          <w:p w14:paraId="1D517AC5" w14:textId="77777777" w:rsidR="00271E37" w:rsidRPr="00091C79" w:rsidRDefault="00271E37">
            <w:pPr>
              <w:jc w:val="right"/>
              <w:rPr>
                <w:lang w:val="en-US"/>
              </w:rPr>
            </w:pPr>
            <w:r>
              <w:rPr>
                <w:rFonts w:cs="Arial"/>
                <w:color w:val="000000"/>
                <w:szCs w:val="16"/>
              </w:rPr>
              <w:t xml:space="preserve"> - </w:t>
            </w:r>
          </w:p>
        </w:tc>
      </w:tr>
      <w:tr w:rsidR="00271E37" w:rsidRPr="00091C79" w14:paraId="6FBBDB3D" w14:textId="77777777">
        <w:tc>
          <w:tcPr>
            <w:tcW w:w="5980" w:type="dxa"/>
            <w:tcBorders>
              <w:top w:val="single" w:sz="4" w:space="0" w:color="auto"/>
              <w:left w:val="nil"/>
              <w:bottom w:val="nil"/>
              <w:right w:val="nil"/>
            </w:tcBorders>
            <w:hideMark/>
          </w:tcPr>
          <w:p w14:paraId="73752DAB" w14:textId="77777777" w:rsidR="00271E37" w:rsidRPr="00091C79" w:rsidRDefault="00271E37">
            <w:pPr>
              <w:rPr>
                <w:lang w:val="en-US"/>
              </w:rPr>
            </w:pPr>
            <w:r w:rsidRPr="00091C79">
              <w:rPr>
                <w:lang w:val="en-US"/>
              </w:rPr>
              <w:t>Total assets</w:t>
            </w:r>
          </w:p>
        </w:tc>
        <w:tc>
          <w:tcPr>
            <w:tcW w:w="1391" w:type="dxa"/>
            <w:tcBorders>
              <w:top w:val="single" w:sz="4" w:space="0" w:color="auto"/>
              <w:left w:val="nil"/>
              <w:bottom w:val="nil"/>
              <w:right w:val="nil"/>
            </w:tcBorders>
            <w:vAlign w:val="center"/>
          </w:tcPr>
          <w:p w14:paraId="7165F6D9" w14:textId="1C23DB9F" w:rsidR="00271E37" w:rsidRPr="00091C79" w:rsidRDefault="00271E37">
            <w:pPr>
              <w:jc w:val="right"/>
              <w:rPr>
                <w:lang w:val="en-US"/>
              </w:rPr>
            </w:pPr>
            <w:r>
              <w:rPr>
                <w:rFonts w:cs="Arial"/>
                <w:b/>
                <w:bCs/>
                <w:color w:val="000000"/>
                <w:szCs w:val="16"/>
              </w:rPr>
              <w:t>175,</w:t>
            </w:r>
            <w:r w:rsidR="006A68AB">
              <w:rPr>
                <w:rFonts w:cs="Arial"/>
                <w:b/>
                <w:bCs/>
                <w:color w:val="000000"/>
                <w:szCs w:val="16"/>
              </w:rPr>
              <w:t>624</w:t>
            </w:r>
            <w:r>
              <w:rPr>
                <w:rFonts w:cs="Arial"/>
                <w:b/>
                <w:bCs/>
                <w:color w:val="000000"/>
                <w:szCs w:val="16"/>
              </w:rPr>
              <w:t xml:space="preserve"> </w:t>
            </w:r>
          </w:p>
        </w:tc>
      </w:tr>
      <w:tr w:rsidR="00271E37" w:rsidRPr="00091C79" w14:paraId="71EB6772" w14:textId="77777777">
        <w:tc>
          <w:tcPr>
            <w:tcW w:w="5980" w:type="dxa"/>
            <w:hideMark/>
          </w:tcPr>
          <w:p w14:paraId="14D6AF78" w14:textId="77777777" w:rsidR="00271E37" w:rsidRPr="00091C79" w:rsidRDefault="00271E37">
            <w:pPr>
              <w:rPr>
                <w:lang w:val="en-US"/>
              </w:rPr>
            </w:pPr>
            <w:r w:rsidRPr="00091C79">
              <w:rPr>
                <w:lang w:val="en-US"/>
              </w:rPr>
              <w:t>Trade and other payables</w:t>
            </w:r>
          </w:p>
        </w:tc>
        <w:tc>
          <w:tcPr>
            <w:tcW w:w="1391" w:type="dxa"/>
            <w:vAlign w:val="center"/>
          </w:tcPr>
          <w:p w14:paraId="0B164F43" w14:textId="26AD2BD2" w:rsidR="00271E37" w:rsidRPr="00091C79" w:rsidRDefault="00271E37">
            <w:pPr>
              <w:jc w:val="right"/>
              <w:rPr>
                <w:lang w:val="en-US"/>
              </w:rPr>
            </w:pPr>
            <w:r>
              <w:rPr>
                <w:rFonts w:cs="Arial"/>
                <w:color w:val="000000"/>
                <w:szCs w:val="16"/>
              </w:rPr>
              <w:t>(51,</w:t>
            </w:r>
            <w:r w:rsidR="006A68AB">
              <w:rPr>
                <w:rFonts w:cs="Arial"/>
                <w:color w:val="000000"/>
                <w:szCs w:val="16"/>
              </w:rPr>
              <w:t>895</w:t>
            </w:r>
            <w:r>
              <w:rPr>
                <w:rFonts w:cs="Arial"/>
                <w:color w:val="000000"/>
                <w:szCs w:val="16"/>
              </w:rPr>
              <w:t>)</w:t>
            </w:r>
          </w:p>
        </w:tc>
      </w:tr>
      <w:tr w:rsidR="00271E37" w:rsidRPr="00091C79" w14:paraId="2BEC6E49" w14:textId="77777777">
        <w:tc>
          <w:tcPr>
            <w:tcW w:w="5980" w:type="dxa"/>
            <w:hideMark/>
          </w:tcPr>
          <w:p w14:paraId="6EEC83C3" w14:textId="77777777" w:rsidR="00271E37" w:rsidRPr="00091C79" w:rsidRDefault="00271E37">
            <w:pPr>
              <w:rPr>
                <w:lang w:val="en-US"/>
              </w:rPr>
            </w:pPr>
            <w:r w:rsidRPr="00091C79">
              <w:rPr>
                <w:lang w:val="en-US"/>
              </w:rPr>
              <w:t>Lease liabilities</w:t>
            </w:r>
          </w:p>
        </w:tc>
        <w:tc>
          <w:tcPr>
            <w:tcW w:w="1391" w:type="dxa"/>
            <w:vAlign w:val="center"/>
          </w:tcPr>
          <w:p w14:paraId="0287B9B8" w14:textId="77777777" w:rsidR="00271E37" w:rsidRPr="00091C79" w:rsidRDefault="00271E37">
            <w:pPr>
              <w:jc w:val="right"/>
              <w:rPr>
                <w:lang w:val="en-US"/>
              </w:rPr>
            </w:pPr>
            <w:r>
              <w:rPr>
                <w:rFonts w:cs="Arial"/>
                <w:color w:val="000000"/>
                <w:szCs w:val="16"/>
              </w:rPr>
              <w:t>(23,204)</w:t>
            </w:r>
          </w:p>
        </w:tc>
      </w:tr>
      <w:tr w:rsidR="00271E37" w:rsidRPr="00091C79" w14:paraId="344DA938" w14:textId="77777777">
        <w:tc>
          <w:tcPr>
            <w:tcW w:w="5980" w:type="dxa"/>
            <w:hideMark/>
          </w:tcPr>
          <w:p w14:paraId="284FA0F8" w14:textId="77777777" w:rsidR="00271E37" w:rsidRPr="00091C79" w:rsidRDefault="00271E37">
            <w:pPr>
              <w:rPr>
                <w:lang w:val="en-US"/>
              </w:rPr>
            </w:pPr>
            <w:r w:rsidRPr="00091C79">
              <w:rPr>
                <w:lang w:val="en-US"/>
              </w:rPr>
              <w:t>Income tax payable</w:t>
            </w:r>
          </w:p>
        </w:tc>
        <w:tc>
          <w:tcPr>
            <w:tcW w:w="1391" w:type="dxa"/>
            <w:vAlign w:val="center"/>
          </w:tcPr>
          <w:p w14:paraId="11DF084A" w14:textId="77777777" w:rsidR="00271E37" w:rsidRPr="00091C79" w:rsidRDefault="00271E37">
            <w:pPr>
              <w:jc w:val="right"/>
              <w:rPr>
                <w:lang w:val="en-US"/>
              </w:rPr>
            </w:pPr>
            <w:r>
              <w:rPr>
                <w:rFonts w:cs="Arial"/>
                <w:color w:val="000000"/>
                <w:szCs w:val="16"/>
              </w:rPr>
              <w:t>(2,877)</w:t>
            </w:r>
          </w:p>
        </w:tc>
      </w:tr>
      <w:tr w:rsidR="00271E37" w:rsidRPr="00091C79" w14:paraId="4E7F5EA9" w14:textId="77777777">
        <w:tc>
          <w:tcPr>
            <w:tcW w:w="5980" w:type="dxa"/>
            <w:tcBorders>
              <w:top w:val="single" w:sz="4" w:space="0" w:color="auto"/>
              <w:left w:val="nil"/>
              <w:bottom w:val="single" w:sz="4" w:space="0" w:color="auto"/>
              <w:right w:val="nil"/>
            </w:tcBorders>
            <w:hideMark/>
          </w:tcPr>
          <w:p w14:paraId="226194E0" w14:textId="77777777" w:rsidR="00271E37" w:rsidRPr="00091C79" w:rsidRDefault="00271E37">
            <w:pPr>
              <w:rPr>
                <w:lang w:val="en-US"/>
              </w:rPr>
            </w:pPr>
            <w:r w:rsidRPr="00091C79">
              <w:rPr>
                <w:lang w:val="en-US"/>
              </w:rPr>
              <w:t>Total liabilities</w:t>
            </w:r>
          </w:p>
        </w:tc>
        <w:tc>
          <w:tcPr>
            <w:tcW w:w="1391" w:type="dxa"/>
            <w:tcBorders>
              <w:top w:val="single" w:sz="4" w:space="0" w:color="auto"/>
              <w:left w:val="nil"/>
              <w:bottom w:val="single" w:sz="4" w:space="0" w:color="auto"/>
              <w:right w:val="nil"/>
            </w:tcBorders>
            <w:vAlign w:val="center"/>
          </w:tcPr>
          <w:p w14:paraId="14990C73" w14:textId="5C76CE96" w:rsidR="00271E37" w:rsidRPr="00091C79" w:rsidRDefault="00271E37">
            <w:pPr>
              <w:jc w:val="right"/>
              <w:rPr>
                <w:lang w:val="en-US"/>
              </w:rPr>
            </w:pPr>
            <w:r>
              <w:rPr>
                <w:rFonts w:cs="Arial"/>
                <w:color w:val="000000"/>
                <w:szCs w:val="16"/>
              </w:rPr>
              <w:t>(77,</w:t>
            </w:r>
            <w:r w:rsidR="003026F5">
              <w:rPr>
                <w:rFonts w:cs="Arial"/>
                <w:color w:val="000000"/>
                <w:szCs w:val="16"/>
              </w:rPr>
              <w:t>976</w:t>
            </w:r>
            <w:r>
              <w:rPr>
                <w:rFonts w:cs="Arial"/>
                <w:color w:val="000000"/>
                <w:szCs w:val="16"/>
              </w:rPr>
              <w:t>)</w:t>
            </w:r>
          </w:p>
        </w:tc>
      </w:tr>
      <w:tr w:rsidR="00271E37" w:rsidRPr="00091C79" w14:paraId="3A3CA063" w14:textId="77777777">
        <w:tc>
          <w:tcPr>
            <w:tcW w:w="5980" w:type="dxa"/>
            <w:tcBorders>
              <w:top w:val="single" w:sz="4" w:space="0" w:color="auto"/>
              <w:left w:val="nil"/>
              <w:bottom w:val="single" w:sz="12" w:space="0" w:color="auto"/>
              <w:right w:val="nil"/>
            </w:tcBorders>
            <w:hideMark/>
          </w:tcPr>
          <w:p w14:paraId="075F4CCB" w14:textId="77777777" w:rsidR="00271E37" w:rsidRPr="00091C79" w:rsidRDefault="00271E37">
            <w:pPr>
              <w:rPr>
                <w:lang w:val="en-US"/>
              </w:rPr>
            </w:pPr>
            <w:r w:rsidRPr="00091C79">
              <w:rPr>
                <w:lang w:val="en-US"/>
              </w:rPr>
              <w:t>Net assets of the disposal group</w:t>
            </w:r>
          </w:p>
        </w:tc>
        <w:tc>
          <w:tcPr>
            <w:tcW w:w="1391" w:type="dxa"/>
            <w:tcBorders>
              <w:top w:val="single" w:sz="4" w:space="0" w:color="auto"/>
              <w:left w:val="nil"/>
              <w:bottom w:val="single" w:sz="12" w:space="0" w:color="auto"/>
              <w:right w:val="nil"/>
            </w:tcBorders>
            <w:vAlign w:val="center"/>
          </w:tcPr>
          <w:p w14:paraId="6E11C197" w14:textId="77777777" w:rsidR="00271E37" w:rsidRPr="00091C79" w:rsidRDefault="00271E37">
            <w:pPr>
              <w:jc w:val="right"/>
              <w:rPr>
                <w:lang w:val="en-US"/>
              </w:rPr>
            </w:pPr>
            <w:r>
              <w:rPr>
                <w:rFonts w:cs="Arial"/>
                <w:color w:val="000000"/>
                <w:szCs w:val="16"/>
              </w:rPr>
              <w:t xml:space="preserve">97,648 </w:t>
            </w:r>
          </w:p>
        </w:tc>
      </w:tr>
    </w:tbl>
    <w:p w14:paraId="42E1CA69" w14:textId="77777777" w:rsidR="00271E37" w:rsidRPr="00091C79" w:rsidRDefault="00271E37">
      <w:bookmarkStart w:id="37" w:name="_cf149b22_12f9_4e04_bd23_c7ad1036307e"/>
      <w:bookmarkEnd w:id="37"/>
    </w:p>
    <w:p w14:paraId="6B1EECD1" w14:textId="77777777" w:rsidR="00271E37" w:rsidRPr="00091C79" w:rsidRDefault="00271E37">
      <w:r w:rsidRPr="00091C79">
        <w:t>In accordance with IFRS 5.32, management has determined that the disposal of DG Americas represents the disposal of a separate major geographical area. As such, the results of DG Americas have been classified as a discontinued operation. The financial performance and cash flow information for the current reporting period includes the results of DG Americas for the two-month period ended 30 May 2025. Comparative reporting periods present the full results for those respective periods.</w:t>
      </w:r>
    </w:p>
    <w:p w14:paraId="1C70037E" w14:textId="77777777" w:rsidR="00271E37" w:rsidRPr="00091C79" w:rsidRDefault="00271E37">
      <w:bookmarkStart w:id="38" w:name="_c161414f_8838_4eb8_bb95_afdeedb92f89"/>
      <w:bookmarkEnd w:id="38"/>
    </w:p>
    <w:tbl>
      <w:tblPr>
        <w:tblW w:w="0" w:type="auto"/>
        <w:tblLayout w:type="fixed"/>
        <w:tblLook w:val="04A0" w:firstRow="1" w:lastRow="0" w:firstColumn="1" w:lastColumn="0" w:noHBand="0" w:noVBand="1"/>
      </w:tblPr>
      <w:tblGrid>
        <w:gridCol w:w="5975"/>
        <w:gridCol w:w="1221"/>
        <w:gridCol w:w="1221"/>
      </w:tblGrid>
      <w:tr w:rsidR="00271E37" w:rsidRPr="00827C65" w14:paraId="3033F872" w14:textId="77777777">
        <w:trPr>
          <w:trHeight w:val="147"/>
        </w:trPr>
        <w:tc>
          <w:tcPr>
            <w:tcW w:w="5975" w:type="dxa"/>
            <w:hideMark/>
          </w:tcPr>
          <w:p w14:paraId="1042AC1A" w14:textId="77777777" w:rsidR="00271E37" w:rsidRPr="00091C79" w:rsidRDefault="00271E37">
            <w:pPr>
              <w:rPr>
                <w:lang w:val="en-US"/>
              </w:rPr>
            </w:pPr>
          </w:p>
        </w:tc>
        <w:tc>
          <w:tcPr>
            <w:tcW w:w="1221" w:type="dxa"/>
            <w:hideMark/>
          </w:tcPr>
          <w:p w14:paraId="68D1252E" w14:textId="77777777" w:rsidR="00271E37" w:rsidRPr="00827C65" w:rsidRDefault="00271E37">
            <w:pPr>
              <w:jc w:val="right"/>
              <w:rPr>
                <w:b/>
                <w:bCs/>
                <w:lang w:val="en-US"/>
              </w:rPr>
            </w:pPr>
            <w:r w:rsidRPr="00091C79">
              <w:rPr>
                <w:b/>
                <w:bCs/>
                <w:lang w:val="en-US"/>
              </w:rPr>
              <w:t>2026</w:t>
            </w:r>
          </w:p>
        </w:tc>
        <w:tc>
          <w:tcPr>
            <w:tcW w:w="1221" w:type="dxa"/>
            <w:hideMark/>
          </w:tcPr>
          <w:p w14:paraId="3A8C3758" w14:textId="77777777" w:rsidR="00271E37" w:rsidRPr="00827C65" w:rsidRDefault="00271E37">
            <w:pPr>
              <w:jc w:val="right"/>
              <w:rPr>
                <w:b/>
                <w:bCs/>
                <w:lang w:val="en-US"/>
              </w:rPr>
            </w:pPr>
            <w:r w:rsidRPr="00091C79">
              <w:rPr>
                <w:b/>
                <w:bCs/>
                <w:lang w:val="en-US"/>
              </w:rPr>
              <w:t>2025</w:t>
            </w:r>
          </w:p>
        </w:tc>
      </w:tr>
      <w:tr w:rsidR="00271E37" w:rsidRPr="00827C65" w14:paraId="0C70B4D0" w14:textId="77777777">
        <w:trPr>
          <w:trHeight w:val="74"/>
        </w:trPr>
        <w:tc>
          <w:tcPr>
            <w:tcW w:w="5975" w:type="dxa"/>
            <w:tcBorders>
              <w:top w:val="nil"/>
              <w:left w:val="nil"/>
              <w:bottom w:val="single" w:sz="4" w:space="0" w:color="auto"/>
              <w:right w:val="nil"/>
            </w:tcBorders>
            <w:hideMark/>
          </w:tcPr>
          <w:p w14:paraId="54CF0035" w14:textId="77777777" w:rsidR="00271E37" w:rsidRPr="00091C79" w:rsidRDefault="00271E37">
            <w:pPr>
              <w:rPr>
                <w:lang w:val="en-US"/>
              </w:rPr>
            </w:pPr>
            <w:r w:rsidRPr="00091C79">
              <w:rPr>
                <w:lang w:val="en-US"/>
              </w:rPr>
              <w:t> </w:t>
            </w:r>
          </w:p>
        </w:tc>
        <w:tc>
          <w:tcPr>
            <w:tcW w:w="1221" w:type="dxa"/>
            <w:tcBorders>
              <w:top w:val="nil"/>
              <w:left w:val="nil"/>
              <w:bottom w:val="single" w:sz="4" w:space="0" w:color="auto"/>
              <w:right w:val="nil"/>
            </w:tcBorders>
            <w:hideMark/>
          </w:tcPr>
          <w:p w14:paraId="2447E672" w14:textId="77777777" w:rsidR="00271E37" w:rsidRPr="00827C65" w:rsidRDefault="00271E37">
            <w:pPr>
              <w:jc w:val="right"/>
              <w:rPr>
                <w:b/>
                <w:bCs/>
                <w:lang w:val="en-US"/>
              </w:rPr>
            </w:pPr>
            <w:r w:rsidRPr="00091C79">
              <w:rPr>
                <w:b/>
                <w:bCs/>
                <w:lang w:val="en-US"/>
              </w:rPr>
              <w:t>£</w:t>
            </w:r>
            <w:r w:rsidRPr="00827C65">
              <w:rPr>
                <w:b/>
                <w:bCs/>
                <w:lang w:val="en-US"/>
              </w:rPr>
              <w:t>000</w:t>
            </w:r>
          </w:p>
        </w:tc>
        <w:tc>
          <w:tcPr>
            <w:tcW w:w="1221" w:type="dxa"/>
            <w:tcBorders>
              <w:top w:val="nil"/>
              <w:left w:val="nil"/>
              <w:bottom w:val="single" w:sz="4" w:space="0" w:color="auto"/>
              <w:right w:val="nil"/>
            </w:tcBorders>
            <w:hideMark/>
          </w:tcPr>
          <w:p w14:paraId="75605A2F" w14:textId="77777777" w:rsidR="00271E37" w:rsidRPr="00827C65" w:rsidRDefault="00271E37">
            <w:pPr>
              <w:jc w:val="right"/>
              <w:rPr>
                <w:b/>
                <w:bCs/>
                <w:lang w:val="en-US"/>
              </w:rPr>
            </w:pPr>
            <w:r w:rsidRPr="00091C79">
              <w:rPr>
                <w:b/>
                <w:bCs/>
                <w:lang w:val="en-US"/>
              </w:rPr>
              <w:t>£</w:t>
            </w:r>
            <w:r w:rsidRPr="00827C65">
              <w:rPr>
                <w:b/>
                <w:bCs/>
                <w:lang w:val="en-US"/>
              </w:rPr>
              <w:t>000</w:t>
            </w:r>
          </w:p>
        </w:tc>
      </w:tr>
      <w:tr w:rsidR="00271E37" w:rsidRPr="00827C65" w14:paraId="327FF65F" w14:textId="77777777">
        <w:trPr>
          <w:trHeight w:val="227"/>
        </w:trPr>
        <w:tc>
          <w:tcPr>
            <w:tcW w:w="5975" w:type="dxa"/>
            <w:tcBorders>
              <w:top w:val="single" w:sz="4" w:space="0" w:color="auto"/>
              <w:left w:val="nil"/>
              <w:bottom w:val="nil"/>
              <w:right w:val="nil"/>
            </w:tcBorders>
            <w:hideMark/>
          </w:tcPr>
          <w:p w14:paraId="5AD54D3A" w14:textId="77777777" w:rsidR="00271E37" w:rsidRPr="00091C79" w:rsidRDefault="00271E37">
            <w:pPr>
              <w:rPr>
                <w:lang w:val="en-US"/>
              </w:rPr>
            </w:pPr>
            <w:r w:rsidRPr="00091C79">
              <w:rPr>
                <w:lang w:val="en-US"/>
              </w:rPr>
              <w:t>Revenue</w:t>
            </w:r>
          </w:p>
        </w:tc>
        <w:tc>
          <w:tcPr>
            <w:tcW w:w="1221" w:type="dxa"/>
            <w:tcBorders>
              <w:top w:val="single" w:sz="4" w:space="0" w:color="auto"/>
              <w:left w:val="nil"/>
              <w:bottom w:val="nil"/>
              <w:right w:val="nil"/>
            </w:tcBorders>
            <w:vAlign w:val="center"/>
          </w:tcPr>
          <w:p w14:paraId="440096B7" w14:textId="77777777" w:rsidR="00271E37" w:rsidRPr="00091C79" w:rsidRDefault="00271E37">
            <w:pPr>
              <w:jc w:val="right"/>
              <w:rPr>
                <w:lang w:val="en-US"/>
              </w:rPr>
            </w:pPr>
            <w:r>
              <w:rPr>
                <w:rFonts w:cs="Arial"/>
                <w:color w:val="000000"/>
                <w:szCs w:val="16"/>
              </w:rPr>
              <w:t xml:space="preserve">21,770 </w:t>
            </w:r>
          </w:p>
        </w:tc>
        <w:tc>
          <w:tcPr>
            <w:tcW w:w="1221" w:type="dxa"/>
            <w:tcBorders>
              <w:top w:val="single" w:sz="4" w:space="0" w:color="auto"/>
              <w:left w:val="nil"/>
              <w:bottom w:val="nil"/>
              <w:right w:val="nil"/>
            </w:tcBorders>
            <w:vAlign w:val="center"/>
          </w:tcPr>
          <w:p w14:paraId="65A2D2DB" w14:textId="77777777" w:rsidR="00271E37" w:rsidRPr="00091C79" w:rsidRDefault="00271E37">
            <w:pPr>
              <w:jc w:val="right"/>
              <w:rPr>
                <w:lang w:val="en-US"/>
              </w:rPr>
            </w:pPr>
            <w:r>
              <w:rPr>
                <w:rFonts w:cs="Arial"/>
                <w:color w:val="000000"/>
                <w:szCs w:val="16"/>
              </w:rPr>
              <w:t xml:space="preserve">341,735 </w:t>
            </w:r>
          </w:p>
        </w:tc>
      </w:tr>
      <w:tr w:rsidR="00271E37" w:rsidRPr="00827C65" w14:paraId="1C786083" w14:textId="77777777">
        <w:trPr>
          <w:trHeight w:val="227"/>
        </w:trPr>
        <w:tc>
          <w:tcPr>
            <w:tcW w:w="5975" w:type="dxa"/>
            <w:tcBorders>
              <w:top w:val="nil"/>
              <w:left w:val="nil"/>
              <w:bottom w:val="single" w:sz="4" w:space="0" w:color="auto"/>
              <w:right w:val="nil"/>
            </w:tcBorders>
            <w:hideMark/>
          </w:tcPr>
          <w:p w14:paraId="721B7A0B" w14:textId="77777777" w:rsidR="00271E37" w:rsidRPr="00091C79" w:rsidRDefault="00271E37">
            <w:pPr>
              <w:rPr>
                <w:lang w:val="en-US"/>
              </w:rPr>
            </w:pPr>
            <w:r w:rsidRPr="00091C79">
              <w:rPr>
                <w:lang w:val="en-US"/>
              </w:rPr>
              <w:t>Expenses</w:t>
            </w:r>
          </w:p>
        </w:tc>
        <w:tc>
          <w:tcPr>
            <w:tcW w:w="1221" w:type="dxa"/>
            <w:tcBorders>
              <w:top w:val="nil"/>
              <w:left w:val="nil"/>
              <w:bottom w:val="single" w:sz="4" w:space="0" w:color="auto"/>
              <w:right w:val="nil"/>
            </w:tcBorders>
            <w:vAlign w:val="center"/>
          </w:tcPr>
          <w:p w14:paraId="2325E88A" w14:textId="241732DD" w:rsidR="00271E37" w:rsidRPr="00091C79" w:rsidRDefault="00271E37">
            <w:pPr>
              <w:jc w:val="right"/>
              <w:rPr>
                <w:lang w:val="en-US"/>
              </w:rPr>
            </w:pPr>
            <w:r>
              <w:rPr>
                <w:rFonts w:cs="Arial"/>
                <w:color w:val="000000"/>
                <w:szCs w:val="16"/>
              </w:rPr>
              <w:t>(29,17</w:t>
            </w:r>
            <w:r w:rsidR="00042138">
              <w:rPr>
                <w:rFonts w:cs="Arial"/>
                <w:color w:val="000000"/>
                <w:szCs w:val="16"/>
              </w:rPr>
              <w:t>3</w:t>
            </w:r>
            <w:r>
              <w:rPr>
                <w:rFonts w:cs="Arial"/>
                <w:color w:val="000000"/>
                <w:szCs w:val="16"/>
              </w:rPr>
              <w:t>)</w:t>
            </w:r>
          </w:p>
        </w:tc>
        <w:tc>
          <w:tcPr>
            <w:tcW w:w="1221" w:type="dxa"/>
            <w:tcBorders>
              <w:top w:val="nil"/>
              <w:left w:val="nil"/>
              <w:bottom w:val="single" w:sz="4" w:space="0" w:color="auto"/>
              <w:right w:val="nil"/>
            </w:tcBorders>
            <w:vAlign w:val="center"/>
          </w:tcPr>
          <w:p w14:paraId="0056C962" w14:textId="77777777" w:rsidR="00271E37" w:rsidRPr="00091C79" w:rsidRDefault="00271E37">
            <w:pPr>
              <w:jc w:val="right"/>
              <w:rPr>
                <w:lang w:val="en-US"/>
              </w:rPr>
            </w:pPr>
            <w:r>
              <w:rPr>
                <w:rFonts w:cs="Arial"/>
                <w:color w:val="000000"/>
                <w:szCs w:val="16"/>
              </w:rPr>
              <w:t>(394,951)</w:t>
            </w:r>
          </w:p>
        </w:tc>
      </w:tr>
      <w:tr w:rsidR="00271E37" w:rsidRPr="00827C65" w14:paraId="545BC5C4" w14:textId="77777777">
        <w:trPr>
          <w:trHeight w:val="227"/>
        </w:trPr>
        <w:tc>
          <w:tcPr>
            <w:tcW w:w="5975" w:type="dxa"/>
            <w:tcBorders>
              <w:top w:val="single" w:sz="4" w:space="0" w:color="auto"/>
              <w:left w:val="nil"/>
              <w:bottom w:val="nil"/>
              <w:right w:val="nil"/>
            </w:tcBorders>
            <w:hideMark/>
          </w:tcPr>
          <w:p w14:paraId="511B4600" w14:textId="77777777" w:rsidR="00271E37" w:rsidRPr="00091C79" w:rsidRDefault="00271E37">
            <w:pPr>
              <w:rPr>
                <w:lang w:val="en-US"/>
              </w:rPr>
            </w:pPr>
            <w:r w:rsidRPr="00091C79">
              <w:rPr>
                <w:lang w:val="en-US"/>
              </w:rPr>
              <w:t xml:space="preserve">Loss before income tax </w:t>
            </w:r>
          </w:p>
        </w:tc>
        <w:tc>
          <w:tcPr>
            <w:tcW w:w="1221" w:type="dxa"/>
            <w:tcBorders>
              <w:top w:val="single" w:sz="4" w:space="0" w:color="auto"/>
              <w:left w:val="nil"/>
              <w:bottom w:val="nil"/>
              <w:right w:val="nil"/>
            </w:tcBorders>
            <w:vAlign w:val="center"/>
          </w:tcPr>
          <w:p w14:paraId="1E595002" w14:textId="29071966" w:rsidR="00271E37" w:rsidRPr="00091C79" w:rsidRDefault="00271E37">
            <w:pPr>
              <w:jc w:val="right"/>
              <w:rPr>
                <w:lang w:val="en-US"/>
              </w:rPr>
            </w:pPr>
            <w:r w:rsidRPr="0059552D">
              <w:rPr>
                <w:rFonts w:cs="Arial"/>
                <w:color w:val="000000"/>
                <w:szCs w:val="16"/>
              </w:rPr>
              <w:t>(7,40</w:t>
            </w:r>
            <w:r w:rsidR="00F662CF" w:rsidRPr="00D50533">
              <w:rPr>
                <w:rFonts w:cs="Arial"/>
                <w:color w:val="000000"/>
                <w:szCs w:val="16"/>
              </w:rPr>
              <w:t>3</w:t>
            </w:r>
            <w:r w:rsidRPr="0059552D">
              <w:rPr>
                <w:rFonts w:cs="Arial"/>
                <w:color w:val="000000"/>
                <w:szCs w:val="16"/>
              </w:rPr>
              <w:t>)</w:t>
            </w:r>
          </w:p>
        </w:tc>
        <w:tc>
          <w:tcPr>
            <w:tcW w:w="1221" w:type="dxa"/>
            <w:tcBorders>
              <w:top w:val="single" w:sz="4" w:space="0" w:color="auto"/>
              <w:left w:val="nil"/>
              <w:bottom w:val="nil"/>
              <w:right w:val="nil"/>
            </w:tcBorders>
            <w:vAlign w:val="center"/>
          </w:tcPr>
          <w:p w14:paraId="635F26AE" w14:textId="77777777" w:rsidR="00271E37" w:rsidRPr="00091C79" w:rsidRDefault="00271E37">
            <w:pPr>
              <w:jc w:val="right"/>
              <w:rPr>
                <w:lang w:val="en-US"/>
              </w:rPr>
            </w:pPr>
            <w:r>
              <w:rPr>
                <w:rFonts w:cs="Arial"/>
                <w:color w:val="000000"/>
                <w:szCs w:val="16"/>
              </w:rPr>
              <w:t>(53,216)</w:t>
            </w:r>
          </w:p>
        </w:tc>
      </w:tr>
      <w:tr w:rsidR="00271E37" w:rsidRPr="00827C65" w14:paraId="3B728D14" w14:textId="77777777">
        <w:trPr>
          <w:trHeight w:val="227"/>
        </w:trPr>
        <w:tc>
          <w:tcPr>
            <w:tcW w:w="5975" w:type="dxa"/>
            <w:tcBorders>
              <w:top w:val="nil"/>
              <w:left w:val="nil"/>
              <w:bottom w:val="single" w:sz="4" w:space="0" w:color="auto"/>
              <w:right w:val="nil"/>
            </w:tcBorders>
            <w:hideMark/>
          </w:tcPr>
          <w:p w14:paraId="5FBEC0E6" w14:textId="370F8D30" w:rsidR="00271E37" w:rsidRPr="00091C79" w:rsidRDefault="00271E37">
            <w:pPr>
              <w:rPr>
                <w:lang w:val="en-US"/>
              </w:rPr>
            </w:pPr>
            <w:r w:rsidRPr="00091C79">
              <w:rPr>
                <w:lang w:val="en-US"/>
              </w:rPr>
              <w:t>Income tax charge</w:t>
            </w:r>
          </w:p>
        </w:tc>
        <w:tc>
          <w:tcPr>
            <w:tcW w:w="1221" w:type="dxa"/>
            <w:tcBorders>
              <w:top w:val="nil"/>
              <w:left w:val="nil"/>
              <w:bottom w:val="single" w:sz="4" w:space="0" w:color="auto"/>
              <w:right w:val="nil"/>
            </w:tcBorders>
            <w:vAlign w:val="center"/>
          </w:tcPr>
          <w:p w14:paraId="33FB2972" w14:textId="1066165E" w:rsidR="00271E37" w:rsidRPr="00091C79" w:rsidRDefault="00271E37">
            <w:pPr>
              <w:jc w:val="right"/>
              <w:rPr>
                <w:lang w:val="en-US"/>
              </w:rPr>
            </w:pPr>
            <w:r>
              <w:rPr>
                <w:rFonts w:cs="Arial"/>
                <w:color w:val="000000"/>
                <w:szCs w:val="16"/>
              </w:rPr>
              <w:t>(</w:t>
            </w:r>
            <w:r w:rsidR="00F662CF">
              <w:rPr>
                <w:rFonts w:cs="Arial"/>
                <w:color w:val="000000"/>
                <w:szCs w:val="16"/>
              </w:rPr>
              <w:t>96</w:t>
            </w:r>
            <w:r>
              <w:rPr>
                <w:rFonts w:cs="Arial"/>
                <w:color w:val="000000"/>
                <w:szCs w:val="16"/>
              </w:rPr>
              <w:t xml:space="preserve">) </w:t>
            </w:r>
          </w:p>
        </w:tc>
        <w:tc>
          <w:tcPr>
            <w:tcW w:w="1221" w:type="dxa"/>
            <w:tcBorders>
              <w:top w:val="nil"/>
              <w:left w:val="nil"/>
              <w:bottom w:val="single" w:sz="4" w:space="0" w:color="auto"/>
              <w:right w:val="nil"/>
            </w:tcBorders>
            <w:vAlign w:val="center"/>
          </w:tcPr>
          <w:p w14:paraId="4571D7DA" w14:textId="77777777" w:rsidR="00271E37" w:rsidRPr="00091C79" w:rsidRDefault="00271E37">
            <w:pPr>
              <w:jc w:val="right"/>
              <w:rPr>
                <w:lang w:val="en-US"/>
              </w:rPr>
            </w:pPr>
            <w:r>
              <w:rPr>
                <w:rFonts w:cs="Arial"/>
                <w:color w:val="000000"/>
                <w:szCs w:val="16"/>
              </w:rPr>
              <w:t xml:space="preserve">(29,379) </w:t>
            </w:r>
          </w:p>
        </w:tc>
      </w:tr>
      <w:tr w:rsidR="00271E37" w:rsidRPr="00827C65" w14:paraId="17F7BCB1" w14:textId="77777777">
        <w:trPr>
          <w:trHeight w:val="227"/>
        </w:trPr>
        <w:tc>
          <w:tcPr>
            <w:tcW w:w="5975" w:type="dxa"/>
            <w:tcBorders>
              <w:top w:val="single" w:sz="4" w:space="0" w:color="auto"/>
              <w:left w:val="nil"/>
              <w:bottom w:val="nil"/>
              <w:right w:val="nil"/>
            </w:tcBorders>
            <w:hideMark/>
          </w:tcPr>
          <w:p w14:paraId="349B0BA9" w14:textId="77777777" w:rsidR="00271E37" w:rsidRPr="00091C79" w:rsidRDefault="00271E37">
            <w:pPr>
              <w:rPr>
                <w:lang w:val="en-US"/>
              </w:rPr>
            </w:pPr>
            <w:r w:rsidRPr="00091C79">
              <w:rPr>
                <w:lang w:val="en-US"/>
              </w:rPr>
              <w:t xml:space="preserve">Loss after tax </w:t>
            </w:r>
          </w:p>
        </w:tc>
        <w:tc>
          <w:tcPr>
            <w:tcW w:w="1221" w:type="dxa"/>
            <w:tcBorders>
              <w:top w:val="single" w:sz="4" w:space="0" w:color="auto"/>
              <w:left w:val="nil"/>
              <w:bottom w:val="nil"/>
              <w:right w:val="nil"/>
            </w:tcBorders>
            <w:vAlign w:val="center"/>
          </w:tcPr>
          <w:p w14:paraId="3B1B329A" w14:textId="77777777" w:rsidR="00271E37" w:rsidRPr="00091C79" w:rsidRDefault="00271E37">
            <w:pPr>
              <w:jc w:val="right"/>
              <w:rPr>
                <w:lang w:val="en-US"/>
              </w:rPr>
            </w:pPr>
            <w:r>
              <w:rPr>
                <w:rFonts w:cs="Arial"/>
                <w:color w:val="000000"/>
                <w:szCs w:val="16"/>
              </w:rPr>
              <w:t>(7,499)</w:t>
            </w:r>
          </w:p>
        </w:tc>
        <w:tc>
          <w:tcPr>
            <w:tcW w:w="1221" w:type="dxa"/>
            <w:tcBorders>
              <w:top w:val="single" w:sz="4" w:space="0" w:color="auto"/>
              <w:left w:val="nil"/>
              <w:bottom w:val="nil"/>
              <w:right w:val="nil"/>
            </w:tcBorders>
            <w:vAlign w:val="center"/>
          </w:tcPr>
          <w:p w14:paraId="1D71207A" w14:textId="77777777" w:rsidR="00271E37" w:rsidRPr="00091C79" w:rsidRDefault="00271E37">
            <w:pPr>
              <w:jc w:val="right"/>
              <w:rPr>
                <w:lang w:val="en-US"/>
              </w:rPr>
            </w:pPr>
            <w:r>
              <w:rPr>
                <w:rFonts w:cs="Arial"/>
                <w:color w:val="000000"/>
                <w:szCs w:val="16"/>
              </w:rPr>
              <w:t>(82,595)</w:t>
            </w:r>
          </w:p>
        </w:tc>
      </w:tr>
      <w:tr w:rsidR="00271E37" w:rsidRPr="00827C65" w14:paraId="2E7AE73C" w14:textId="77777777">
        <w:trPr>
          <w:trHeight w:val="227"/>
        </w:trPr>
        <w:tc>
          <w:tcPr>
            <w:tcW w:w="5975" w:type="dxa"/>
            <w:tcBorders>
              <w:top w:val="nil"/>
              <w:left w:val="nil"/>
              <w:bottom w:val="single" w:sz="4" w:space="0" w:color="auto"/>
              <w:right w:val="nil"/>
            </w:tcBorders>
            <w:hideMark/>
          </w:tcPr>
          <w:p w14:paraId="160E9A03" w14:textId="77777777" w:rsidR="00271E37" w:rsidRPr="00091C79" w:rsidRDefault="00271E37">
            <w:pPr>
              <w:rPr>
                <w:lang w:val="en-US"/>
              </w:rPr>
            </w:pPr>
            <w:r w:rsidRPr="00091C79">
              <w:rPr>
                <w:lang w:val="en-US"/>
              </w:rPr>
              <w:t>Loss on disposal</w:t>
            </w:r>
          </w:p>
        </w:tc>
        <w:tc>
          <w:tcPr>
            <w:tcW w:w="1221" w:type="dxa"/>
            <w:tcBorders>
              <w:top w:val="nil"/>
              <w:left w:val="nil"/>
              <w:bottom w:val="single" w:sz="4" w:space="0" w:color="auto"/>
              <w:right w:val="nil"/>
            </w:tcBorders>
            <w:vAlign w:val="center"/>
          </w:tcPr>
          <w:p w14:paraId="4937120C" w14:textId="77777777" w:rsidR="00271E37" w:rsidRPr="00091C79" w:rsidRDefault="00271E37">
            <w:pPr>
              <w:jc w:val="right"/>
              <w:rPr>
                <w:lang w:val="en-US"/>
              </w:rPr>
            </w:pPr>
            <w:r w:rsidRPr="0059552D">
              <w:rPr>
                <w:rFonts w:cs="Arial"/>
                <w:color w:val="000000"/>
                <w:szCs w:val="16"/>
              </w:rPr>
              <w:t>(110,168)</w:t>
            </w:r>
          </w:p>
        </w:tc>
        <w:tc>
          <w:tcPr>
            <w:tcW w:w="1221" w:type="dxa"/>
            <w:tcBorders>
              <w:top w:val="nil"/>
              <w:left w:val="nil"/>
              <w:bottom w:val="single" w:sz="4" w:space="0" w:color="auto"/>
              <w:right w:val="nil"/>
            </w:tcBorders>
            <w:vAlign w:val="center"/>
          </w:tcPr>
          <w:p w14:paraId="60BC2F99" w14:textId="77777777" w:rsidR="00271E37" w:rsidRPr="00091C79" w:rsidRDefault="00271E37">
            <w:pPr>
              <w:jc w:val="right"/>
              <w:rPr>
                <w:lang w:val="en-US"/>
              </w:rPr>
            </w:pPr>
            <w:r>
              <w:rPr>
                <w:rFonts w:cs="Arial"/>
                <w:color w:val="000000"/>
                <w:szCs w:val="16"/>
              </w:rPr>
              <w:t xml:space="preserve"> - </w:t>
            </w:r>
          </w:p>
        </w:tc>
      </w:tr>
      <w:tr w:rsidR="00271E37" w:rsidRPr="00827C65" w14:paraId="1171F0F9" w14:textId="77777777">
        <w:trPr>
          <w:trHeight w:val="227"/>
        </w:trPr>
        <w:tc>
          <w:tcPr>
            <w:tcW w:w="5975" w:type="dxa"/>
            <w:tcBorders>
              <w:top w:val="single" w:sz="4" w:space="0" w:color="auto"/>
              <w:left w:val="nil"/>
              <w:bottom w:val="single" w:sz="4" w:space="0" w:color="auto"/>
              <w:right w:val="nil"/>
            </w:tcBorders>
            <w:hideMark/>
          </w:tcPr>
          <w:p w14:paraId="3C05BCCB" w14:textId="77777777" w:rsidR="00271E37" w:rsidRPr="00091C79" w:rsidRDefault="00271E37">
            <w:pPr>
              <w:rPr>
                <w:lang w:val="en-US"/>
              </w:rPr>
            </w:pPr>
            <w:r w:rsidRPr="00091C79">
              <w:rPr>
                <w:lang w:val="en-US"/>
              </w:rPr>
              <w:t>Loss from discontinued operations</w:t>
            </w:r>
          </w:p>
        </w:tc>
        <w:tc>
          <w:tcPr>
            <w:tcW w:w="1221" w:type="dxa"/>
            <w:tcBorders>
              <w:top w:val="single" w:sz="4" w:space="0" w:color="auto"/>
              <w:left w:val="nil"/>
              <w:bottom w:val="single" w:sz="4" w:space="0" w:color="auto"/>
              <w:right w:val="nil"/>
            </w:tcBorders>
            <w:vAlign w:val="center"/>
          </w:tcPr>
          <w:p w14:paraId="432882F9" w14:textId="77777777" w:rsidR="00271E37" w:rsidRPr="00091C79" w:rsidRDefault="00271E37">
            <w:pPr>
              <w:jc w:val="right"/>
              <w:rPr>
                <w:lang w:val="en-US"/>
              </w:rPr>
            </w:pPr>
            <w:r>
              <w:rPr>
                <w:rFonts w:cs="Arial"/>
                <w:b/>
                <w:bCs/>
                <w:color w:val="000000"/>
                <w:szCs w:val="16"/>
              </w:rPr>
              <w:t>(117,667)</w:t>
            </w:r>
          </w:p>
        </w:tc>
        <w:tc>
          <w:tcPr>
            <w:tcW w:w="1221" w:type="dxa"/>
            <w:tcBorders>
              <w:top w:val="single" w:sz="4" w:space="0" w:color="auto"/>
              <w:left w:val="nil"/>
              <w:bottom w:val="single" w:sz="4" w:space="0" w:color="auto"/>
              <w:right w:val="nil"/>
            </w:tcBorders>
            <w:vAlign w:val="center"/>
          </w:tcPr>
          <w:p w14:paraId="04357263" w14:textId="77777777" w:rsidR="00271E37" w:rsidRPr="00091C79" w:rsidRDefault="00271E37">
            <w:pPr>
              <w:jc w:val="right"/>
              <w:rPr>
                <w:lang w:val="en-US"/>
              </w:rPr>
            </w:pPr>
            <w:r>
              <w:rPr>
                <w:rFonts w:cs="Arial"/>
                <w:color w:val="000000"/>
                <w:szCs w:val="16"/>
              </w:rPr>
              <w:t>(82,595)</w:t>
            </w:r>
          </w:p>
        </w:tc>
      </w:tr>
      <w:tr w:rsidR="00271E37" w:rsidRPr="00827C65" w14:paraId="1B32C1C7" w14:textId="77777777">
        <w:trPr>
          <w:trHeight w:val="227"/>
        </w:trPr>
        <w:tc>
          <w:tcPr>
            <w:tcW w:w="5975" w:type="dxa"/>
            <w:tcBorders>
              <w:top w:val="single" w:sz="4" w:space="0" w:color="auto"/>
              <w:left w:val="nil"/>
              <w:bottom w:val="nil"/>
              <w:right w:val="nil"/>
            </w:tcBorders>
            <w:hideMark/>
          </w:tcPr>
          <w:p w14:paraId="5B362BFD" w14:textId="77777777" w:rsidR="00271E37" w:rsidRPr="00091C79" w:rsidRDefault="00271E37">
            <w:pPr>
              <w:rPr>
                <w:lang w:val="en-US"/>
              </w:rPr>
            </w:pPr>
          </w:p>
        </w:tc>
        <w:tc>
          <w:tcPr>
            <w:tcW w:w="1221" w:type="dxa"/>
            <w:tcBorders>
              <w:top w:val="single" w:sz="4" w:space="0" w:color="auto"/>
              <w:left w:val="nil"/>
              <w:bottom w:val="nil"/>
              <w:right w:val="nil"/>
            </w:tcBorders>
            <w:vAlign w:val="center"/>
          </w:tcPr>
          <w:p w14:paraId="48427734" w14:textId="77777777" w:rsidR="00271E37" w:rsidRPr="00091C79" w:rsidRDefault="00271E37">
            <w:pPr>
              <w:jc w:val="right"/>
            </w:pPr>
          </w:p>
        </w:tc>
        <w:tc>
          <w:tcPr>
            <w:tcW w:w="1221" w:type="dxa"/>
            <w:tcBorders>
              <w:top w:val="single" w:sz="4" w:space="0" w:color="auto"/>
              <w:left w:val="nil"/>
              <w:bottom w:val="nil"/>
              <w:right w:val="nil"/>
            </w:tcBorders>
            <w:vAlign w:val="center"/>
          </w:tcPr>
          <w:p w14:paraId="38E3EE1E" w14:textId="77777777" w:rsidR="00271E37" w:rsidRPr="00091C79" w:rsidRDefault="00271E37">
            <w:pPr>
              <w:jc w:val="right"/>
            </w:pPr>
          </w:p>
        </w:tc>
      </w:tr>
      <w:tr w:rsidR="00271E37" w:rsidRPr="00827C65" w14:paraId="396B972A" w14:textId="77777777">
        <w:trPr>
          <w:trHeight w:val="227"/>
        </w:trPr>
        <w:tc>
          <w:tcPr>
            <w:tcW w:w="5975" w:type="dxa"/>
            <w:hideMark/>
          </w:tcPr>
          <w:p w14:paraId="0540B0B6" w14:textId="77777777" w:rsidR="00271E37" w:rsidRPr="00091C79" w:rsidRDefault="00271E37">
            <w:pPr>
              <w:rPr>
                <w:lang w:val="en-US"/>
              </w:rPr>
            </w:pPr>
            <w:r w:rsidRPr="00091C79">
              <w:rPr>
                <w:lang w:val="en-US"/>
              </w:rPr>
              <w:t>Net cash (outflow)/inflow from operating activities</w:t>
            </w:r>
          </w:p>
        </w:tc>
        <w:tc>
          <w:tcPr>
            <w:tcW w:w="1221" w:type="dxa"/>
            <w:vAlign w:val="center"/>
          </w:tcPr>
          <w:p w14:paraId="1DC7D930" w14:textId="77777777" w:rsidR="00271E37" w:rsidRPr="00091C79" w:rsidRDefault="00271E37">
            <w:pPr>
              <w:jc w:val="right"/>
              <w:rPr>
                <w:lang w:val="en-US"/>
              </w:rPr>
            </w:pPr>
            <w:r>
              <w:rPr>
                <w:rFonts w:cs="Arial"/>
                <w:color w:val="000000"/>
                <w:szCs w:val="16"/>
              </w:rPr>
              <w:t>(18,236)</w:t>
            </w:r>
          </w:p>
        </w:tc>
        <w:tc>
          <w:tcPr>
            <w:tcW w:w="1221" w:type="dxa"/>
            <w:vAlign w:val="center"/>
          </w:tcPr>
          <w:p w14:paraId="16E3BA37" w14:textId="77772943" w:rsidR="00271E37" w:rsidRPr="00091C79" w:rsidRDefault="00AD45AC">
            <w:pPr>
              <w:jc w:val="right"/>
              <w:rPr>
                <w:lang w:val="en-US"/>
              </w:rPr>
            </w:pPr>
            <w:r w:rsidRPr="00B8452B">
              <w:rPr>
                <w:rFonts w:cs="Arial"/>
                <w:color w:val="000000"/>
                <w:szCs w:val="16"/>
              </w:rPr>
              <w:t>118</w:t>
            </w:r>
            <w:r w:rsidR="00271E37">
              <w:rPr>
                <w:rFonts w:cs="Arial"/>
                <w:color w:val="000000"/>
                <w:szCs w:val="16"/>
              </w:rPr>
              <w:t xml:space="preserve"> </w:t>
            </w:r>
          </w:p>
        </w:tc>
      </w:tr>
      <w:tr w:rsidR="00271E37" w:rsidRPr="00827C65" w14:paraId="335BF657" w14:textId="77777777">
        <w:trPr>
          <w:trHeight w:val="227"/>
        </w:trPr>
        <w:tc>
          <w:tcPr>
            <w:tcW w:w="5975" w:type="dxa"/>
            <w:hideMark/>
          </w:tcPr>
          <w:p w14:paraId="6F92EF29" w14:textId="6AA84BC4" w:rsidR="00271E37" w:rsidRPr="00091C79" w:rsidRDefault="00271E37">
            <w:pPr>
              <w:rPr>
                <w:lang w:val="en-US"/>
              </w:rPr>
            </w:pPr>
            <w:r w:rsidRPr="00091C79">
              <w:rPr>
                <w:lang w:val="en-US"/>
              </w:rPr>
              <w:t>Net cash (outflow)</w:t>
            </w:r>
            <w:r w:rsidR="00A44255">
              <w:rPr>
                <w:lang w:val="en-US"/>
              </w:rPr>
              <w:t>/inflow</w:t>
            </w:r>
            <w:r w:rsidRPr="00091C79">
              <w:rPr>
                <w:lang w:val="en-US"/>
              </w:rPr>
              <w:t xml:space="preserve"> from investing activities</w:t>
            </w:r>
          </w:p>
        </w:tc>
        <w:tc>
          <w:tcPr>
            <w:tcW w:w="1221" w:type="dxa"/>
            <w:vAlign w:val="center"/>
          </w:tcPr>
          <w:p w14:paraId="72EDEDFB" w14:textId="77777777" w:rsidR="00271E37" w:rsidRPr="00091C79" w:rsidRDefault="00271E37">
            <w:pPr>
              <w:jc w:val="right"/>
              <w:rPr>
                <w:lang w:val="en-US"/>
              </w:rPr>
            </w:pPr>
            <w:r>
              <w:rPr>
                <w:rFonts w:cs="Arial"/>
                <w:color w:val="000000"/>
                <w:szCs w:val="16"/>
              </w:rPr>
              <w:t>(6,249)</w:t>
            </w:r>
          </w:p>
        </w:tc>
        <w:tc>
          <w:tcPr>
            <w:tcW w:w="1221" w:type="dxa"/>
            <w:vAlign w:val="center"/>
          </w:tcPr>
          <w:p w14:paraId="2CCF9A37" w14:textId="77777777" w:rsidR="00271E37" w:rsidRPr="00091C79" w:rsidRDefault="00271E37">
            <w:pPr>
              <w:jc w:val="right"/>
              <w:rPr>
                <w:lang w:val="en-US"/>
              </w:rPr>
            </w:pPr>
            <w:r>
              <w:rPr>
                <w:rFonts w:cs="Arial"/>
                <w:color w:val="000000"/>
                <w:szCs w:val="16"/>
              </w:rPr>
              <w:t xml:space="preserve">4,298 </w:t>
            </w:r>
          </w:p>
        </w:tc>
      </w:tr>
      <w:tr w:rsidR="00271E37" w:rsidRPr="00827C65" w14:paraId="2E511535" w14:textId="77777777">
        <w:trPr>
          <w:trHeight w:val="227"/>
        </w:trPr>
        <w:tc>
          <w:tcPr>
            <w:tcW w:w="5975" w:type="dxa"/>
            <w:tcBorders>
              <w:top w:val="nil"/>
              <w:left w:val="nil"/>
              <w:bottom w:val="single" w:sz="4" w:space="0" w:color="auto"/>
              <w:right w:val="nil"/>
            </w:tcBorders>
            <w:hideMark/>
          </w:tcPr>
          <w:p w14:paraId="6A063095" w14:textId="77777777" w:rsidR="00271E37" w:rsidRPr="00091C79" w:rsidRDefault="00271E37">
            <w:pPr>
              <w:rPr>
                <w:lang w:val="en-US"/>
              </w:rPr>
            </w:pPr>
            <w:r w:rsidRPr="00091C79">
              <w:rPr>
                <w:lang w:val="en-US"/>
              </w:rPr>
              <w:t>Net cash outflow from financing activities</w:t>
            </w:r>
          </w:p>
        </w:tc>
        <w:tc>
          <w:tcPr>
            <w:tcW w:w="1221" w:type="dxa"/>
            <w:tcBorders>
              <w:top w:val="nil"/>
              <w:left w:val="nil"/>
              <w:bottom w:val="single" w:sz="4" w:space="0" w:color="auto"/>
              <w:right w:val="nil"/>
            </w:tcBorders>
            <w:vAlign w:val="center"/>
          </w:tcPr>
          <w:p w14:paraId="0A82C130" w14:textId="77777777" w:rsidR="00271E37" w:rsidRPr="00091C79" w:rsidRDefault="00271E37">
            <w:pPr>
              <w:jc w:val="right"/>
              <w:rPr>
                <w:lang w:val="en-US"/>
              </w:rPr>
            </w:pPr>
            <w:r>
              <w:rPr>
                <w:rFonts w:cs="Arial"/>
                <w:color w:val="000000"/>
                <w:szCs w:val="16"/>
              </w:rPr>
              <w:t>(1,269)</w:t>
            </w:r>
          </w:p>
        </w:tc>
        <w:tc>
          <w:tcPr>
            <w:tcW w:w="1221" w:type="dxa"/>
            <w:tcBorders>
              <w:top w:val="nil"/>
              <w:left w:val="nil"/>
              <w:bottom w:val="single" w:sz="4" w:space="0" w:color="auto"/>
              <w:right w:val="nil"/>
            </w:tcBorders>
            <w:vAlign w:val="center"/>
          </w:tcPr>
          <w:p w14:paraId="553A07FB" w14:textId="77777777" w:rsidR="00271E37" w:rsidRPr="00091C79" w:rsidRDefault="00271E37">
            <w:pPr>
              <w:jc w:val="right"/>
              <w:rPr>
                <w:lang w:val="en-US"/>
              </w:rPr>
            </w:pPr>
            <w:r>
              <w:rPr>
                <w:rFonts w:cs="Arial"/>
                <w:color w:val="000000"/>
                <w:szCs w:val="16"/>
              </w:rPr>
              <w:t>(9,741)</w:t>
            </w:r>
          </w:p>
        </w:tc>
      </w:tr>
      <w:tr w:rsidR="00271E37" w:rsidRPr="00B8452B" w14:paraId="7CE19DED" w14:textId="77777777">
        <w:trPr>
          <w:trHeight w:val="377"/>
        </w:trPr>
        <w:tc>
          <w:tcPr>
            <w:tcW w:w="5975" w:type="dxa"/>
            <w:tcBorders>
              <w:top w:val="single" w:sz="4" w:space="0" w:color="auto"/>
              <w:left w:val="nil"/>
              <w:bottom w:val="single" w:sz="12" w:space="0" w:color="auto"/>
              <w:right w:val="nil"/>
            </w:tcBorders>
            <w:hideMark/>
          </w:tcPr>
          <w:p w14:paraId="77A750BE" w14:textId="556F9C88" w:rsidR="00271E37" w:rsidRPr="00091C79" w:rsidRDefault="00271E37">
            <w:pPr>
              <w:rPr>
                <w:lang w:val="en-US"/>
              </w:rPr>
            </w:pPr>
            <w:r w:rsidRPr="00091C79">
              <w:rPr>
                <w:lang w:val="en-US"/>
              </w:rPr>
              <w:t>Net</w:t>
            </w:r>
            <w:r w:rsidR="00230A56">
              <w:rPr>
                <w:lang w:val="en-US"/>
              </w:rPr>
              <w:t xml:space="preserve"> decrease</w:t>
            </w:r>
            <w:r w:rsidRPr="00091C79" w:rsidDel="00230A56">
              <w:rPr>
                <w:lang w:val="en-US"/>
              </w:rPr>
              <w:t xml:space="preserve"> </w:t>
            </w:r>
            <w:r w:rsidRPr="00091C79">
              <w:rPr>
                <w:lang w:val="en-US"/>
              </w:rPr>
              <w:t>in cash and cash equivalents generated by discontinued operations</w:t>
            </w:r>
          </w:p>
        </w:tc>
        <w:tc>
          <w:tcPr>
            <w:tcW w:w="1221" w:type="dxa"/>
            <w:tcBorders>
              <w:top w:val="single" w:sz="4" w:space="0" w:color="auto"/>
              <w:left w:val="nil"/>
              <w:bottom w:val="single" w:sz="12" w:space="0" w:color="auto"/>
              <w:right w:val="nil"/>
            </w:tcBorders>
            <w:vAlign w:val="center"/>
          </w:tcPr>
          <w:p w14:paraId="68D17598" w14:textId="77777777" w:rsidR="00271E37" w:rsidRPr="00091C79" w:rsidRDefault="00271E37">
            <w:pPr>
              <w:jc w:val="right"/>
              <w:rPr>
                <w:lang w:val="en-US"/>
              </w:rPr>
            </w:pPr>
            <w:r>
              <w:rPr>
                <w:rFonts w:cs="Arial"/>
                <w:b/>
                <w:bCs/>
                <w:color w:val="000000"/>
                <w:szCs w:val="16"/>
              </w:rPr>
              <w:t>(25,754)</w:t>
            </w:r>
          </w:p>
        </w:tc>
        <w:tc>
          <w:tcPr>
            <w:tcW w:w="1221" w:type="dxa"/>
            <w:tcBorders>
              <w:top w:val="single" w:sz="4" w:space="0" w:color="auto"/>
              <w:left w:val="nil"/>
              <w:bottom w:val="single" w:sz="12" w:space="0" w:color="auto"/>
              <w:right w:val="nil"/>
            </w:tcBorders>
            <w:vAlign w:val="center"/>
          </w:tcPr>
          <w:p w14:paraId="469929B3" w14:textId="3176D94A" w:rsidR="00271E37" w:rsidRPr="00B8452B" w:rsidRDefault="00271E37">
            <w:pPr>
              <w:jc w:val="right"/>
              <w:rPr>
                <w:lang w:val="en-US"/>
              </w:rPr>
            </w:pPr>
            <w:r w:rsidRPr="00B8452B">
              <w:rPr>
                <w:rFonts w:cs="Arial"/>
                <w:color w:val="000000"/>
                <w:szCs w:val="16"/>
              </w:rPr>
              <w:t>(</w:t>
            </w:r>
            <w:r w:rsidR="006209AD" w:rsidRPr="00B8452B">
              <w:rPr>
                <w:rFonts w:cs="Arial"/>
                <w:color w:val="000000"/>
                <w:szCs w:val="16"/>
              </w:rPr>
              <w:t>5,325</w:t>
            </w:r>
            <w:r w:rsidRPr="00B8452B">
              <w:rPr>
                <w:rFonts w:cs="Arial"/>
                <w:color w:val="000000"/>
                <w:szCs w:val="16"/>
              </w:rPr>
              <w:t>)</w:t>
            </w:r>
          </w:p>
        </w:tc>
      </w:tr>
      <w:tr w:rsidR="00271E37" w:rsidRPr="00827C65" w14:paraId="6A5D732F" w14:textId="77777777">
        <w:trPr>
          <w:trHeight w:val="227"/>
        </w:trPr>
        <w:tc>
          <w:tcPr>
            <w:tcW w:w="5975" w:type="dxa"/>
            <w:tcBorders>
              <w:top w:val="single" w:sz="12" w:space="0" w:color="auto"/>
              <w:left w:val="nil"/>
              <w:bottom w:val="nil"/>
              <w:right w:val="nil"/>
            </w:tcBorders>
            <w:noWrap/>
            <w:hideMark/>
          </w:tcPr>
          <w:p w14:paraId="76748E7F" w14:textId="77777777" w:rsidR="00271E37" w:rsidRPr="00091C79" w:rsidRDefault="00271E37">
            <w:pPr>
              <w:rPr>
                <w:lang w:val="en-US"/>
              </w:rPr>
            </w:pPr>
          </w:p>
        </w:tc>
        <w:tc>
          <w:tcPr>
            <w:tcW w:w="1221" w:type="dxa"/>
            <w:tcBorders>
              <w:top w:val="single" w:sz="12" w:space="0" w:color="auto"/>
              <w:left w:val="nil"/>
              <w:bottom w:val="nil"/>
              <w:right w:val="nil"/>
            </w:tcBorders>
            <w:noWrap/>
            <w:hideMark/>
          </w:tcPr>
          <w:p w14:paraId="708B92A6" w14:textId="77777777" w:rsidR="00271E37" w:rsidRPr="00091C79" w:rsidRDefault="00271E37">
            <w:pPr>
              <w:jc w:val="right"/>
            </w:pPr>
          </w:p>
        </w:tc>
        <w:tc>
          <w:tcPr>
            <w:tcW w:w="1221" w:type="dxa"/>
            <w:tcBorders>
              <w:top w:val="single" w:sz="12" w:space="0" w:color="auto"/>
              <w:left w:val="nil"/>
              <w:bottom w:val="nil"/>
              <w:right w:val="nil"/>
            </w:tcBorders>
            <w:noWrap/>
            <w:hideMark/>
          </w:tcPr>
          <w:p w14:paraId="3585D587" w14:textId="77777777" w:rsidR="00271E37" w:rsidRPr="00091C79" w:rsidRDefault="00271E37">
            <w:pPr>
              <w:jc w:val="right"/>
            </w:pPr>
          </w:p>
        </w:tc>
      </w:tr>
      <w:tr w:rsidR="00271E37" w:rsidRPr="00827C65" w14:paraId="7FB130EB" w14:textId="77777777">
        <w:trPr>
          <w:trHeight w:val="227"/>
        </w:trPr>
        <w:tc>
          <w:tcPr>
            <w:tcW w:w="5975" w:type="dxa"/>
            <w:noWrap/>
            <w:hideMark/>
          </w:tcPr>
          <w:p w14:paraId="1E18B56E" w14:textId="77777777" w:rsidR="00271E37" w:rsidRPr="00091C79" w:rsidRDefault="00271E37"/>
        </w:tc>
        <w:tc>
          <w:tcPr>
            <w:tcW w:w="1221" w:type="dxa"/>
            <w:hideMark/>
          </w:tcPr>
          <w:p w14:paraId="34F51142" w14:textId="77777777" w:rsidR="00271E37" w:rsidRPr="00827C65" w:rsidRDefault="00271E37">
            <w:pPr>
              <w:jc w:val="right"/>
              <w:rPr>
                <w:b/>
                <w:bCs/>
                <w:lang w:val="en-US"/>
              </w:rPr>
            </w:pPr>
            <w:r w:rsidRPr="00091C79">
              <w:rPr>
                <w:b/>
                <w:bCs/>
                <w:lang w:val="en-US"/>
              </w:rPr>
              <w:t>Pence</w:t>
            </w:r>
          </w:p>
        </w:tc>
        <w:tc>
          <w:tcPr>
            <w:tcW w:w="1221" w:type="dxa"/>
            <w:hideMark/>
          </w:tcPr>
          <w:p w14:paraId="38A3D1B7" w14:textId="77777777" w:rsidR="00271E37" w:rsidRPr="00827C65" w:rsidRDefault="00271E37">
            <w:pPr>
              <w:jc w:val="right"/>
              <w:rPr>
                <w:b/>
                <w:bCs/>
                <w:lang w:val="en-US"/>
              </w:rPr>
            </w:pPr>
            <w:r w:rsidRPr="00091C79">
              <w:rPr>
                <w:b/>
                <w:bCs/>
                <w:lang w:val="en-US"/>
              </w:rPr>
              <w:t>Pence</w:t>
            </w:r>
          </w:p>
        </w:tc>
      </w:tr>
      <w:tr w:rsidR="00271E37" w:rsidRPr="00827C65" w14:paraId="77571A9D" w14:textId="77777777">
        <w:trPr>
          <w:trHeight w:val="227"/>
        </w:trPr>
        <w:tc>
          <w:tcPr>
            <w:tcW w:w="5975" w:type="dxa"/>
            <w:noWrap/>
            <w:hideMark/>
          </w:tcPr>
          <w:p w14:paraId="4BAEA699" w14:textId="77777777" w:rsidR="00271E37" w:rsidRPr="00091C79" w:rsidRDefault="00271E37">
            <w:pPr>
              <w:rPr>
                <w:lang w:val="en-US"/>
              </w:rPr>
            </w:pPr>
            <w:r w:rsidRPr="00091C79">
              <w:rPr>
                <w:lang w:val="en-US"/>
              </w:rPr>
              <w:t>Basic loss per share from discontinued operations</w:t>
            </w:r>
          </w:p>
        </w:tc>
        <w:tc>
          <w:tcPr>
            <w:tcW w:w="1221" w:type="dxa"/>
            <w:noWrap/>
            <w:vAlign w:val="bottom"/>
            <w:hideMark/>
          </w:tcPr>
          <w:p w14:paraId="063A25E9" w14:textId="77777777" w:rsidR="00271E37" w:rsidRPr="00091C79" w:rsidRDefault="00271E37">
            <w:pPr>
              <w:jc w:val="right"/>
              <w:rPr>
                <w:lang w:val="en-US"/>
              </w:rPr>
            </w:pPr>
            <w:r>
              <w:rPr>
                <w:rFonts w:cs="Arial"/>
                <w:color w:val="000000"/>
                <w:szCs w:val="16"/>
              </w:rPr>
              <w:t>(123.4)</w:t>
            </w:r>
          </w:p>
        </w:tc>
        <w:tc>
          <w:tcPr>
            <w:tcW w:w="1221" w:type="dxa"/>
            <w:noWrap/>
            <w:vAlign w:val="bottom"/>
            <w:hideMark/>
          </w:tcPr>
          <w:p w14:paraId="7FCD0573" w14:textId="77777777" w:rsidR="00271E37" w:rsidRPr="00091C79" w:rsidRDefault="00271E37">
            <w:pPr>
              <w:jc w:val="right"/>
              <w:rPr>
                <w:lang w:val="en-US"/>
              </w:rPr>
            </w:pPr>
            <w:r>
              <w:rPr>
                <w:rFonts w:cs="Arial"/>
                <w:color w:val="000000"/>
                <w:szCs w:val="16"/>
              </w:rPr>
              <w:t>(86.7)</w:t>
            </w:r>
          </w:p>
        </w:tc>
      </w:tr>
      <w:tr w:rsidR="00271E37" w:rsidRPr="00827C65" w14:paraId="616ABBDD" w14:textId="77777777">
        <w:trPr>
          <w:trHeight w:val="227"/>
        </w:trPr>
        <w:tc>
          <w:tcPr>
            <w:tcW w:w="5975" w:type="dxa"/>
            <w:noWrap/>
            <w:hideMark/>
          </w:tcPr>
          <w:p w14:paraId="63A4F364" w14:textId="77777777" w:rsidR="00271E37" w:rsidRPr="00091C79" w:rsidRDefault="00271E37">
            <w:pPr>
              <w:rPr>
                <w:lang w:val="en-US"/>
              </w:rPr>
            </w:pPr>
            <w:r w:rsidRPr="00091C79">
              <w:rPr>
                <w:lang w:val="en-US"/>
              </w:rPr>
              <w:t>Diluted loss per share from discontinued operations</w:t>
            </w:r>
          </w:p>
        </w:tc>
        <w:tc>
          <w:tcPr>
            <w:tcW w:w="1221" w:type="dxa"/>
            <w:noWrap/>
            <w:vAlign w:val="bottom"/>
            <w:hideMark/>
          </w:tcPr>
          <w:p w14:paraId="4A1A34FE" w14:textId="7FD1C0C1" w:rsidR="00271E37" w:rsidRPr="00091C79" w:rsidRDefault="00271E37">
            <w:pPr>
              <w:jc w:val="right"/>
              <w:rPr>
                <w:lang w:val="en-US"/>
              </w:rPr>
            </w:pPr>
            <w:r>
              <w:rPr>
                <w:rFonts w:cs="Arial"/>
                <w:color w:val="000000"/>
                <w:szCs w:val="16"/>
              </w:rPr>
              <w:t>(122.4)</w:t>
            </w:r>
          </w:p>
        </w:tc>
        <w:tc>
          <w:tcPr>
            <w:tcW w:w="1221" w:type="dxa"/>
            <w:noWrap/>
            <w:vAlign w:val="bottom"/>
            <w:hideMark/>
          </w:tcPr>
          <w:p w14:paraId="6A6FE32A" w14:textId="44EF420E" w:rsidR="00271E37" w:rsidRPr="00091C79" w:rsidRDefault="00271E37">
            <w:pPr>
              <w:jc w:val="right"/>
              <w:rPr>
                <w:lang w:val="en-US"/>
              </w:rPr>
            </w:pPr>
            <w:r>
              <w:rPr>
                <w:rFonts w:cs="Arial"/>
                <w:color w:val="000000"/>
                <w:szCs w:val="16"/>
              </w:rPr>
              <w:t>(85.7)</w:t>
            </w:r>
          </w:p>
        </w:tc>
      </w:tr>
    </w:tbl>
    <w:p w14:paraId="56B605EB" w14:textId="77777777" w:rsidR="00271E37" w:rsidRPr="00091C79" w:rsidRDefault="00271E37"/>
    <w:p w14:paraId="200DF325" w14:textId="77777777" w:rsidR="00271E37" w:rsidRPr="00091C79" w:rsidRDefault="00271E37">
      <w:r w:rsidRPr="00091C79">
        <w:t xml:space="preserve">Refer to note </w:t>
      </w:r>
      <w:r>
        <w:t>21</w:t>
      </w:r>
      <w:r w:rsidRPr="00091C79">
        <w:t xml:space="preserve"> (Loss)/earnings per share for the weighted average number of shares used in calculation of losses per share from discontinued operations. </w:t>
      </w:r>
    </w:p>
    <w:p w14:paraId="5235A610" w14:textId="77777777" w:rsidR="00271E37" w:rsidRPr="00091C79" w:rsidRDefault="00271E37"/>
    <w:p w14:paraId="6F30828F" w14:textId="77777777" w:rsidR="00271E37" w:rsidRPr="00091C79" w:rsidRDefault="00271E37">
      <w:r w:rsidRPr="00091C79">
        <w:t xml:space="preserve">During the period, DG Americas sold a property in Berwick, Pennsylvania that was previously classified as held for sale. The net proceeds were </w:t>
      </w:r>
      <w:r>
        <w:t>£1.8</w:t>
      </w:r>
      <w:r w:rsidRPr="00091C79">
        <w:t xml:space="preserve"> million. </w:t>
      </w:r>
    </w:p>
    <w:p w14:paraId="2D6BD854" w14:textId="77777777" w:rsidR="00271E37" w:rsidRDefault="00271E37" w:rsidP="002E39D4">
      <w:pPr>
        <w:rPr>
          <w:b/>
          <w:bCs/>
        </w:rPr>
      </w:pPr>
    </w:p>
    <w:p w14:paraId="4F51AEDD" w14:textId="77777777" w:rsidR="00271E37" w:rsidRPr="00452155" w:rsidRDefault="00271E37">
      <w:pPr>
        <w:pStyle w:val="Heading2"/>
      </w:pPr>
      <w:r>
        <w:t>5</w:t>
      </w:r>
      <w:r w:rsidRPr="00452155">
        <w:t xml:space="preserve"> Staff numbers and costs</w:t>
      </w:r>
    </w:p>
    <w:p w14:paraId="0BAE2570" w14:textId="77777777" w:rsidR="00271E37" w:rsidRDefault="00271E37" w:rsidP="002E39D4">
      <w:r>
        <w:t>The average monthly number of persons employed by the Group (including Directors) during the year, analysed by category, was as follows:</w:t>
      </w:r>
    </w:p>
    <w:tbl>
      <w:tblPr>
        <w:tblStyle w:val="tableDUL"/>
        <w:tblW w:w="9639" w:type="dxa"/>
        <w:tblLayout w:type="fixed"/>
        <w:tblLook w:val="04A0" w:firstRow="1" w:lastRow="0" w:firstColumn="1" w:lastColumn="0" w:noHBand="0" w:noVBand="1"/>
      </w:tblPr>
      <w:tblGrid>
        <w:gridCol w:w="7371"/>
        <w:gridCol w:w="1134"/>
        <w:gridCol w:w="1134"/>
      </w:tblGrid>
      <w:tr w:rsidR="00271E37" w:rsidRPr="00B438FE" w14:paraId="2A68CAB5" w14:textId="77777777" w:rsidTr="000923EA">
        <w:tc>
          <w:tcPr>
            <w:tcW w:w="7371" w:type="dxa"/>
          </w:tcPr>
          <w:p w14:paraId="32DEE24D" w14:textId="77777777" w:rsidR="00271E37" w:rsidRPr="00B438FE" w:rsidRDefault="00271E37" w:rsidP="00B438FE">
            <w:pPr>
              <w:jc w:val="left"/>
            </w:pPr>
          </w:p>
        </w:tc>
        <w:tc>
          <w:tcPr>
            <w:tcW w:w="2268" w:type="dxa"/>
            <w:gridSpan w:val="2"/>
          </w:tcPr>
          <w:p w14:paraId="2B9C68AF" w14:textId="77777777" w:rsidR="00271E37" w:rsidRPr="00B438FE" w:rsidRDefault="00271E37" w:rsidP="00B438FE">
            <w:pPr>
              <w:jc w:val="center"/>
            </w:pPr>
            <w:r w:rsidRPr="00B438FE">
              <w:t>Number of employees</w:t>
            </w:r>
          </w:p>
        </w:tc>
      </w:tr>
      <w:tr w:rsidR="00271E37" w:rsidRPr="00B438FE" w14:paraId="3C5B7AF4" w14:textId="77777777" w:rsidTr="00454905">
        <w:tc>
          <w:tcPr>
            <w:tcW w:w="7371" w:type="dxa"/>
            <w:tcBorders>
              <w:bottom w:val="single" w:sz="4" w:space="0" w:color="000000"/>
            </w:tcBorders>
          </w:tcPr>
          <w:p w14:paraId="11354006" w14:textId="77777777" w:rsidR="00271E37" w:rsidRPr="00431B2B" w:rsidRDefault="00271E37" w:rsidP="00B438FE">
            <w:pPr>
              <w:jc w:val="left"/>
              <w:rPr>
                <w:i/>
                <w:iCs/>
              </w:rPr>
            </w:pPr>
            <w:r w:rsidRPr="00431B2B">
              <w:rPr>
                <w:i/>
                <w:iCs/>
              </w:rPr>
              <w:t>Continuing operations</w:t>
            </w:r>
          </w:p>
        </w:tc>
        <w:tc>
          <w:tcPr>
            <w:tcW w:w="1134" w:type="dxa"/>
            <w:tcBorders>
              <w:top w:val="single" w:sz="4" w:space="0" w:color="000000"/>
              <w:bottom w:val="single" w:sz="4" w:space="0" w:color="000000"/>
            </w:tcBorders>
          </w:tcPr>
          <w:p w14:paraId="42E5D77C" w14:textId="77777777" w:rsidR="00271E37" w:rsidRPr="00454905" w:rsidRDefault="00271E37" w:rsidP="000923EA">
            <w:pPr>
              <w:rPr>
                <w:b/>
                <w:bCs/>
              </w:rPr>
            </w:pPr>
            <w:r w:rsidRPr="00454905">
              <w:rPr>
                <w:b/>
                <w:bCs/>
              </w:rPr>
              <w:t>202</w:t>
            </w:r>
            <w:r>
              <w:rPr>
                <w:b/>
                <w:bCs/>
              </w:rPr>
              <w:t>6</w:t>
            </w:r>
          </w:p>
        </w:tc>
        <w:tc>
          <w:tcPr>
            <w:tcW w:w="1134" w:type="dxa"/>
            <w:tcBorders>
              <w:top w:val="single" w:sz="4" w:space="0" w:color="000000"/>
              <w:bottom w:val="single" w:sz="4" w:space="0" w:color="000000"/>
            </w:tcBorders>
          </w:tcPr>
          <w:p w14:paraId="06887775" w14:textId="77777777" w:rsidR="00271E37" w:rsidRPr="00B438FE" w:rsidRDefault="00271E37" w:rsidP="000923EA">
            <w:r w:rsidRPr="00B438FE">
              <w:t>202</w:t>
            </w:r>
            <w:r>
              <w:t>5</w:t>
            </w:r>
          </w:p>
        </w:tc>
      </w:tr>
      <w:tr w:rsidR="00271E37" w:rsidRPr="00B438FE" w14:paraId="780C052B" w14:textId="77777777">
        <w:tc>
          <w:tcPr>
            <w:tcW w:w="7371" w:type="dxa"/>
            <w:tcBorders>
              <w:top w:val="single" w:sz="4" w:space="0" w:color="000000"/>
            </w:tcBorders>
          </w:tcPr>
          <w:p w14:paraId="1C88A601" w14:textId="77777777" w:rsidR="00271E37" w:rsidRPr="00B438FE" w:rsidRDefault="00271E37">
            <w:pPr>
              <w:jc w:val="left"/>
            </w:pPr>
            <w:r w:rsidRPr="00B438FE">
              <w:t>Selling and administration</w:t>
            </w:r>
          </w:p>
        </w:tc>
        <w:tc>
          <w:tcPr>
            <w:tcW w:w="1134" w:type="dxa"/>
            <w:tcBorders>
              <w:top w:val="single" w:sz="4" w:space="0" w:color="000000"/>
            </w:tcBorders>
            <w:vAlign w:val="center"/>
          </w:tcPr>
          <w:p w14:paraId="41553327" w14:textId="77777777" w:rsidR="00271E37" w:rsidRPr="004955F2" w:rsidRDefault="00271E37">
            <w:pPr>
              <w:rPr>
                <w:b/>
                <w:bCs/>
              </w:rPr>
            </w:pPr>
            <w:r>
              <w:rPr>
                <w:rFonts w:cs="Arial"/>
                <w:b/>
                <w:bCs/>
                <w:color w:val="000000"/>
                <w:szCs w:val="16"/>
              </w:rPr>
              <w:t xml:space="preserve">260 </w:t>
            </w:r>
          </w:p>
        </w:tc>
        <w:tc>
          <w:tcPr>
            <w:tcW w:w="1134" w:type="dxa"/>
            <w:tcBorders>
              <w:top w:val="single" w:sz="4" w:space="0" w:color="000000"/>
            </w:tcBorders>
            <w:vAlign w:val="center"/>
          </w:tcPr>
          <w:p w14:paraId="7C98413F" w14:textId="77777777" w:rsidR="00271E37" w:rsidRPr="00B54374" w:rsidRDefault="00271E37">
            <w:r>
              <w:rPr>
                <w:rFonts w:cs="Arial"/>
                <w:color w:val="000000"/>
                <w:szCs w:val="16"/>
              </w:rPr>
              <w:t xml:space="preserve">292 </w:t>
            </w:r>
          </w:p>
        </w:tc>
      </w:tr>
      <w:tr w:rsidR="00271E37" w:rsidRPr="00B438FE" w14:paraId="4BB96BD7" w14:textId="77777777">
        <w:tc>
          <w:tcPr>
            <w:tcW w:w="7371" w:type="dxa"/>
          </w:tcPr>
          <w:p w14:paraId="002F496C" w14:textId="77777777" w:rsidR="00271E37" w:rsidRPr="00B438FE" w:rsidRDefault="00271E37">
            <w:pPr>
              <w:jc w:val="left"/>
            </w:pPr>
            <w:r w:rsidRPr="00B438FE">
              <w:t>Production and distribution</w:t>
            </w:r>
          </w:p>
        </w:tc>
        <w:tc>
          <w:tcPr>
            <w:tcW w:w="1134" w:type="dxa"/>
            <w:vAlign w:val="center"/>
          </w:tcPr>
          <w:p w14:paraId="31205F05" w14:textId="77777777" w:rsidR="00271E37" w:rsidRPr="004955F2" w:rsidRDefault="00271E37">
            <w:pPr>
              <w:rPr>
                <w:b/>
                <w:bCs/>
              </w:rPr>
            </w:pPr>
            <w:r>
              <w:rPr>
                <w:rFonts w:cs="Arial"/>
                <w:b/>
                <w:bCs/>
                <w:color w:val="000000"/>
                <w:szCs w:val="16"/>
              </w:rPr>
              <w:t xml:space="preserve">477 </w:t>
            </w:r>
          </w:p>
        </w:tc>
        <w:tc>
          <w:tcPr>
            <w:tcW w:w="1134" w:type="dxa"/>
            <w:vAlign w:val="center"/>
          </w:tcPr>
          <w:p w14:paraId="41EA11CB" w14:textId="77777777" w:rsidR="00271E37" w:rsidRPr="00B54374" w:rsidRDefault="00271E37">
            <w:r>
              <w:rPr>
                <w:rFonts w:cs="Arial"/>
                <w:color w:val="000000"/>
                <w:szCs w:val="16"/>
              </w:rPr>
              <w:t xml:space="preserve">513 </w:t>
            </w:r>
          </w:p>
        </w:tc>
      </w:tr>
      <w:tr w:rsidR="00271E37" w:rsidRPr="00B438FE" w14:paraId="69097DF2" w14:textId="77777777">
        <w:tc>
          <w:tcPr>
            <w:tcW w:w="7371" w:type="dxa"/>
            <w:tcBorders>
              <w:bottom w:val="single" w:sz="4" w:space="0" w:color="000000"/>
            </w:tcBorders>
          </w:tcPr>
          <w:p w14:paraId="236B01CE" w14:textId="77777777" w:rsidR="00271E37" w:rsidRPr="00B438FE" w:rsidRDefault="00271E37">
            <w:pPr>
              <w:jc w:val="left"/>
            </w:pPr>
            <w:r w:rsidRPr="00B438FE">
              <w:t>Temporary and agency staff</w:t>
            </w:r>
          </w:p>
        </w:tc>
        <w:tc>
          <w:tcPr>
            <w:tcW w:w="1134" w:type="dxa"/>
            <w:tcBorders>
              <w:bottom w:val="single" w:sz="4" w:space="0" w:color="000000"/>
            </w:tcBorders>
            <w:vAlign w:val="center"/>
          </w:tcPr>
          <w:p w14:paraId="5B31087C" w14:textId="77777777" w:rsidR="00271E37" w:rsidRPr="004955F2" w:rsidRDefault="00271E37">
            <w:pPr>
              <w:rPr>
                <w:b/>
                <w:bCs/>
              </w:rPr>
            </w:pPr>
            <w:r>
              <w:rPr>
                <w:rFonts w:cs="Arial"/>
                <w:b/>
                <w:bCs/>
                <w:color w:val="000000"/>
                <w:szCs w:val="16"/>
              </w:rPr>
              <w:t xml:space="preserve">89 </w:t>
            </w:r>
          </w:p>
        </w:tc>
        <w:tc>
          <w:tcPr>
            <w:tcW w:w="1134" w:type="dxa"/>
            <w:tcBorders>
              <w:bottom w:val="single" w:sz="4" w:space="0" w:color="000000"/>
            </w:tcBorders>
            <w:vAlign w:val="center"/>
          </w:tcPr>
          <w:p w14:paraId="031F7649" w14:textId="77777777" w:rsidR="00271E37" w:rsidRPr="00B54374" w:rsidRDefault="00271E37">
            <w:r>
              <w:rPr>
                <w:rFonts w:cs="Arial"/>
                <w:color w:val="000000"/>
                <w:szCs w:val="16"/>
              </w:rPr>
              <w:t xml:space="preserve">270 </w:t>
            </w:r>
          </w:p>
        </w:tc>
      </w:tr>
      <w:tr w:rsidR="00271E37" w:rsidRPr="00B438FE" w14:paraId="34489764" w14:textId="77777777">
        <w:tc>
          <w:tcPr>
            <w:tcW w:w="7371" w:type="dxa"/>
            <w:tcBorders>
              <w:top w:val="single" w:sz="4" w:space="0" w:color="000000"/>
            </w:tcBorders>
          </w:tcPr>
          <w:p w14:paraId="2C31AC4C" w14:textId="77777777" w:rsidR="00271E37" w:rsidRPr="00B438FE" w:rsidRDefault="00271E37">
            <w:pPr>
              <w:jc w:val="left"/>
            </w:pPr>
          </w:p>
        </w:tc>
        <w:tc>
          <w:tcPr>
            <w:tcW w:w="1134" w:type="dxa"/>
            <w:tcBorders>
              <w:top w:val="single" w:sz="4" w:space="0" w:color="000000"/>
            </w:tcBorders>
            <w:vAlign w:val="center"/>
          </w:tcPr>
          <w:p w14:paraId="08ABA200" w14:textId="77777777" w:rsidR="00271E37" w:rsidRPr="004955F2" w:rsidRDefault="00271E37">
            <w:pPr>
              <w:rPr>
                <w:b/>
                <w:bCs/>
              </w:rPr>
            </w:pPr>
            <w:r>
              <w:rPr>
                <w:rFonts w:cs="Arial"/>
                <w:b/>
                <w:bCs/>
                <w:color w:val="000000"/>
                <w:szCs w:val="16"/>
              </w:rPr>
              <w:t xml:space="preserve">826 </w:t>
            </w:r>
          </w:p>
        </w:tc>
        <w:tc>
          <w:tcPr>
            <w:tcW w:w="1134" w:type="dxa"/>
            <w:tcBorders>
              <w:top w:val="single" w:sz="4" w:space="0" w:color="000000"/>
            </w:tcBorders>
            <w:vAlign w:val="center"/>
          </w:tcPr>
          <w:p w14:paraId="3B728AEE" w14:textId="77777777" w:rsidR="00271E37" w:rsidRPr="00B54374" w:rsidRDefault="00271E37">
            <w:r>
              <w:rPr>
                <w:rFonts w:cs="Arial"/>
                <w:color w:val="000000"/>
                <w:szCs w:val="16"/>
              </w:rPr>
              <w:t xml:space="preserve">1,075 </w:t>
            </w:r>
          </w:p>
        </w:tc>
      </w:tr>
    </w:tbl>
    <w:p w14:paraId="5FE4A361" w14:textId="77777777" w:rsidR="00271E37" w:rsidRDefault="00271E37"/>
    <w:p w14:paraId="615CA816" w14:textId="35D4F0B0" w:rsidR="00271E37" w:rsidRDefault="00271E37" w:rsidP="002E39D4">
      <w:r w:rsidRPr="008F45D6">
        <w:t>Staff costs are presented for continuing operations only. Staff costs attributable to discontinued operations amounting to £</w:t>
      </w:r>
      <w:r>
        <w:t>12.8</w:t>
      </w:r>
      <w:r w:rsidRPr="008F45D6">
        <w:t xml:space="preserve"> </w:t>
      </w:r>
      <w:r>
        <w:t xml:space="preserve">million </w:t>
      </w:r>
      <w:r w:rsidRPr="008F45D6">
        <w:t>(2025: £</w:t>
      </w:r>
      <w:r>
        <w:t>84.2 million</w:t>
      </w:r>
      <w:r w:rsidRPr="008F45D6">
        <w:t xml:space="preserve">) are included within the results of discontinued operations disclosed in </w:t>
      </w:r>
      <w:r w:rsidR="00135BDF">
        <w:t>n</w:t>
      </w:r>
      <w:r w:rsidRPr="008F45D6">
        <w:t>ote 4.</w:t>
      </w:r>
    </w:p>
    <w:p w14:paraId="3AA94AC1" w14:textId="77777777" w:rsidR="00271E37" w:rsidRDefault="00271E37" w:rsidP="002E39D4"/>
    <w:p w14:paraId="0BA5A422" w14:textId="77777777" w:rsidR="00271E37" w:rsidRDefault="00271E37" w:rsidP="002E39D4">
      <w:r>
        <w:t>The aggregate payroll costs of these persons were as follows:</w:t>
      </w:r>
    </w:p>
    <w:tbl>
      <w:tblPr>
        <w:tblStyle w:val="tableDUL"/>
        <w:tblW w:w="9639" w:type="dxa"/>
        <w:tblLayout w:type="fixed"/>
        <w:tblLook w:val="04A0" w:firstRow="1" w:lastRow="0" w:firstColumn="1" w:lastColumn="0" w:noHBand="0" w:noVBand="1"/>
      </w:tblPr>
      <w:tblGrid>
        <w:gridCol w:w="6237"/>
        <w:gridCol w:w="1134"/>
        <w:gridCol w:w="1134"/>
        <w:gridCol w:w="1134"/>
      </w:tblGrid>
      <w:tr w:rsidR="00271E37" w:rsidRPr="00454905" w14:paraId="59152172" w14:textId="77777777">
        <w:tc>
          <w:tcPr>
            <w:tcW w:w="6237" w:type="dxa"/>
            <w:tcBorders>
              <w:bottom w:val="nil"/>
            </w:tcBorders>
          </w:tcPr>
          <w:p w14:paraId="6C9673E8" w14:textId="77777777" w:rsidR="00271E37" w:rsidRPr="00454905" w:rsidRDefault="00271E37" w:rsidP="00454905"/>
        </w:tc>
        <w:tc>
          <w:tcPr>
            <w:tcW w:w="1134" w:type="dxa"/>
            <w:tcBorders>
              <w:bottom w:val="nil"/>
            </w:tcBorders>
          </w:tcPr>
          <w:p w14:paraId="62E97707" w14:textId="77777777" w:rsidR="00271E37" w:rsidRDefault="00271E37" w:rsidP="000923EA"/>
        </w:tc>
        <w:tc>
          <w:tcPr>
            <w:tcW w:w="1134" w:type="dxa"/>
            <w:tcBorders>
              <w:bottom w:val="nil"/>
            </w:tcBorders>
          </w:tcPr>
          <w:p w14:paraId="3188292D" w14:textId="77777777" w:rsidR="00271E37" w:rsidRPr="00454905" w:rsidRDefault="00271E37" w:rsidP="00454905">
            <w:pPr>
              <w:rPr>
                <w:b/>
                <w:bCs/>
              </w:rPr>
            </w:pPr>
            <w:r>
              <w:rPr>
                <w:b/>
                <w:bCs/>
              </w:rPr>
              <w:t>2026</w:t>
            </w:r>
          </w:p>
        </w:tc>
        <w:tc>
          <w:tcPr>
            <w:tcW w:w="1134" w:type="dxa"/>
            <w:tcBorders>
              <w:bottom w:val="nil"/>
            </w:tcBorders>
          </w:tcPr>
          <w:p w14:paraId="4FA070D3" w14:textId="77777777" w:rsidR="00271E37" w:rsidRPr="00454905" w:rsidRDefault="00271E37" w:rsidP="00454905">
            <w:r>
              <w:t>2025</w:t>
            </w:r>
          </w:p>
        </w:tc>
      </w:tr>
      <w:tr w:rsidR="00271E37" w:rsidRPr="00454905" w14:paraId="4DC66872" w14:textId="77777777" w:rsidTr="00454905">
        <w:tc>
          <w:tcPr>
            <w:tcW w:w="6237" w:type="dxa"/>
            <w:tcBorders>
              <w:bottom w:val="single" w:sz="4" w:space="0" w:color="000000"/>
            </w:tcBorders>
          </w:tcPr>
          <w:p w14:paraId="1AB1079B" w14:textId="77777777" w:rsidR="00271E37" w:rsidRPr="00454905" w:rsidRDefault="00271E37" w:rsidP="00454905"/>
        </w:tc>
        <w:tc>
          <w:tcPr>
            <w:tcW w:w="1134" w:type="dxa"/>
            <w:tcBorders>
              <w:bottom w:val="single" w:sz="4" w:space="0" w:color="000000"/>
            </w:tcBorders>
          </w:tcPr>
          <w:p w14:paraId="147D7C16" w14:textId="77777777" w:rsidR="00271E37" w:rsidRDefault="00271E37" w:rsidP="000923EA">
            <w:r>
              <w:t>Note</w:t>
            </w:r>
          </w:p>
        </w:tc>
        <w:tc>
          <w:tcPr>
            <w:tcW w:w="1134" w:type="dxa"/>
            <w:tcBorders>
              <w:bottom w:val="single" w:sz="4" w:space="0" w:color="000000"/>
            </w:tcBorders>
          </w:tcPr>
          <w:p w14:paraId="2D0E0301" w14:textId="77777777" w:rsidR="00271E37" w:rsidRPr="00454905" w:rsidRDefault="00271E37" w:rsidP="00454905">
            <w:pPr>
              <w:rPr>
                <w:b/>
                <w:bCs/>
              </w:rPr>
            </w:pPr>
            <w:r>
              <w:rPr>
                <w:b/>
                <w:bCs/>
              </w:rPr>
              <w:t>£000</w:t>
            </w:r>
          </w:p>
        </w:tc>
        <w:tc>
          <w:tcPr>
            <w:tcW w:w="1134" w:type="dxa"/>
            <w:tcBorders>
              <w:bottom w:val="single" w:sz="4" w:space="0" w:color="000000"/>
            </w:tcBorders>
          </w:tcPr>
          <w:p w14:paraId="0D95FAE2" w14:textId="77777777" w:rsidR="00271E37" w:rsidRPr="00454905" w:rsidRDefault="00271E37" w:rsidP="00454905">
            <w:r>
              <w:t>£000</w:t>
            </w:r>
          </w:p>
        </w:tc>
      </w:tr>
      <w:tr w:rsidR="00271E37" w:rsidRPr="00454905" w14:paraId="33B5D1F1" w14:textId="77777777">
        <w:tc>
          <w:tcPr>
            <w:tcW w:w="6237" w:type="dxa"/>
            <w:tcBorders>
              <w:top w:val="single" w:sz="4" w:space="0" w:color="000000"/>
            </w:tcBorders>
          </w:tcPr>
          <w:p w14:paraId="4FA1CE08" w14:textId="77777777" w:rsidR="00271E37" w:rsidRPr="00454905" w:rsidRDefault="00271E37">
            <w:pPr>
              <w:jc w:val="left"/>
            </w:pPr>
            <w:r w:rsidRPr="00454905">
              <w:t>Wages and salaries</w:t>
            </w:r>
          </w:p>
        </w:tc>
        <w:tc>
          <w:tcPr>
            <w:tcW w:w="1134" w:type="dxa"/>
            <w:tcBorders>
              <w:top w:val="single" w:sz="4" w:space="0" w:color="000000"/>
            </w:tcBorders>
          </w:tcPr>
          <w:p w14:paraId="0D69E2F9" w14:textId="77777777" w:rsidR="00271E37" w:rsidRPr="00454905" w:rsidRDefault="00271E37"/>
        </w:tc>
        <w:tc>
          <w:tcPr>
            <w:tcW w:w="1134" w:type="dxa"/>
            <w:tcBorders>
              <w:top w:val="single" w:sz="4" w:space="0" w:color="000000"/>
            </w:tcBorders>
            <w:vAlign w:val="center"/>
          </w:tcPr>
          <w:p w14:paraId="32352AAC" w14:textId="77777777" w:rsidR="00271E37" w:rsidRPr="00F538E9" w:rsidRDefault="00271E37">
            <w:pPr>
              <w:rPr>
                <w:b/>
                <w:bCs/>
              </w:rPr>
            </w:pPr>
            <w:r w:rsidRPr="00F538E9">
              <w:rPr>
                <w:rFonts w:cs="Arial"/>
                <w:b/>
                <w:bCs/>
                <w:szCs w:val="16"/>
              </w:rPr>
              <w:t xml:space="preserve">35,218 </w:t>
            </w:r>
          </w:p>
        </w:tc>
        <w:tc>
          <w:tcPr>
            <w:tcW w:w="1134" w:type="dxa"/>
            <w:tcBorders>
              <w:top w:val="single" w:sz="4" w:space="0" w:color="000000"/>
            </w:tcBorders>
            <w:vAlign w:val="center"/>
          </w:tcPr>
          <w:p w14:paraId="3CB2D583" w14:textId="77777777" w:rsidR="00271E37" w:rsidRPr="00F538E9" w:rsidRDefault="00271E37">
            <w:r w:rsidRPr="00F538E9">
              <w:rPr>
                <w:rFonts w:cs="Arial"/>
                <w:szCs w:val="16"/>
              </w:rPr>
              <w:t xml:space="preserve">34,417 </w:t>
            </w:r>
          </w:p>
        </w:tc>
      </w:tr>
      <w:tr w:rsidR="00271E37" w:rsidRPr="00454905" w14:paraId="7371438D" w14:textId="77777777">
        <w:tc>
          <w:tcPr>
            <w:tcW w:w="6237" w:type="dxa"/>
          </w:tcPr>
          <w:p w14:paraId="6143CBBD" w14:textId="77777777" w:rsidR="00271E37" w:rsidRPr="00454905" w:rsidRDefault="00271E37">
            <w:pPr>
              <w:jc w:val="left"/>
            </w:pPr>
            <w:r w:rsidRPr="00454905">
              <w:t>Share-based payments</w:t>
            </w:r>
          </w:p>
        </w:tc>
        <w:tc>
          <w:tcPr>
            <w:tcW w:w="1134" w:type="dxa"/>
          </w:tcPr>
          <w:p w14:paraId="00EBEC8D" w14:textId="77777777" w:rsidR="00271E37" w:rsidRPr="00454905" w:rsidRDefault="00271E37">
            <w:r w:rsidRPr="00454905">
              <w:t>23</w:t>
            </w:r>
          </w:p>
        </w:tc>
        <w:tc>
          <w:tcPr>
            <w:tcW w:w="1134" w:type="dxa"/>
            <w:vAlign w:val="center"/>
          </w:tcPr>
          <w:p w14:paraId="75DE9D5C" w14:textId="77777777" w:rsidR="00271E37" w:rsidRPr="00F538E9" w:rsidRDefault="00271E37">
            <w:pPr>
              <w:rPr>
                <w:b/>
                <w:bCs/>
              </w:rPr>
            </w:pPr>
            <w:r w:rsidRPr="00F538E9">
              <w:rPr>
                <w:rFonts w:cs="Arial"/>
                <w:b/>
                <w:bCs/>
                <w:szCs w:val="16"/>
              </w:rPr>
              <w:t xml:space="preserve">801 </w:t>
            </w:r>
          </w:p>
        </w:tc>
        <w:tc>
          <w:tcPr>
            <w:tcW w:w="1134" w:type="dxa"/>
            <w:vAlign w:val="center"/>
          </w:tcPr>
          <w:p w14:paraId="7847BED7" w14:textId="77777777" w:rsidR="00271E37" w:rsidRPr="00F538E9" w:rsidRDefault="00271E37">
            <w:r w:rsidRPr="00F538E9">
              <w:rPr>
                <w:rFonts w:cs="Arial"/>
                <w:szCs w:val="16"/>
              </w:rPr>
              <w:t xml:space="preserve">518 </w:t>
            </w:r>
          </w:p>
        </w:tc>
      </w:tr>
      <w:tr w:rsidR="00271E37" w:rsidRPr="00454905" w14:paraId="258A1B3E" w14:textId="77777777">
        <w:tc>
          <w:tcPr>
            <w:tcW w:w="6237" w:type="dxa"/>
          </w:tcPr>
          <w:p w14:paraId="5B396564" w14:textId="77777777" w:rsidR="00271E37" w:rsidRPr="00454905" w:rsidRDefault="00271E37">
            <w:pPr>
              <w:jc w:val="left"/>
            </w:pPr>
            <w:r w:rsidRPr="00454905">
              <w:t>Social security costs</w:t>
            </w:r>
          </w:p>
        </w:tc>
        <w:tc>
          <w:tcPr>
            <w:tcW w:w="1134" w:type="dxa"/>
          </w:tcPr>
          <w:p w14:paraId="43F3A031" w14:textId="77777777" w:rsidR="00271E37" w:rsidRPr="00454905" w:rsidRDefault="00271E37"/>
        </w:tc>
        <w:tc>
          <w:tcPr>
            <w:tcW w:w="1134" w:type="dxa"/>
            <w:vAlign w:val="center"/>
          </w:tcPr>
          <w:p w14:paraId="74556318" w14:textId="77777777" w:rsidR="00271E37" w:rsidRPr="00F538E9" w:rsidRDefault="00271E37">
            <w:pPr>
              <w:rPr>
                <w:b/>
                <w:bCs/>
              </w:rPr>
            </w:pPr>
            <w:r w:rsidRPr="00F538E9">
              <w:rPr>
                <w:rFonts w:cs="Arial"/>
                <w:b/>
                <w:bCs/>
                <w:szCs w:val="16"/>
              </w:rPr>
              <w:t xml:space="preserve">4,083 </w:t>
            </w:r>
          </w:p>
        </w:tc>
        <w:tc>
          <w:tcPr>
            <w:tcW w:w="1134" w:type="dxa"/>
            <w:vAlign w:val="center"/>
          </w:tcPr>
          <w:p w14:paraId="0AC7941F" w14:textId="77777777" w:rsidR="00271E37" w:rsidRPr="00F538E9" w:rsidRDefault="00271E37">
            <w:r w:rsidRPr="00F538E9">
              <w:rPr>
                <w:rFonts w:cs="Arial"/>
                <w:szCs w:val="16"/>
              </w:rPr>
              <w:t xml:space="preserve">3,412 </w:t>
            </w:r>
          </w:p>
        </w:tc>
      </w:tr>
      <w:tr w:rsidR="00271E37" w:rsidRPr="00454905" w14:paraId="68CC21D9" w14:textId="77777777">
        <w:tc>
          <w:tcPr>
            <w:tcW w:w="6237" w:type="dxa"/>
          </w:tcPr>
          <w:p w14:paraId="3E43D2EB" w14:textId="77777777" w:rsidR="00271E37" w:rsidRPr="00454905" w:rsidRDefault="00271E37">
            <w:pPr>
              <w:jc w:val="left"/>
            </w:pPr>
            <w:r w:rsidRPr="00454905">
              <w:t>Other pension costs</w:t>
            </w:r>
          </w:p>
        </w:tc>
        <w:tc>
          <w:tcPr>
            <w:tcW w:w="1134" w:type="dxa"/>
          </w:tcPr>
          <w:p w14:paraId="4AFF6074" w14:textId="77777777" w:rsidR="00271E37" w:rsidRPr="00454905" w:rsidRDefault="00271E37"/>
        </w:tc>
        <w:tc>
          <w:tcPr>
            <w:tcW w:w="1134" w:type="dxa"/>
            <w:vAlign w:val="center"/>
          </w:tcPr>
          <w:p w14:paraId="42242F3D" w14:textId="77777777" w:rsidR="00271E37" w:rsidRPr="00F538E9" w:rsidRDefault="00271E37">
            <w:pPr>
              <w:rPr>
                <w:b/>
                <w:bCs/>
              </w:rPr>
            </w:pPr>
            <w:r w:rsidRPr="00F538E9">
              <w:rPr>
                <w:rFonts w:cs="Arial"/>
                <w:b/>
                <w:bCs/>
                <w:szCs w:val="16"/>
              </w:rPr>
              <w:t xml:space="preserve">2,240 </w:t>
            </w:r>
          </w:p>
        </w:tc>
        <w:tc>
          <w:tcPr>
            <w:tcW w:w="1134" w:type="dxa"/>
            <w:vAlign w:val="center"/>
          </w:tcPr>
          <w:p w14:paraId="0134FC9F" w14:textId="77777777" w:rsidR="00271E37" w:rsidRPr="00F538E9" w:rsidRDefault="00271E37">
            <w:r w:rsidRPr="00F538E9">
              <w:rPr>
                <w:rFonts w:cs="Arial"/>
                <w:szCs w:val="16"/>
              </w:rPr>
              <w:t xml:space="preserve">2,213 </w:t>
            </w:r>
          </w:p>
        </w:tc>
      </w:tr>
      <w:tr w:rsidR="00271E37" w:rsidRPr="00454905" w14:paraId="5DA7E025" w14:textId="77777777">
        <w:tc>
          <w:tcPr>
            <w:tcW w:w="6237" w:type="dxa"/>
            <w:tcBorders>
              <w:bottom w:val="single" w:sz="4" w:space="0" w:color="000000"/>
            </w:tcBorders>
          </w:tcPr>
          <w:p w14:paraId="7A3B639D" w14:textId="77777777" w:rsidR="00271E37" w:rsidRPr="00454905" w:rsidRDefault="00271E37">
            <w:pPr>
              <w:jc w:val="left"/>
            </w:pPr>
            <w:r w:rsidRPr="00454905">
              <w:t>Temporary employee costs</w:t>
            </w:r>
          </w:p>
        </w:tc>
        <w:tc>
          <w:tcPr>
            <w:tcW w:w="1134" w:type="dxa"/>
            <w:tcBorders>
              <w:bottom w:val="single" w:sz="4" w:space="0" w:color="000000"/>
            </w:tcBorders>
          </w:tcPr>
          <w:p w14:paraId="536964E9" w14:textId="77777777" w:rsidR="00271E37" w:rsidRPr="00454905" w:rsidRDefault="00271E37"/>
        </w:tc>
        <w:tc>
          <w:tcPr>
            <w:tcW w:w="1134" w:type="dxa"/>
            <w:tcBorders>
              <w:bottom w:val="single" w:sz="4" w:space="0" w:color="000000"/>
            </w:tcBorders>
            <w:vAlign w:val="center"/>
          </w:tcPr>
          <w:p w14:paraId="0D51279F" w14:textId="77777777" w:rsidR="00271E37" w:rsidRPr="00F538E9" w:rsidRDefault="00271E37">
            <w:pPr>
              <w:rPr>
                <w:b/>
                <w:bCs/>
              </w:rPr>
            </w:pPr>
            <w:r w:rsidRPr="00F538E9">
              <w:rPr>
                <w:rFonts w:cs="Arial"/>
                <w:b/>
                <w:bCs/>
                <w:szCs w:val="16"/>
              </w:rPr>
              <w:t xml:space="preserve">3,812 </w:t>
            </w:r>
          </w:p>
        </w:tc>
        <w:tc>
          <w:tcPr>
            <w:tcW w:w="1134" w:type="dxa"/>
            <w:tcBorders>
              <w:bottom w:val="single" w:sz="4" w:space="0" w:color="000000"/>
            </w:tcBorders>
            <w:vAlign w:val="center"/>
          </w:tcPr>
          <w:p w14:paraId="7D69C497" w14:textId="77777777" w:rsidR="00271E37" w:rsidRPr="00F538E9" w:rsidRDefault="00271E37">
            <w:r w:rsidRPr="00F538E9">
              <w:rPr>
                <w:rFonts w:cs="Arial"/>
                <w:szCs w:val="16"/>
              </w:rPr>
              <w:t xml:space="preserve">5,141 </w:t>
            </w:r>
          </w:p>
        </w:tc>
      </w:tr>
      <w:tr w:rsidR="00271E37" w:rsidRPr="00454905" w14:paraId="5324BD6A" w14:textId="77777777">
        <w:tc>
          <w:tcPr>
            <w:tcW w:w="6237" w:type="dxa"/>
          </w:tcPr>
          <w:p w14:paraId="0C4EDF0F" w14:textId="77777777" w:rsidR="00271E37" w:rsidRPr="00454905" w:rsidRDefault="00271E37">
            <w:pPr>
              <w:jc w:val="left"/>
            </w:pPr>
          </w:p>
        </w:tc>
        <w:tc>
          <w:tcPr>
            <w:tcW w:w="1134" w:type="dxa"/>
          </w:tcPr>
          <w:p w14:paraId="48D00057" w14:textId="77777777" w:rsidR="00271E37" w:rsidRPr="00454905" w:rsidRDefault="00271E37"/>
        </w:tc>
        <w:tc>
          <w:tcPr>
            <w:tcW w:w="1134" w:type="dxa"/>
            <w:vAlign w:val="center"/>
          </w:tcPr>
          <w:p w14:paraId="6EA9E4CA" w14:textId="77777777" w:rsidR="00271E37" w:rsidRPr="00F538E9" w:rsidRDefault="00271E37">
            <w:pPr>
              <w:rPr>
                <w:b/>
                <w:bCs/>
              </w:rPr>
            </w:pPr>
            <w:r w:rsidRPr="00F538E9">
              <w:rPr>
                <w:rFonts w:cs="Arial"/>
                <w:b/>
                <w:bCs/>
                <w:szCs w:val="16"/>
              </w:rPr>
              <w:t xml:space="preserve">46,154 </w:t>
            </w:r>
          </w:p>
        </w:tc>
        <w:tc>
          <w:tcPr>
            <w:tcW w:w="1134" w:type="dxa"/>
            <w:vAlign w:val="center"/>
          </w:tcPr>
          <w:p w14:paraId="06BB1BC3" w14:textId="77777777" w:rsidR="00271E37" w:rsidRPr="00F538E9" w:rsidRDefault="00271E37">
            <w:r w:rsidRPr="00F538E9">
              <w:rPr>
                <w:rFonts w:cs="Arial"/>
                <w:szCs w:val="16"/>
              </w:rPr>
              <w:t xml:space="preserve">45,701 </w:t>
            </w:r>
          </w:p>
        </w:tc>
      </w:tr>
    </w:tbl>
    <w:p w14:paraId="4383607A" w14:textId="77777777" w:rsidR="00271E37" w:rsidRDefault="00271E37" w:rsidP="002E39D4"/>
    <w:p w14:paraId="2219016A" w14:textId="71630555" w:rsidR="00271E37" w:rsidRDefault="00271E37" w:rsidP="002E39D4">
      <w:r>
        <w:t>For information on Directors’ remuneration</w:t>
      </w:r>
      <w:r w:rsidR="004C37F9">
        <w:t>,</w:t>
      </w:r>
      <w:r>
        <w:t xml:space="preserve"> please refer to the section titled ‘Directors’ remuneration’ within the Directors’ remuneration report </w:t>
      </w:r>
      <w:r w:rsidDel="009407A6">
        <w:t xml:space="preserve">which forms part of </w:t>
      </w:r>
      <w:r w:rsidR="00893AB9">
        <w:t>the</w:t>
      </w:r>
      <w:r w:rsidR="00893AB9" w:rsidDel="009407A6">
        <w:t xml:space="preserve"> </w:t>
      </w:r>
      <w:r w:rsidDel="009407A6">
        <w:t>audited financial statements</w:t>
      </w:r>
      <w:r>
        <w:t>.</w:t>
      </w:r>
    </w:p>
    <w:p w14:paraId="3457F1DC" w14:textId="77777777" w:rsidR="00271E37" w:rsidRDefault="00271E37" w:rsidP="002E39D4"/>
    <w:p w14:paraId="2CE66129" w14:textId="77777777" w:rsidR="00271E37" w:rsidRDefault="00271E37">
      <w:pPr>
        <w:pStyle w:val="Heading2"/>
      </w:pPr>
      <w:r w:rsidRPr="00452155">
        <w:t>6 Finance income and costs</w:t>
      </w:r>
    </w:p>
    <w:p w14:paraId="1D2A2C60" w14:textId="77777777" w:rsidR="00271E37" w:rsidRPr="00A02266" w:rsidRDefault="00271E37">
      <w:pPr>
        <w:rPr>
          <w:b/>
          <w:bCs/>
          <w:lang w:eastAsia="en-US"/>
        </w:rPr>
      </w:pPr>
      <w:r w:rsidRPr="00A02266">
        <w:rPr>
          <w:b/>
          <w:bCs/>
        </w:rPr>
        <w:t>Finance income</w:t>
      </w:r>
    </w:p>
    <w:tbl>
      <w:tblPr>
        <w:tblStyle w:val="tableDUL"/>
        <w:tblW w:w="9639" w:type="dxa"/>
        <w:tblLayout w:type="fixed"/>
        <w:tblLook w:val="04A0" w:firstRow="1" w:lastRow="0" w:firstColumn="1" w:lastColumn="0" w:noHBand="0" w:noVBand="1"/>
      </w:tblPr>
      <w:tblGrid>
        <w:gridCol w:w="7371"/>
        <w:gridCol w:w="1134"/>
        <w:gridCol w:w="1134"/>
      </w:tblGrid>
      <w:tr w:rsidR="00271E37" w:rsidRPr="00454905" w14:paraId="6DF8F11A" w14:textId="77777777" w:rsidTr="000923EA">
        <w:trPr>
          <w:trHeight w:hRule="exact" w:val="20"/>
        </w:trPr>
        <w:tc>
          <w:tcPr>
            <w:tcW w:w="7371" w:type="dxa"/>
            <w:tcBorders>
              <w:top w:val="nil"/>
              <w:left w:val="nil"/>
              <w:bottom w:val="nil"/>
              <w:right w:val="nil"/>
            </w:tcBorders>
          </w:tcPr>
          <w:p w14:paraId="75F5277A" w14:textId="77777777" w:rsidR="00271E37" w:rsidRDefault="00271E37" w:rsidP="000923EA">
            <w:pPr>
              <w:jc w:val="left"/>
            </w:pPr>
            <w:bookmarkStart w:id="39" w:name="_ab7d512b_6d52_4ae1_8c3f_edd17c50136b"/>
            <w:bookmarkStart w:id="40" w:name="_297fce0f_b949_4b77_84f8_11df1b11ac24"/>
            <w:bookmarkEnd w:id="39"/>
          </w:p>
          <w:p w14:paraId="58F873E5" w14:textId="77777777" w:rsidR="00271E37" w:rsidRPr="00454905" w:rsidRDefault="00271E37" w:rsidP="000923EA">
            <w:pPr>
              <w:jc w:val="left"/>
            </w:pPr>
          </w:p>
          <w:p w14:paraId="4E830CB4" w14:textId="77777777" w:rsidR="00271E37" w:rsidRDefault="00271E37">
            <w:pPr>
              <w:rPr>
                <w:sz w:val="2"/>
              </w:rPr>
            </w:pPr>
          </w:p>
        </w:tc>
        <w:tc>
          <w:tcPr>
            <w:tcW w:w="1134" w:type="dxa"/>
            <w:tcBorders>
              <w:top w:val="nil"/>
              <w:left w:val="nil"/>
              <w:bottom w:val="nil"/>
              <w:right w:val="nil"/>
            </w:tcBorders>
          </w:tcPr>
          <w:p w14:paraId="148B408B" w14:textId="77777777" w:rsidR="00271E37" w:rsidRPr="005F637F" w:rsidRDefault="00271E37" w:rsidP="000923EA">
            <w:pPr>
              <w:rPr>
                <w:b/>
                <w:bCs/>
              </w:rPr>
            </w:pPr>
          </w:p>
          <w:p w14:paraId="3D37BE3B" w14:textId="77777777" w:rsidR="00271E37" w:rsidRDefault="00271E37">
            <w:pPr>
              <w:rPr>
                <w:sz w:val="2"/>
              </w:rPr>
            </w:pPr>
          </w:p>
        </w:tc>
        <w:tc>
          <w:tcPr>
            <w:tcW w:w="1134" w:type="dxa"/>
            <w:tcBorders>
              <w:top w:val="nil"/>
              <w:left w:val="nil"/>
              <w:bottom w:val="nil"/>
              <w:right w:val="nil"/>
            </w:tcBorders>
          </w:tcPr>
          <w:p w14:paraId="1E89BDF2" w14:textId="77777777" w:rsidR="00271E37" w:rsidRPr="00454905" w:rsidRDefault="00271E37" w:rsidP="000923EA"/>
          <w:p w14:paraId="25489E98" w14:textId="77777777" w:rsidR="00271E37" w:rsidRDefault="00271E37">
            <w:pPr>
              <w:rPr>
                <w:sz w:val="2"/>
              </w:rPr>
            </w:pPr>
          </w:p>
        </w:tc>
      </w:tr>
      <w:tr w:rsidR="00271E37" w:rsidRPr="00454905" w14:paraId="440A1CB9" w14:textId="77777777">
        <w:tc>
          <w:tcPr>
            <w:tcW w:w="7371" w:type="dxa"/>
            <w:tcBorders>
              <w:bottom w:val="nil"/>
            </w:tcBorders>
          </w:tcPr>
          <w:p w14:paraId="02466205" w14:textId="77777777" w:rsidR="00271E37" w:rsidRDefault="00271E37" w:rsidP="000923EA"/>
        </w:tc>
        <w:tc>
          <w:tcPr>
            <w:tcW w:w="1134" w:type="dxa"/>
            <w:tcBorders>
              <w:bottom w:val="nil"/>
            </w:tcBorders>
          </w:tcPr>
          <w:p w14:paraId="612AF8C3" w14:textId="77777777" w:rsidR="00271E37" w:rsidRPr="005F637F" w:rsidRDefault="00271E37" w:rsidP="000923EA">
            <w:pPr>
              <w:rPr>
                <w:b/>
                <w:bCs/>
              </w:rPr>
            </w:pPr>
            <w:r>
              <w:rPr>
                <w:b/>
                <w:bCs/>
              </w:rPr>
              <w:t>2026</w:t>
            </w:r>
          </w:p>
        </w:tc>
        <w:tc>
          <w:tcPr>
            <w:tcW w:w="1134" w:type="dxa"/>
            <w:tcBorders>
              <w:bottom w:val="nil"/>
            </w:tcBorders>
          </w:tcPr>
          <w:p w14:paraId="48962B5B" w14:textId="77777777" w:rsidR="00271E37" w:rsidRPr="00454905" w:rsidRDefault="00271E37" w:rsidP="000923EA">
            <w:r>
              <w:t>2025</w:t>
            </w:r>
          </w:p>
        </w:tc>
      </w:tr>
      <w:tr w:rsidR="00271E37" w:rsidRPr="00454905" w14:paraId="0677E089" w14:textId="77777777" w:rsidTr="000923EA">
        <w:tc>
          <w:tcPr>
            <w:tcW w:w="7371" w:type="dxa"/>
            <w:tcBorders>
              <w:bottom w:val="single" w:sz="4" w:space="0" w:color="000000"/>
            </w:tcBorders>
          </w:tcPr>
          <w:p w14:paraId="52FCB6CE" w14:textId="77777777" w:rsidR="00271E37" w:rsidRDefault="00271E37">
            <w:pPr>
              <w:jc w:val="left"/>
            </w:pPr>
            <w:r w:rsidRPr="00431B2B">
              <w:rPr>
                <w:i/>
                <w:iCs/>
              </w:rPr>
              <w:t>Continuing operations</w:t>
            </w:r>
          </w:p>
        </w:tc>
        <w:tc>
          <w:tcPr>
            <w:tcW w:w="1134" w:type="dxa"/>
            <w:tcBorders>
              <w:bottom w:val="single" w:sz="4" w:space="0" w:color="000000"/>
            </w:tcBorders>
          </w:tcPr>
          <w:p w14:paraId="43FDCF42" w14:textId="77777777" w:rsidR="00271E37" w:rsidRPr="005F637F" w:rsidRDefault="00271E37" w:rsidP="000923EA">
            <w:pPr>
              <w:rPr>
                <w:b/>
                <w:bCs/>
              </w:rPr>
            </w:pPr>
            <w:r>
              <w:rPr>
                <w:b/>
                <w:bCs/>
              </w:rPr>
              <w:t>£000</w:t>
            </w:r>
          </w:p>
        </w:tc>
        <w:tc>
          <w:tcPr>
            <w:tcW w:w="1134" w:type="dxa"/>
            <w:tcBorders>
              <w:bottom w:val="single" w:sz="4" w:space="0" w:color="000000"/>
            </w:tcBorders>
          </w:tcPr>
          <w:p w14:paraId="7B04E952" w14:textId="77777777" w:rsidR="00271E37" w:rsidRPr="00454905" w:rsidRDefault="00271E37" w:rsidP="000923EA">
            <w:r>
              <w:t>£000</w:t>
            </w:r>
          </w:p>
        </w:tc>
      </w:tr>
      <w:tr w:rsidR="00271E37" w:rsidRPr="00454905" w14:paraId="5F7CE041" w14:textId="77777777">
        <w:tc>
          <w:tcPr>
            <w:tcW w:w="7371" w:type="dxa"/>
            <w:tcBorders>
              <w:bottom w:val="nil"/>
            </w:tcBorders>
          </w:tcPr>
          <w:p w14:paraId="3FED910E" w14:textId="77777777" w:rsidR="00271E37" w:rsidRPr="00454905" w:rsidRDefault="00271E37">
            <w:pPr>
              <w:jc w:val="left"/>
            </w:pPr>
            <w:r w:rsidRPr="00454905">
              <w:t>Interest receivable on bank deposits</w:t>
            </w:r>
          </w:p>
        </w:tc>
        <w:tc>
          <w:tcPr>
            <w:tcW w:w="1134" w:type="dxa"/>
            <w:tcBorders>
              <w:bottom w:val="nil"/>
            </w:tcBorders>
            <w:vAlign w:val="center"/>
          </w:tcPr>
          <w:p w14:paraId="17E2A326" w14:textId="77777777" w:rsidR="00271E37" w:rsidRDefault="00271E37">
            <w:pPr>
              <w:rPr>
                <w:rFonts w:cs="Arial"/>
                <w:b/>
                <w:bCs/>
                <w:color w:val="000000"/>
                <w:szCs w:val="16"/>
              </w:rPr>
            </w:pPr>
            <w:r>
              <w:rPr>
                <w:rFonts w:cs="Arial"/>
                <w:b/>
                <w:bCs/>
                <w:color w:val="000000"/>
                <w:szCs w:val="16"/>
              </w:rPr>
              <w:t xml:space="preserve">766 </w:t>
            </w:r>
          </w:p>
        </w:tc>
        <w:tc>
          <w:tcPr>
            <w:tcW w:w="1134" w:type="dxa"/>
            <w:tcBorders>
              <w:bottom w:val="nil"/>
            </w:tcBorders>
            <w:vAlign w:val="center"/>
          </w:tcPr>
          <w:p w14:paraId="6C99B335" w14:textId="77777777" w:rsidR="00271E37" w:rsidRPr="00DD777C" w:rsidRDefault="00271E37">
            <w:r>
              <w:rPr>
                <w:rFonts w:cs="Arial"/>
                <w:color w:val="000000"/>
                <w:szCs w:val="16"/>
              </w:rPr>
              <w:t xml:space="preserve">1,048 </w:t>
            </w:r>
          </w:p>
        </w:tc>
      </w:tr>
      <w:tr w:rsidR="00271E37" w:rsidRPr="00454905" w14:paraId="41827D08" w14:textId="77777777">
        <w:tc>
          <w:tcPr>
            <w:tcW w:w="7371" w:type="dxa"/>
            <w:tcBorders>
              <w:bottom w:val="nil"/>
            </w:tcBorders>
          </w:tcPr>
          <w:p w14:paraId="54B3FBF2" w14:textId="77777777" w:rsidR="00271E37" w:rsidRPr="00454905" w:rsidRDefault="00271E37">
            <w:pPr>
              <w:jc w:val="left"/>
            </w:pPr>
            <w:r w:rsidRPr="00454905">
              <w:t>Derivative financial instruments at fair value through the income statement</w:t>
            </w:r>
          </w:p>
        </w:tc>
        <w:tc>
          <w:tcPr>
            <w:tcW w:w="1134" w:type="dxa"/>
            <w:tcBorders>
              <w:bottom w:val="nil"/>
            </w:tcBorders>
            <w:vAlign w:val="center"/>
          </w:tcPr>
          <w:p w14:paraId="17D5670E" w14:textId="77777777" w:rsidR="00271E37" w:rsidRDefault="00271E37">
            <w:pPr>
              <w:rPr>
                <w:rFonts w:cs="Arial"/>
                <w:b/>
                <w:bCs/>
                <w:color w:val="000000"/>
                <w:szCs w:val="16"/>
              </w:rPr>
            </w:pPr>
            <w:r>
              <w:rPr>
                <w:rFonts w:cs="Arial"/>
                <w:b/>
                <w:bCs/>
                <w:color w:val="000000"/>
                <w:szCs w:val="16"/>
              </w:rPr>
              <w:t xml:space="preserve">6 </w:t>
            </w:r>
          </w:p>
        </w:tc>
        <w:tc>
          <w:tcPr>
            <w:tcW w:w="1134" w:type="dxa"/>
            <w:tcBorders>
              <w:bottom w:val="nil"/>
            </w:tcBorders>
            <w:vAlign w:val="center"/>
          </w:tcPr>
          <w:p w14:paraId="70DF4C64" w14:textId="77777777" w:rsidR="00271E37" w:rsidRPr="00DD777C" w:rsidRDefault="00271E37">
            <w:r>
              <w:rPr>
                <w:rFonts w:cs="Arial"/>
                <w:color w:val="000000"/>
                <w:szCs w:val="16"/>
              </w:rPr>
              <w:t xml:space="preserve">108 </w:t>
            </w:r>
          </w:p>
        </w:tc>
      </w:tr>
      <w:tr w:rsidR="00271E37" w:rsidRPr="00454905" w14:paraId="3BBCCD4F" w14:textId="77777777">
        <w:tc>
          <w:tcPr>
            <w:tcW w:w="7371" w:type="dxa"/>
            <w:tcBorders>
              <w:top w:val="single" w:sz="4" w:space="0" w:color="000000"/>
            </w:tcBorders>
          </w:tcPr>
          <w:p w14:paraId="46037A8A" w14:textId="77777777" w:rsidR="00271E37" w:rsidRPr="00454905" w:rsidRDefault="00271E37">
            <w:pPr>
              <w:jc w:val="left"/>
            </w:pPr>
          </w:p>
        </w:tc>
        <w:tc>
          <w:tcPr>
            <w:tcW w:w="1134" w:type="dxa"/>
            <w:tcBorders>
              <w:top w:val="single" w:sz="4" w:space="0" w:color="000000"/>
            </w:tcBorders>
            <w:vAlign w:val="center"/>
          </w:tcPr>
          <w:p w14:paraId="0E80E9C9" w14:textId="77777777" w:rsidR="00271E37" w:rsidRPr="004955F2" w:rsidRDefault="00271E37">
            <w:pPr>
              <w:rPr>
                <w:b/>
                <w:bCs/>
              </w:rPr>
            </w:pPr>
            <w:r>
              <w:rPr>
                <w:rFonts w:cs="Arial"/>
                <w:b/>
                <w:bCs/>
                <w:color w:val="000000"/>
                <w:szCs w:val="16"/>
              </w:rPr>
              <w:t xml:space="preserve">772 </w:t>
            </w:r>
          </w:p>
        </w:tc>
        <w:tc>
          <w:tcPr>
            <w:tcW w:w="1134" w:type="dxa"/>
            <w:tcBorders>
              <w:top w:val="single" w:sz="4" w:space="0" w:color="000000"/>
            </w:tcBorders>
            <w:vAlign w:val="center"/>
          </w:tcPr>
          <w:p w14:paraId="02957BD8" w14:textId="77777777" w:rsidR="00271E37" w:rsidRPr="004955F2" w:rsidRDefault="00271E37">
            <w:r>
              <w:rPr>
                <w:rFonts w:cs="Arial"/>
                <w:color w:val="000000"/>
                <w:szCs w:val="16"/>
              </w:rPr>
              <w:t xml:space="preserve">1,156 </w:t>
            </w:r>
          </w:p>
        </w:tc>
      </w:tr>
      <w:bookmarkEnd w:id="40"/>
    </w:tbl>
    <w:p w14:paraId="551D2040" w14:textId="77777777" w:rsidR="00271E37" w:rsidRDefault="00271E37"/>
    <w:p w14:paraId="596B0BD8" w14:textId="77777777" w:rsidR="00271E37" w:rsidRPr="00F97C99" w:rsidRDefault="00271E37" w:rsidP="002E39D4">
      <w:pPr>
        <w:rPr>
          <w:b/>
          <w:bCs/>
        </w:rPr>
      </w:pPr>
      <w:r w:rsidRPr="00F97C99">
        <w:rPr>
          <w:b/>
          <w:bCs/>
        </w:rPr>
        <w:t>Finance costs</w:t>
      </w:r>
    </w:p>
    <w:tbl>
      <w:tblPr>
        <w:tblStyle w:val="tableDUL"/>
        <w:tblW w:w="9639" w:type="dxa"/>
        <w:tblLayout w:type="fixed"/>
        <w:tblLook w:val="04A0" w:firstRow="1" w:lastRow="0" w:firstColumn="1" w:lastColumn="0" w:noHBand="0" w:noVBand="1"/>
      </w:tblPr>
      <w:tblGrid>
        <w:gridCol w:w="7371"/>
        <w:gridCol w:w="1134"/>
        <w:gridCol w:w="1134"/>
      </w:tblGrid>
      <w:tr w:rsidR="00271E37" w:rsidRPr="005F637F" w14:paraId="51630FD3" w14:textId="77777777" w:rsidTr="000923EA">
        <w:trPr>
          <w:trHeight w:hRule="exact" w:val="20"/>
        </w:trPr>
        <w:tc>
          <w:tcPr>
            <w:tcW w:w="7371" w:type="dxa"/>
            <w:tcBorders>
              <w:top w:val="nil"/>
              <w:left w:val="nil"/>
              <w:bottom w:val="nil"/>
              <w:right w:val="nil"/>
            </w:tcBorders>
          </w:tcPr>
          <w:p w14:paraId="7AB23A14" w14:textId="77777777" w:rsidR="00271E37" w:rsidRPr="005F637F" w:rsidRDefault="00271E37" w:rsidP="000923EA">
            <w:pPr>
              <w:jc w:val="left"/>
            </w:pPr>
            <w:bookmarkStart w:id="41" w:name="_3d929db6_604f_4251_83b1_33a91191928a"/>
            <w:bookmarkStart w:id="42" w:name="_685a5063_3e2d_4da1_850b_0efe1caf6a4d"/>
            <w:bookmarkEnd w:id="41"/>
          </w:p>
          <w:p w14:paraId="226AFE97" w14:textId="77777777" w:rsidR="00271E37" w:rsidRDefault="00271E37">
            <w:pPr>
              <w:rPr>
                <w:sz w:val="2"/>
              </w:rPr>
            </w:pPr>
          </w:p>
        </w:tc>
        <w:tc>
          <w:tcPr>
            <w:tcW w:w="1134" w:type="dxa"/>
            <w:tcBorders>
              <w:top w:val="nil"/>
              <w:left w:val="nil"/>
              <w:bottom w:val="nil"/>
              <w:right w:val="nil"/>
            </w:tcBorders>
          </w:tcPr>
          <w:p w14:paraId="7DB59AED" w14:textId="77777777" w:rsidR="00271E37" w:rsidRPr="005F637F" w:rsidRDefault="00271E37" w:rsidP="000923EA">
            <w:pPr>
              <w:rPr>
                <w:b/>
                <w:bCs/>
              </w:rPr>
            </w:pPr>
          </w:p>
          <w:p w14:paraId="3B057F84" w14:textId="77777777" w:rsidR="00271E37" w:rsidRDefault="00271E37">
            <w:pPr>
              <w:rPr>
                <w:sz w:val="2"/>
              </w:rPr>
            </w:pPr>
          </w:p>
        </w:tc>
        <w:tc>
          <w:tcPr>
            <w:tcW w:w="1134" w:type="dxa"/>
            <w:tcBorders>
              <w:top w:val="nil"/>
              <w:left w:val="nil"/>
              <w:bottom w:val="nil"/>
              <w:right w:val="nil"/>
            </w:tcBorders>
          </w:tcPr>
          <w:p w14:paraId="5CF9C9E3" w14:textId="77777777" w:rsidR="00271E37" w:rsidRPr="005F637F" w:rsidRDefault="00271E37" w:rsidP="000923EA"/>
          <w:p w14:paraId="75C2E89F" w14:textId="77777777" w:rsidR="00271E37" w:rsidRDefault="00271E37">
            <w:pPr>
              <w:rPr>
                <w:sz w:val="2"/>
              </w:rPr>
            </w:pPr>
          </w:p>
        </w:tc>
      </w:tr>
      <w:tr w:rsidR="00271E37" w:rsidRPr="005F637F" w14:paraId="66628AC6" w14:textId="77777777">
        <w:tc>
          <w:tcPr>
            <w:tcW w:w="7371" w:type="dxa"/>
            <w:tcBorders>
              <w:bottom w:val="nil"/>
            </w:tcBorders>
          </w:tcPr>
          <w:p w14:paraId="6062F96D" w14:textId="77777777" w:rsidR="00271E37" w:rsidRDefault="00271E37" w:rsidP="000923EA"/>
        </w:tc>
        <w:tc>
          <w:tcPr>
            <w:tcW w:w="1134" w:type="dxa"/>
            <w:tcBorders>
              <w:bottom w:val="nil"/>
            </w:tcBorders>
          </w:tcPr>
          <w:p w14:paraId="5007BA64" w14:textId="77777777" w:rsidR="00271E37" w:rsidRPr="005F637F" w:rsidRDefault="00271E37" w:rsidP="000923EA">
            <w:pPr>
              <w:rPr>
                <w:b/>
                <w:bCs/>
              </w:rPr>
            </w:pPr>
            <w:r>
              <w:rPr>
                <w:b/>
                <w:bCs/>
              </w:rPr>
              <w:t>2026</w:t>
            </w:r>
          </w:p>
        </w:tc>
        <w:tc>
          <w:tcPr>
            <w:tcW w:w="1134" w:type="dxa"/>
            <w:tcBorders>
              <w:bottom w:val="nil"/>
            </w:tcBorders>
          </w:tcPr>
          <w:p w14:paraId="53866877" w14:textId="77777777" w:rsidR="00271E37" w:rsidRPr="005F637F" w:rsidRDefault="00271E37" w:rsidP="000923EA">
            <w:r>
              <w:t>2025</w:t>
            </w:r>
          </w:p>
        </w:tc>
      </w:tr>
      <w:tr w:rsidR="00271E37" w:rsidRPr="005F637F" w14:paraId="3F1D0470" w14:textId="77777777" w:rsidTr="212C44CD">
        <w:tc>
          <w:tcPr>
            <w:tcW w:w="7371" w:type="dxa"/>
            <w:tcBorders>
              <w:bottom w:val="single" w:sz="4" w:space="0" w:color="000000" w:themeColor="text1"/>
            </w:tcBorders>
          </w:tcPr>
          <w:p w14:paraId="6D72BD32" w14:textId="77777777" w:rsidR="00271E37" w:rsidRDefault="00271E37">
            <w:pPr>
              <w:jc w:val="left"/>
            </w:pPr>
            <w:r w:rsidRPr="00431B2B">
              <w:rPr>
                <w:i/>
                <w:iCs/>
              </w:rPr>
              <w:t>Continuing operations</w:t>
            </w:r>
          </w:p>
        </w:tc>
        <w:tc>
          <w:tcPr>
            <w:tcW w:w="1134" w:type="dxa"/>
            <w:tcBorders>
              <w:bottom w:val="single" w:sz="4" w:space="0" w:color="000000" w:themeColor="text1"/>
            </w:tcBorders>
          </w:tcPr>
          <w:p w14:paraId="65D11D40" w14:textId="77777777" w:rsidR="00271E37" w:rsidRPr="005F637F" w:rsidRDefault="00271E37" w:rsidP="000923EA">
            <w:pPr>
              <w:rPr>
                <w:b/>
                <w:bCs/>
              </w:rPr>
            </w:pPr>
            <w:r>
              <w:rPr>
                <w:b/>
                <w:bCs/>
              </w:rPr>
              <w:t>£000</w:t>
            </w:r>
          </w:p>
        </w:tc>
        <w:tc>
          <w:tcPr>
            <w:tcW w:w="1134" w:type="dxa"/>
            <w:tcBorders>
              <w:bottom w:val="single" w:sz="4" w:space="0" w:color="000000" w:themeColor="text1"/>
            </w:tcBorders>
          </w:tcPr>
          <w:p w14:paraId="225C0448" w14:textId="77777777" w:rsidR="00271E37" w:rsidRPr="005F637F" w:rsidRDefault="00271E37" w:rsidP="000923EA">
            <w:r>
              <w:t>£000</w:t>
            </w:r>
          </w:p>
        </w:tc>
      </w:tr>
      <w:tr w:rsidR="00271E37" w:rsidRPr="005F637F" w14:paraId="0120EB94" w14:textId="77777777" w:rsidTr="002E2020">
        <w:tc>
          <w:tcPr>
            <w:tcW w:w="7371" w:type="dxa"/>
            <w:tcBorders>
              <w:bottom w:val="nil"/>
            </w:tcBorders>
          </w:tcPr>
          <w:p w14:paraId="57402510" w14:textId="77777777" w:rsidR="00271E37" w:rsidRDefault="00271E37">
            <w:pPr>
              <w:jc w:val="left"/>
            </w:pPr>
            <w:r w:rsidRPr="005F637F">
              <w:t>Lease liability interest</w:t>
            </w:r>
          </w:p>
        </w:tc>
        <w:tc>
          <w:tcPr>
            <w:tcW w:w="1134" w:type="dxa"/>
            <w:tcBorders>
              <w:bottom w:val="nil"/>
            </w:tcBorders>
            <w:vAlign w:val="center"/>
          </w:tcPr>
          <w:p w14:paraId="52DAB1A0" w14:textId="77777777" w:rsidR="00271E37" w:rsidRPr="005F637F" w:rsidRDefault="00271E37">
            <w:pPr>
              <w:rPr>
                <w:b/>
                <w:bCs/>
              </w:rPr>
            </w:pPr>
            <w:r>
              <w:rPr>
                <w:rFonts w:cs="Arial"/>
                <w:b/>
                <w:bCs/>
                <w:color w:val="000000"/>
                <w:szCs w:val="16"/>
              </w:rPr>
              <w:t>(1,502)</w:t>
            </w:r>
          </w:p>
        </w:tc>
        <w:tc>
          <w:tcPr>
            <w:tcW w:w="1134" w:type="dxa"/>
            <w:tcBorders>
              <w:bottom w:val="nil"/>
            </w:tcBorders>
            <w:vAlign w:val="center"/>
          </w:tcPr>
          <w:p w14:paraId="2ADD26A9" w14:textId="77777777" w:rsidR="00271E37" w:rsidRPr="005F637F" w:rsidRDefault="00271E37">
            <w:r>
              <w:rPr>
                <w:rFonts w:cs="Arial"/>
                <w:color w:val="000000"/>
                <w:szCs w:val="16"/>
              </w:rPr>
              <w:t>(945)</w:t>
            </w:r>
          </w:p>
        </w:tc>
      </w:tr>
      <w:tr w:rsidR="00271E37" w:rsidRPr="005F637F" w14:paraId="0F3E86C7" w14:textId="77777777" w:rsidTr="002E2020">
        <w:tc>
          <w:tcPr>
            <w:tcW w:w="7371" w:type="dxa"/>
            <w:tcBorders>
              <w:bottom w:val="nil"/>
            </w:tcBorders>
          </w:tcPr>
          <w:p w14:paraId="66FA397F" w14:textId="77777777" w:rsidR="00271E37" w:rsidRPr="005F637F" w:rsidRDefault="00271E37">
            <w:pPr>
              <w:jc w:val="left"/>
            </w:pPr>
            <w:r>
              <w:t>Amortisation of loan arrangement fees</w:t>
            </w:r>
          </w:p>
        </w:tc>
        <w:tc>
          <w:tcPr>
            <w:tcW w:w="1134" w:type="dxa"/>
            <w:tcBorders>
              <w:bottom w:val="nil"/>
            </w:tcBorders>
            <w:vAlign w:val="center"/>
          </w:tcPr>
          <w:p w14:paraId="287CA7D6" w14:textId="3774C7BD" w:rsidR="00271E37" w:rsidRPr="212C44CD" w:rsidRDefault="00271E37">
            <w:pPr>
              <w:rPr>
                <w:rFonts w:cs="Arial"/>
                <w:b/>
                <w:color w:val="000000" w:themeColor="text1"/>
              </w:rPr>
            </w:pPr>
            <w:r>
              <w:rPr>
                <w:rFonts w:cs="Arial"/>
                <w:b/>
                <w:bCs/>
                <w:color w:val="000000"/>
                <w:szCs w:val="16"/>
              </w:rPr>
              <w:t>(</w:t>
            </w:r>
            <w:r w:rsidR="0063268D">
              <w:rPr>
                <w:rFonts w:cs="Arial"/>
                <w:b/>
                <w:bCs/>
                <w:color w:val="000000"/>
                <w:szCs w:val="16"/>
              </w:rPr>
              <w:t>256</w:t>
            </w:r>
            <w:r>
              <w:rPr>
                <w:rFonts w:cs="Arial"/>
                <w:b/>
                <w:bCs/>
                <w:color w:val="000000"/>
                <w:szCs w:val="16"/>
              </w:rPr>
              <w:t>)</w:t>
            </w:r>
          </w:p>
        </w:tc>
        <w:tc>
          <w:tcPr>
            <w:tcW w:w="1134" w:type="dxa"/>
            <w:tcBorders>
              <w:bottom w:val="nil"/>
            </w:tcBorders>
            <w:vAlign w:val="center"/>
          </w:tcPr>
          <w:p w14:paraId="513F94DB" w14:textId="77777777" w:rsidR="00271E37" w:rsidRPr="00DD777C" w:rsidRDefault="00271E37">
            <w:r>
              <w:rPr>
                <w:rFonts w:cs="Arial"/>
                <w:color w:val="000000"/>
                <w:szCs w:val="16"/>
              </w:rPr>
              <w:t>(581)</w:t>
            </w:r>
          </w:p>
        </w:tc>
      </w:tr>
      <w:tr w:rsidR="00271E37" w:rsidRPr="005F637F" w14:paraId="74E8A5F7" w14:textId="77777777" w:rsidTr="00FC029C">
        <w:tc>
          <w:tcPr>
            <w:tcW w:w="7371" w:type="dxa"/>
            <w:tcBorders>
              <w:top w:val="nil"/>
              <w:bottom w:val="nil"/>
            </w:tcBorders>
          </w:tcPr>
          <w:p w14:paraId="6CC54560" w14:textId="77777777" w:rsidR="00271E37" w:rsidRPr="005F637F" w:rsidRDefault="00271E37">
            <w:pPr>
              <w:jc w:val="left"/>
            </w:pPr>
            <w:r w:rsidRPr="005F637F">
              <w:t>Interest payable on bank loans and overdrafts</w:t>
            </w:r>
          </w:p>
        </w:tc>
        <w:tc>
          <w:tcPr>
            <w:tcW w:w="1134" w:type="dxa"/>
            <w:tcBorders>
              <w:top w:val="nil"/>
              <w:bottom w:val="nil"/>
            </w:tcBorders>
            <w:vAlign w:val="center"/>
          </w:tcPr>
          <w:p w14:paraId="67035FD8" w14:textId="161F669B" w:rsidR="00271E37" w:rsidRPr="004955F2" w:rsidRDefault="00271E37">
            <w:pPr>
              <w:rPr>
                <w:b/>
                <w:bCs/>
              </w:rPr>
            </w:pPr>
            <w:r>
              <w:rPr>
                <w:rFonts w:cs="Arial"/>
                <w:b/>
                <w:bCs/>
                <w:color w:val="000000"/>
                <w:szCs w:val="16"/>
              </w:rPr>
              <w:t>(</w:t>
            </w:r>
            <w:r w:rsidR="003607D1">
              <w:rPr>
                <w:rFonts w:cs="Arial"/>
                <w:b/>
                <w:bCs/>
                <w:color w:val="000000"/>
                <w:szCs w:val="16"/>
              </w:rPr>
              <w:t>141</w:t>
            </w:r>
            <w:r>
              <w:rPr>
                <w:rFonts w:cs="Arial"/>
                <w:b/>
                <w:bCs/>
                <w:color w:val="000000"/>
                <w:szCs w:val="16"/>
              </w:rPr>
              <w:t>)</w:t>
            </w:r>
          </w:p>
        </w:tc>
        <w:tc>
          <w:tcPr>
            <w:tcW w:w="1134" w:type="dxa"/>
            <w:tcBorders>
              <w:top w:val="nil"/>
              <w:bottom w:val="nil"/>
            </w:tcBorders>
            <w:vAlign w:val="center"/>
          </w:tcPr>
          <w:p w14:paraId="0780D7EF" w14:textId="77777777" w:rsidR="00271E37" w:rsidRPr="004955F2" w:rsidRDefault="00271E37">
            <w:r>
              <w:rPr>
                <w:rFonts w:cs="Arial"/>
                <w:color w:val="000000"/>
                <w:szCs w:val="16"/>
              </w:rPr>
              <w:t>(837)</w:t>
            </w:r>
          </w:p>
        </w:tc>
      </w:tr>
      <w:tr w:rsidR="00271E37" w:rsidRPr="005F637F" w14:paraId="2EA7A14B" w14:textId="77777777" w:rsidTr="00FC029C">
        <w:tc>
          <w:tcPr>
            <w:tcW w:w="7371" w:type="dxa"/>
            <w:tcBorders>
              <w:top w:val="nil"/>
            </w:tcBorders>
          </w:tcPr>
          <w:p w14:paraId="1C33F323" w14:textId="77777777" w:rsidR="00271E37" w:rsidRPr="005F637F" w:rsidRDefault="00271E37">
            <w:pPr>
              <w:jc w:val="left"/>
            </w:pPr>
            <w:r w:rsidRPr="00CF77E9">
              <w:t>Unwinding of fair value discounts</w:t>
            </w:r>
          </w:p>
        </w:tc>
        <w:tc>
          <w:tcPr>
            <w:tcW w:w="1134" w:type="dxa"/>
            <w:tcBorders>
              <w:top w:val="nil"/>
            </w:tcBorders>
            <w:vAlign w:val="center"/>
          </w:tcPr>
          <w:p w14:paraId="100349AE" w14:textId="77777777" w:rsidR="00271E37" w:rsidRPr="00C7325C" w:rsidRDefault="00271E37">
            <w:pPr>
              <w:rPr>
                <w:rFonts w:cs="Arial"/>
                <w:b/>
                <w:bCs/>
              </w:rPr>
            </w:pPr>
            <w:r w:rsidRPr="00C7325C">
              <w:rPr>
                <w:rFonts w:cs="Arial"/>
                <w:b/>
                <w:bCs/>
                <w:szCs w:val="16"/>
              </w:rPr>
              <w:t>(71)</w:t>
            </w:r>
          </w:p>
        </w:tc>
        <w:tc>
          <w:tcPr>
            <w:tcW w:w="1134" w:type="dxa"/>
            <w:tcBorders>
              <w:top w:val="nil"/>
            </w:tcBorders>
            <w:vAlign w:val="center"/>
          </w:tcPr>
          <w:p w14:paraId="692E4205" w14:textId="77777777" w:rsidR="00271E37" w:rsidRPr="00C7325C" w:rsidRDefault="00271E37">
            <w:r w:rsidRPr="00C7325C">
              <w:rPr>
                <w:rFonts w:cs="Arial"/>
                <w:szCs w:val="16"/>
              </w:rPr>
              <w:t>(63)</w:t>
            </w:r>
          </w:p>
        </w:tc>
      </w:tr>
      <w:tr w:rsidR="00271E37" w:rsidRPr="005F637F" w14:paraId="62E86FE1" w14:textId="77777777">
        <w:tc>
          <w:tcPr>
            <w:tcW w:w="7371" w:type="dxa"/>
            <w:tcBorders>
              <w:top w:val="single" w:sz="4" w:space="0" w:color="000000" w:themeColor="text1"/>
              <w:bottom w:val="single" w:sz="4" w:space="0" w:color="000000" w:themeColor="text1"/>
            </w:tcBorders>
          </w:tcPr>
          <w:p w14:paraId="6FE38E2A" w14:textId="77777777" w:rsidR="00271E37" w:rsidRPr="005F637F" w:rsidRDefault="00271E37">
            <w:pPr>
              <w:jc w:val="left"/>
            </w:pPr>
          </w:p>
        </w:tc>
        <w:tc>
          <w:tcPr>
            <w:tcW w:w="1134" w:type="dxa"/>
            <w:tcBorders>
              <w:top w:val="single" w:sz="4" w:space="0" w:color="000000" w:themeColor="text1"/>
              <w:bottom w:val="single" w:sz="4" w:space="0" w:color="000000" w:themeColor="text1"/>
            </w:tcBorders>
            <w:vAlign w:val="center"/>
          </w:tcPr>
          <w:p w14:paraId="07D1CBE2" w14:textId="77777777" w:rsidR="00271E37" w:rsidRPr="004955F2" w:rsidRDefault="00271E37">
            <w:pPr>
              <w:rPr>
                <w:b/>
                <w:bCs/>
              </w:rPr>
            </w:pPr>
            <w:r>
              <w:rPr>
                <w:rFonts w:cs="Arial"/>
                <w:b/>
                <w:bCs/>
                <w:color w:val="000000"/>
                <w:szCs w:val="16"/>
              </w:rPr>
              <w:t>(1,970)</w:t>
            </w:r>
          </w:p>
        </w:tc>
        <w:tc>
          <w:tcPr>
            <w:tcW w:w="1134" w:type="dxa"/>
            <w:tcBorders>
              <w:top w:val="single" w:sz="4" w:space="0" w:color="000000" w:themeColor="text1"/>
              <w:bottom w:val="single" w:sz="4" w:space="0" w:color="000000" w:themeColor="text1"/>
            </w:tcBorders>
            <w:vAlign w:val="center"/>
          </w:tcPr>
          <w:p w14:paraId="168762DD" w14:textId="77777777" w:rsidR="00271E37" w:rsidRPr="004955F2" w:rsidRDefault="00271E37">
            <w:r>
              <w:rPr>
                <w:rFonts w:cs="Arial"/>
                <w:color w:val="000000"/>
                <w:szCs w:val="16"/>
              </w:rPr>
              <w:t>(2,426)</w:t>
            </w:r>
          </w:p>
        </w:tc>
      </w:tr>
      <w:tr w:rsidR="00271E37" w:rsidRPr="005F637F" w14:paraId="71DE0344" w14:textId="77777777" w:rsidTr="212C44CD">
        <w:tc>
          <w:tcPr>
            <w:tcW w:w="7371" w:type="dxa"/>
            <w:tcBorders>
              <w:top w:val="single" w:sz="4" w:space="0" w:color="000000" w:themeColor="text1"/>
            </w:tcBorders>
          </w:tcPr>
          <w:p w14:paraId="0A190267" w14:textId="753B2A17" w:rsidR="00271E37" w:rsidRPr="005F637F" w:rsidRDefault="00271E37">
            <w:pPr>
              <w:jc w:val="left"/>
            </w:pPr>
            <w:r>
              <w:t>Net finance cost</w:t>
            </w:r>
          </w:p>
        </w:tc>
        <w:tc>
          <w:tcPr>
            <w:tcW w:w="1134" w:type="dxa"/>
            <w:tcBorders>
              <w:top w:val="single" w:sz="4" w:space="0" w:color="000000" w:themeColor="text1"/>
            </w:tcBorders>
            <w:vAlign w:val="center"/>
          </w:tcPr>
          <w:p w14:paraId="7C7DDFF6" w14:textId="77777777" w:rsidR="00271E37" w:rsidRDefault="00271E37">
            <w:pPr>
              <w:rPr>
                <w:rFonts w:cs="Arial"/>
                <w:b/>
                <w:bCs/>
                <w:color w:val="000000"/>
                <w:szCs w:val="16"/>
              </w:rPr>
            </w:pPr>
            <w:r>
              <w:rPr>
                <w:rFonts w:cs="Arial"/>
                <w:b/>
                <w:bCs/>
                <w:color w:val="000000"/>
                <w:szCs w:val="16"/>
              </w:rPr>
              <w:t>(1,198)</w:t>
            </w:r>
          </w:p>
        </w:tc>
        <w:tc>
          <w:tcPr>
            <w:tcW w:w="1134" w:type="dxa"/>
            <w:tcBorders>
              <w:top w:val="single" w:sz="4" w:space="0" w:color="000000" w:themeColor="text1"/>
            </w:tcBorders>
            <w:vAlign w:val="center"/>
          </w:tcPr>
          <w:p w14:paraId="0405E991" w14:textId="77777777" w:rsidR="00271E37" w:rsidRDefault="00271E37">
            <w:pPr>
              <w:rPr>
                <w:rFonts w:cs="Arial"/>
                <w:color w:val="000000"/>
                <w:szCs w:val="16"/>
              </w:rPr>
            </w:pPr>
            <w:r>
              <w:rPr>
                <w:rFonts w:cs="Arial"/>
                <w:color w:val="000000"/>
                <w:szCs w:val="16"/>
              </w:rPr>
              <w:t>(1,270)</w:t>
            </w:r>
          </w:p>
        </w:tc>
      </w:tr>
      <w:bookmarkEnd w:id="42"/>
    </w:tbl>
    <w:p w14:paraId="6D302C41" w14:textId="77777777" w:rsidR="00271E37" w:rsidRDefault="00271E37" w:rsidP="002E39D4"/>
    <w:p w14:paraId="6C1EB0D2" w14:textId="647B7161" w:rsidR="00271E37" w:rsidRDefault="00271E37" w:rsidP="002E39D4">
      <w:r w:rsidRPr="00BE49F9">
        <w:t>Finance income and finance costs attributable to discontinued operations amounting to £</w:t>
      </w:r>
      <w:r>
        <w:t>65,000</w:t>
      </w:r>
      <w:r w:rsidRPr="00BE49F9">
        <w:t xml:space="preserve"> and £</w:t>
      </w:r>
      <w:r>
        <w:t>993,000</w:t>
      </w:r>
      <w:r w:rsidRPr="00BE49F9">
        <w:t xml:space="preserve"> (2025: £</w:t>
      </w:r>
      <w:r>
        <w:t>1,690,000</w:t>
      </w:r>
      <w:r w:rsidRPr="00BE49F9">
        <w:t xml:space="preserve"> and £</w:t>
      </w:r>
      <w:r>
        <w:t>1,937,000</w:t>
      </w:r>
      <w:r w:rsidRPr="00BE49F9">
        <w:t xml:space="preserve">) are included within the results of discontinued operations disclosed in </w:t>
      </w:r>
      <w:r w:rsidR="00CA1B2F">
        <w:t>n</w:t>
      </w:r>
      <w:r w:rsidRPr="00BE49F9">
        <w:t>4.</w:t>
      </w:r>
      <w:r>
        <w:t xml:space="preserve"> The total </w:t>
      </w:r>
      <w:r w:rsidR="009138EB">
        <w:t>G</w:t>
      </w:r>
      <w:r>
        <w:t>roup net finance cost amounted to £2,126,000 (2025: £1,517,000).</w:t>
      </w:r>
    </w:p>
    <w:p w14:paraId="70726830" w14:textId="77777777" w:rsidR="00271E37" w:rsidRDefault="00271E37" w:rsidP="002E39D4"/>
    <w:p w14:paraId="7013FC09" w14:textId="77777777" w:rsidR="00271E37" w:rsidRPr="00452155" w:rsidRDefault="00271E37">
      <w:pPr>
        <w:pStyle w:val="Heading2"/>
        <w:rPr>
          <w:bCs/>
        </w:rPr>
      </w:pPr>
      <w:r w:rsidRPr="00DF6C2B">
        <w:t>7 Income tax charge</w:t>
      </w:r>
      <w:r>
        <w:t>/(credit)</w:t>
      </w:r>
    </w:p>
    <w:p w14:paraId="49B8D630" w14:textId="77777777" w:rsidR="00271E37" w:rsidRPr="00452155" w:rsidRDefault="00271E37" w:rsidP="002E39D4">
      <w:pPr>
        <w:rPr>
          <w:b/>
          <w:bCs/>
          <w:i/>
          <w:iCs/>
        </w:rPr>
      </w:pPr>
      <w:r w:rsidRPr="00452155">
        <w:rPr>
          <w:b/>
          <w:bCs/>
          <w:i/>
          <w:iCs/>
        </w:rPr>
        <w:t>Recognised in the income statement</w:t>
      </w:r>
    </w:p>
    <w:tbl>
      <w:tblPr>
        <w:tblStyle w:val="tableDUL"/>
        <w:tblW w:w="9639" w:type="dxa"/>
        <w:tblLayout w:type="fixed"/>
        <w:tblLook w:val="04A0" w:firstRow="1" w:lastRow="0" w:firstColumn="1" w:lastColumn="0" w:noHBand="0" w:noVBand="1"/>
      </w:tblPr>
      <w:tblGrid>
        <w:gridCol w:w="7371"/>
        <w:gridCol w:w="1134"/>
        <w:gridCol w:w="1134"/>
      </w:tblGrid>
      <w:tr w:rsidR="00271E37" w:rsidRPr="005F637F" w14:paraId="335C067D" w14:textId="77777777">
        <w:tc>
          <w:tcPr>
            <w:tcW w:w="7371" w:type="dxa"/>
            <w:tcBorders>
              <w:bottom w:val="nil"/>
            </w:tcBorders>
          </w:tcPr>
          <w:p w14:paraId="52FDBF16" w14:textId="77777777" w:rsidR="00271E37" w:rsidRPr="005F637F" w:rsidRDefault="00271E37" w:rsidP="005F637F"/>
        </w:tc>
        <w:tc>
          <w:tcPr>
            <w:tcW w:w="1134" w:type="dxa"/>
            <w:tcBorders>
              <w:bottom w:val="nil"/>
            </w:tcBorders>
          </w:tcPr>
          <w:p w14:paraId="6B988C0D" w14:textId="77777777" w:rsidR="00271E37" w:rsidRPr="005F637F" w:rsidRDefault="00271E37" w:rsidP="005F637F">
            <w:pPr>
              <w:rPr>
                <w:b/>
                <w:bCs/>
              </w:rPr>
            </w:pPr>
            <w:r>
              <w:rPr>
                <w:b/>
                <w:bCs/>
              </w:rPr>
              <w:t>2026</w:t>
            </w:r>
          </w:p>
        </w:tc>
        <w:tc>
          <w:tcPr>
            <w:tcW w:w="1134" w:type="dxa"/>
            <w:tcBorders>
              <w:bottom w:val="nil"/>
            </w:tcBorders>
          </w:tcPr>
          <w:p w14:paraId="5641BF7D" w14:textId="77777777" w:rsidR="00271E37" w:rsidRPr="005F637F" w:rsidRDefault="00271E37" w:rsidP="005F637F">
            <w:r>
              <w:t>2025</w:t>
            </w:r>
          </w:p>
        </w:tc>
      </w:tr>
      <w:tr w:rsidR="00271E37" w:rsidRPr="005F637F" w14:paraId="22AE72EE" w14:textId="77777777">
        <w:tc>
          <w:tcPr>
            <w:tcW w:w="7371" w:type="dxa"/>
            <w:tcBorders>
              <w:top w:val="nil"/>
              <w:bottom w:val="single" w:sz="4" w:space="0" w:color="000000" w:themeColor="text1"/>
            </w:tcBorders>
          </w:tcPr>
          <w:p w14:paraId="6C71A859" w14:textId="77777777" w:rsidR="00271E37" w:rsidRPr="005F637F" w:rsidRDefault="00271E37" w:rsidP="005F637F"/>
        </w:tc>
        <w:tc>
          <w:tcPr>
            <w:tcW w:w="1134" w:type="dxa"/>
            <w:tcBorders>
              <w:top w:val="nil"/>
              <w:bottom w:val="single" w:sz="4" w:space="0" w:color="000000" w:themeColor="text1"/>
            </w:tcBorders>
          </w:tcPr>
          <w:p w14:paraId="5F544E59" w14:textId="77777777" w:rsidR="00271E37" w:rsidRPr="005F637F" w:rsidRDefault="00271E37" w:rsidP="005F637F">
            <w:pPr>
              <w:rPr>
                <w:b/>
                <w:bCs/>
              </w:rPr>
            </w:pPr>
            <w:r>
              <w:rPr>
                <w:b/>
                <w:bCs/>
              </w:rPr>
              <w:t>£000</w:t>
            </w:r>
          </w:p>
        </w:tc>
        <w:tc>
          <w:tcPr>
            <w:tcW w:w="1134" w:type="dxa"/>
            <w:tcBorders>
              <w:top w:val="nil"/>
              <w:bottom w:val="single" w:sz="4" w:space="0" w:color="000000" w:themeColor="text1"/>
            </w:tcBorders>
          </w:tcPr>
          <w:p w14:paraId="404E9B73" w14:textId="77777777" w:rsidR="00271E37" w:rsidRPr="005F637F" w:rsidRDefault="00271E37" w:rsidP="005F637F">
            <w:r>
              <w:t>£000</w:t>
            </w:r>
          </w:p>
        </w:tc>
      </w:tr>
      <w:tr w:rsidR="00271E37" w:rsidRPr="005F637F" w14:paraId="3FF0B52B" w14:textId="77777777" w:rsidTr="66B3D3A1">
        <w:tc>
          <w:tcPr>
            <w:tcW w:w="7371" w:type="dxa"/>
            <w:tcBorders>
              <w:top w:val="single" w:sz="4" w:space="0" w:color="000000" w:themeColor="text1"/>
            </w:tcBorders>
          </w:tcPr>
          <w:p w14:paraId="197BDA5F" w14:textId="77777777" w:rsidR="00271E37" w:rsidRPr="005F637F" w:rsidRDefault="00271E37" w:rsidP="005F637F">
            <w:pPr>
              <w:jc w:val="left"/>
              <w:rPr>
                <w:b/>
                <w:bCs/>
              </w:rPr>
            </w:pPr>
            <w:r w:rsidRPr="005F637F">
              <w:rPr>
                <w:b/>
                <w:bCs/>
              </w:rPr>
              <w:t>Current tax charge</w:t>
            </w:r>
          </w:p>
        </w:tc>
        <w:tc>
          <w:tcPr>
            <w:tcW w:w="1134" w:type="dxa"/>
            <w:tcBorders>
              <w:top w:val="single" w:sz="4" w:space="0" w:color="000000" w:themeColor="text1"/>
            </w:tcBorders>
          </w:tcPr>
          <w:p w14:paraId="3F75340C" w14:textId="77777777" w:rsidR="00271E37" w:rsidRPr="005F637F" w:rsidRDefault="00271E37" w:rsidP="000923EA">
            <w:pPr>
              <w:rPr>
                <w:b/>
                <w:bCs/>
              </w:rPr>
            </w:pPr>
          </w:p>
        </w:tc>
        <w:tc>
          <w:tcPr>
            <w:tcW w:w="1134" w:type="dxa"/>
            <w:tcBorders>
              <w:top w:val="single" w:sz="4" w:space="0" w:color="000000" w:themeColor="text1"/>
            </w:tcBorders>
          </w:tcPr>
          <w:p w14:paraId="0E5A796B" w14:textId="77777777" w:rsidR="00271E37" w:rsidRPr="005F637F" w:rsidRDefault="00271E37" w:rsidP="000923EA"/>
        </w:tc>
      </w:tr>
      <w:tr w:rsidR="00271E37" w:rsidRPr="005F637F" w14:paraId="2CDACF2E" w14:textId="77777777">
        <w:tc>
          <w:tcPr>
            <w:tcW w:w="7371" w:type="dxa"/>
          </w:tcPr>
          <w:p w14:paraId="10630E69" w14:textId="77777777" w:rsidR="00271E37" w:rsidRPr="005F637F" w:rsidRDefault="00271E37">
            <w:pPr>
              <w:jc w:val="left"/>
            </w:pPr>
            <w:r w:rsidRPr="005F637F">
              <w:t>Current year</w:t>
            </w:r>
          </w:p>
        </w:tc>
        <w:tc>
          <w:tcPr>
            <w:tcW w:w="1134" w:type="dxa"/>
            <w:vAlign w:val="center"/>
          </w:tcPr>
          <w:p w14:paraId="432C992D" w14:textId="77777777" w:rsidR="00271E37" w:rsidRPr="004955F2" w:rsidRDefault="00271E37">
            <w:pPr>
              <w:rPr>
                <w:b/>
                <w:bCs/>
              </w:rPr>
            </w:pPr>
            <w:r>
              <w:rPr>
                <w:rFonts w:cs="Arial"/>
                <w:b/>
                <w:bCs/>
                <w:color w:val="000000"/>
                <w:szCs w:val="16"/>
              </w:rPr>
              <w:t xml:space="preserve">1,303 </w:t>
            </w:r>
          </w:p>
        </w:tc>
        <w:tc>
          <w:tcPr>
            <w:tcW w:w="1134" w:type="dxa"/>
            <w:vAlign w:val="center"/>
          </w:tcPr>
          <w:p w14:paraId="20FD34AF" w14:textId="77777777" w:rsidR="00271E37" w:rsidRPr="004955F2" w:rsidRDefault="00271E37">
            <w:r>
              <w:rPr>
                <w:rFonts w:cs="Arial"/>
                <w:color w:val="000000"/>
                <w:szCs w:val="16"/>
              </w:rPr>
              <w:t xml:space="preserve">4,436 </w:t>
            </w:r>
          </w:p>
        </w:tc>
      </w:tr>
      <w:tr w:rsidR="00271E37" w:rsidRPr="005F637F" w14:paraId="03802D17" w14:textId="77777777">
        <w:tc>
          <w:tcPr>
            <w:tcW w:w="7371" w:type="dxa"/>
            <w:tcBorders>
              <w:bottom w:val="single" w:sz="4" w:space="0" w:color="000000" w:themeColor="text1"/>
            </w:tcBorders>
          </w:tcPr>
          <w:p w14:paraId="614AD4A0" w14:textId="77777777" w:rsidR="00271E37" w:rsidRPr="005F637F" w:rsidRDefault="00271E37">
            <w:pPr>
              <w:jc w:val="left"/>
            </w:pPr>
            <w:r w:rsidRPr="005F637F">
              <w:t>Adjustments in respect of previous years</w:t>
            </w:r>
          </w:p>
        </w:tc>
        <w:tc>
          <w:tcPr>
            <w:tcW w:w="1134" w:type="dxa"/>
            <w:tcBorders>
              <w:bottom w:val="single" w:sz="4" w:space="0" w:color="000000" w:themeColor="text1"/>
            </w:tcBorders>
            <w:vAlign w:val="center"/>
          </w:tcPr>
          <w:p w14:paraId="0ECBF1D1" w14:textId="77777777" w:rsidR="00271E37" w:rsidRPr="004955F2" w:rsidRDefault="00271E37">
            <w:pPr>
              <w:rPr>
                <w:b/>
                <w:bCs/>
              </w:rPr>
            </w:pPr>
            <w:r>
              <w:rPr>
                <w:rFonts w:cs="Arial"/>
                <w:b/>
                <w:bCs/>
                <w:color w:val="000000"/>
                <w:szCs w:val="16"/>
              </w:rPr>
              <w:t xml:space="preserve"> - </w:t>
            </w:r>
          </w:p>
        </w:tc>
        <w:tc>
          <w:tcPr>
            <w:tcW w:w="1134" w:type="dxa"/>
            <w:tcBorders>
              <w:bottom w:val="single" w:sz="4" w:space="0" w:color="000000" w:themeColor="text1"/>
            </w:tcBorders>
            <w:vAlign w:val="center"/>
          </w:tcPr>
          <w:p w14:paraId="4108A3C9" w14:textId="77777777" w:rsidR="00271E37" w:rsidRPr="004955F2" w:rsidRDefault="00271E37">
            <w:r>
              <w:rPr>
                <w:rFonts w:cs="Arial"/>
                <w:color w:val="000000"/>
                <w:szCs w:val="16"/>
              </w:rPr>
              <w:t xml:space="preserve">250 </w:t>
            </w:r>
          </w:p>
        </w:tc>
      </w:tr>
      <w:tr w:rsidR="00271E37" w:rsidRPr="005F637F" w14:paraId="237DC4A8" w14:textId="77777777">
        <w:tc>
          <w:tcPr>
            <w:tcW w:w="7371" w:type="dxa"/>
            <w:tcBorders>
              <w:top w:val="single" w:sz="4" w:space="0" w:color="000000" w:themeColor="text1"/>
              <w:bottom w:val="single" w:sz="4" w:space="0" w:color="000000" w:themeColor="text1"/>
            </w:tcBorders>
          </w:tcPr>
          <w:p w14:paraId="674E8160" w14:textId="77777777" w:rsidR="00271E37" w:rsidRPr="005F637F" w:rsidRDefault="00271E37">
            <w:pPr>
              <w:jc w:val="left"/>
            </w:pPr>
          </w:p>
        </w:tc>
        <w:tc>
          <w:tcPr>
            <w:tcW w:w="1134" w:type="dxa"/>
            <w:tcBorders>
              <w:top w:val="single" w:sz="4" w:space="0" w:color="000000" w:themeColor="text1"/>
              <w:bottom w:val="single" w:sz="4" w:space="0" w:color="000000" w:themeColor="text1"/>
            </w:tcBorders>
            <w:vAlign w:val="center"/>
          </w:tcPr>
          <w:p w14:paraId="49C63EA7" w14:textId="77777777" w:rsidR="00271E37" w:rsidRPr="004955F2" w:rsidRDefault="00271E37">
            <w:pPr>
              <w:rPr>
                <w:b/>
                <w:bCs/>
              </w:rPr>
            </w:pPr>
            <w:r>
              <w:rPr>
                <w:rFonts w:cs="Arial"/>
                <w:b/>
                <w:bCs/>
                <w:color w:val="000000"/>
                <w:szCs w:val="16"/>
              </w:rPr>
              <w:t xml:space="preserve">1,303 </w:t>
            </w:r>
          </w:p>
        </w:tc>
        <w:tc>
          <w:tcPr>
            <w:tcW w:w="1134" w:type="dxa"/>
            <w:tcBorders>
              <w:top w:val="single" w:sz="4" w:space="0" w:color="000000" w:themeColor="text1"/>
              <w:bottom w:val="single" w:sz="4" w:space="0" w:color="000000" w:themeColor="text1"/>
            </w:tcBorders>
            <w:vAlign w:val="center"/>
          </w:tcPr>
          <w:p w14:paraId="555E7365" w14:textId="77777777" w:rsidR="00271E37" w:rsidRPr="004955F2" w:rsidRDefault="00271E37">
            <w:r>
              <w:rPr>
                <w:rFonts w:cs="Arial"/>
                <w:color w:val="000000"/>
                <w:szCs w:val="16"/>
              </w:rPr>
              <w:t xml:space="preserve">4,686 </w:t>
            </w:r>
          </w:p>
        </w:tc>
      </w:tr>
      <w:tr w:rsidR="00271E37" w:rsidRPr="005F637F" w14:paraId="0C194744" w14:textId="77777777" w:rsidTr="66B3D3A1">
        <w:tc>
          <w:tcPr>
            <w:tcW w:w="7371" w:type="dxa"/>
            <w:tcBorders>
              <w:top w:val="single" w:sz="4" w:space="0" w:color="000000" w:themeColor="text1"/>
            </w:tcBorders>
          </w:tcPr>
          <w:p w14:paraId="2AEE2824" w14:textId="77777777" w:rsidR="00271E37" w:rsidRPr="005F637F" w:rsidRDefault="00271E37" w:rsidP="004955F2">
            <w:pPr>
              <w:jc w:val="left"/>
              <w:rPr>
                <w:b/>
                <w:bCs/>
              </w:rPr>
            </w:pPr>
            <w:r w:rsidRPr="005F637F">
              <w:rPr>
                <w:b/>
                <w:bCs/>
              </w:rPr>
              <w:t xml:space="preserve">Deferred tax </w:t>
            </w:r>
            <w:r>
              <w:rPr>
                <w:b/>
                <w:bCs/>
              </w:rPr>
              <w:t>charge/</w:t>
            </w:r>
            <w:r w:rsidRPr="005F637F">
              <w:rPr>
                <w:b/>
                <w:bCs/>
              </w:rPr>
              <w:t>(credit)</w:t>
            </w:r>
          </w:p>
        </w:tc>
        <w:tc>
          <w:tcPr>
            <w:tcW w:w="1134" w:type="dxa"/>
            <w:tcBorders>
              <w:top w:val="single" w:sz="4" w:space="0" w:color="000000" w:themeColor="text1"/>
            </w:tcBorders>
          </w:tcPr>
          <w:p w14:paraId="0D86AF05" w14:textId="77777777" w:rsidR="00271E37" w:rsidRPr="004955F2" w:rsidRDefault="00271E37" w:rsidP="004955F2">
            <w:pPr>
              <w:rPr>
                <w:b/>
                <w:bCs/>
              </w:rPr>
            </w:pPr>
          </w:p>
        </w:tc>
        <w:tc>
          <w:tcPr>
            <w:tcW w:w="1134" w:type="dxa"/>
            <w:tcBorders>
              <w:top w:val="single" w:sz="4" w:space="0" w:color="000000" w:themeColor="text1"/>
            </w:tcBorders>
          </w:tcPr>
          <w:p w14:paraId="02F5004D" w14:textId="77777777" w:rsidR="00271E37" w:rsidRPr="004955F2" w:rsidRDefault="00271E37" w:rsidP="004955F2"/>
        </w:tc>
      </w:tr>
      <w:tr w:rsidR="00271E37" w:rsidRPr="005F637F" w14:paraId="6D7E0F51" w14:textId="77777777">
        <w:tc>
          <w:tcPr>
            <w:tcW w:w="7371" w:type="dxa"/>
          </w:tcPr>
          <w:p w14:paraId="40CFC583" w14:textId="77777777" w:rsidR="00271E37" w:rsidRPr="005F637F" w:rsidRDefault="00271E37">
            <w:pPr>
              <w:jc w:val="left"/>
            </w:pPr>
            <w:r>
              <w:t>Der</w:t>
            </w:r>
            <w:r w:rsidRPr="005F637F">
              <w:t>ecognition</w:t>
            </w:r>
            <w:r>
              <w:t>/(recognition)</w:t>
            </w:r>
            <w:r w:rsidRPr="005F637F">
              <w:t xml:space="preserve"> of deferred tax assets</w:t>
            </w:r>
          </w:p>
        </w:tc>
        <w:tc>
          <w:tcPr>
            <w:tcW w:w="1134" w:type="dxa"/>
            <w:vAlign w:val="center"/>
          </w:tcPr>
          <w:p w14:paraId="7DD8F9D5" w14:textId="77777777" w:rsidR="00271E37" w:rsidRPr="004955F2" w:rsidRDefault="00271E37">
            <w:pPr>
              <w:rPr>
                <w:b/>
                <w:bCs/>
              </w:rPr>
            </w:pPr>
            <w:r>
              <w:rPr>
                <w:rFonts w:cs="Arial"/>
                <w:b/>
                <w:bCs/>
                <w:color w:val="000000"/>
                <w:szCs w:val="16"/>
              </w:rPr>
              <w:t xml:space="preserve"> - </w:t>
            </w:r>
          </w:p>
        </w:tc>
        <w:tc>
          <w:tcPr>
            <w:tcW w:w="1134" w:type="dxa"/>
            <w:vAlign w:val="center"/>
          </w:tcPr>
          <w:p w14:paraId="07F56DB3" w14:textId="77777777" w:rsidR="00271E37" w:rsidRPr="004955F2" w:rsidRDefault="00271E37">
            <w:r>
              <w:rPr>
                <w:rFonts w:cs="Arial"/>
                <w:color w:val="000000"/>
                <w:szCs w:val="16"/>
              </w:rPr>
              <w:t xml:space="preserve">29,322 </w:t>
            </w:r>
          </w:p>
        </w:tc>
      </w:tr>
      <w:tr w:rsidR="00271E37" w:rsidRPr="005F637F" w14:paraId="50700A18" w14:textId="77777777">
        <w:tc>
          <w:tcPr>
            <w:tcW w:w="7371" w:type="dxa"/>
          </w:tcPr>
          <w:p w14:paraId="181E8579" w14:textId="77777777" w:rsidR="00271E37" w:rsidRPr="005F637F" w:rsidRDefault="00271E37">
            <w:pPr>
              <w:jc w:val="left"/>
            </w:pPr>
            <w:r w:rsidRPr="005F637F">
              <w:t>Origination and reversal of temporary differences</w:t>
            </w:r>
          </w:p>
        </w:tc>
        <w:tc>
          <w:tcPr>
            <w:tcW w:w="1134" w:type="dxa"/>
            <w:vAlign w:val="center"/>
          </w:tcPr>
          <w:p w14:paraId="65F32DEC" w14:textId="77777777" w:rsidR="00271E37" w:rsidRPr="004955F2" w:rsidRDefault="00271E37">
            <w:pPr>
              <w:rPr>
                <w:b/>
                <w:bCs/>
              </w:rPr>
            </w:pPr>
            <w:r>
              <w:rPr>
                <w:rFonts w:cs="Arial"/>
                <w:b/>
                <w:bCs/>
                <w:color w:val="000000"/>
                <w:szCs w:val="16"/>
              </w:rPr>
              <w:t>(218)</w:t>
            </w:r>
          </w:p>
        </w:tc>
        <w:tc>
          <w:tcPr>
            <w:tcW w:w="1134" w:type="dxa"/>
            <w:vAlign w:val="center"/>
          </w:tcPr>
          <w:p w14:paraId="3D35B510" w14:textId="77777777" w:rsidR="00271E37" w:rsidRPr="004955F2" w:rsidRDefault="00271E37">
            <w:r>
              <w:rPr>
                <w:rFonts w:cs="Arial"/>
                <w:color w:val="000000"/>
                <w:szCs w:val="16"/>
              </w:rPr>
              <w:t>(67)</w:t>
            </w:r>
          </w:p>
        </w:tc>
      </w:tr>
      <w:tr w:rsidR="00271E37" w:rsidRPr="005F637F" w14:paraId="2F94E867" w14:textId="77777777">
        <w:tc>
          <w:tcPr>
            <w:tcW w:w="7371" w:type="dxa"/>
            <w:tcBorders>
              <w:bottom w:val="single" w:sz="4" w:space="0" w:color="000000" w:themeColor="text1"/>
            </w:tcBorders>
          </w:tcPr>
          <w:p w14:paraId="7540080B" w14:textId="77777777" w:rsidR="00271E37" w:rsidRPr="005F637F" w:rsidRDefault="00271E37">
            <w:pPr>
              <w:jc w:val="left"/>
            </w:pPr>
            <w:r w:rsidRPr="005F637F">
              <w:t>Adjustments in respect of previous periods</w:t>
            </w:r>
          </w:p>
        </w:tc>
        <w:tc>
          <w:tcPr>
            <w:tcW w:w="1134" w:type="dxa"/>
            <w:tcBorders>
              <w:bottom w:val="single" w:sz="4" w:space="0" w:color="000000" w:themeColor="text1"/>
            </w:tcBorders>
            <w:vAlign w:val="center"/>
          </w:tcPr>
          <w:p w14:paraId="34817938" w14:textId="77777777" w:rsidR="00271E37" w:rsidRPr="004955F2" w:rsidRDefault="00271E37">
            <w:pPr>
              <w:rPr>
                <w:b/>
                <w:bCs/>
              </w:rPr>
            </w:pPr>
            <w:r>
              <w:rPr>
                <w:rFonts w:cs="Arial"/>
                <w:b/>
                <w:bCs/>
                <w:color w:val="000000"/>
                <w:szCs w:val="16"/>
              </w:rPr>
              <w:t xml:space="preserve"> - </w:t>
            </w:r>
          </w:p>
        </w:tc>
        <w:tc>
          <w:tcPr>
            <w:tcW w:w="1134" w:type="dxa"/>
            <w:tcBorders>
              <w:bottom w:val="single" w:sz="4" w:space="0" w:color="000000" w:themeColor="text1"/>
            </w:tcBorders>
            <w:vAlign w:val="center"/>
          </w:tcPr>
          <w:p w14:paraId="6614307C" w14:textId="77777777" w:rsidR="00271E37" w:rsidRPr="004955F2" w:rsidRDefault="00271E37">
            <w:r>
              <w:rPr>
                <w:rFonts w:cs="Arial"/>
                <w:color w:val="000000"/>
                <w:szCs w:val="16"/>
              </w:rPr>
              <w:t>(7)</w:t>
            </w:r>
          </w:p>
        </w:tc>
      </w:tr>
      <w:tr w:rsidR="00271E37" w:rsidRPr="005F637F" w14:paraId="3E3672E3" w14:textId="77777777">
        <w:tc>
          <w:tcPr>
            <w:tcW w:w="7371" w:type="dxa"/>
            <w:tcBorders>
              <w:top w:val="single" w:sz="4" w:space="0" w:color="000000" w:themeColor="text1"/>
              <w:bottom w:val="single" w:sz="4" w:space="0" w:color="000000" w:themeColor="text1"/>
            </w:tcBorders>
          </w:tcPr>
          <w:p w14:paraId="7EA48BB5" w14:textId="77777777" w:rsidR="00271E37" w:rsidRPr="005F637F" w:rsidRDefault="00271E37">
            <w:pPr>
              <w:jc w:val="left"/>
            </w:pPr>
          </w:p>
        </w:tc>
        <w:tc>
          <w:tcPr>
            <w:tcW w:w="1134" w:type="dxa"/>
            <w:tcBorders>
              <w:top w:val="single" w:sz="4" w:space="0" w:color="000000" w:themeColor="text1"/>
              <w:bottom w:val="single" w:sz="4" w:space="0" w:color="000000" w:themeColor="text1"/>
            </w:tcBorders>
            <w:vAlign w:val="center"/>
          </w:tcPr>
          <w:p w14:paraId="0990AC39" w14:textId="77777777" w:rsidR="00271E37" w:rsidRPr="004955F2" w:rsidRDefault="00271E37">
            <w:pPr>
              <w:rPr>
                <w:b/>
                <w:bCs/>
              </w:rPr>
            </w:pPr>
            <w:r>
              <w:rPr>
                <w:rFonts w:cs="Arial"/>
                <w:b/>
                <w:bCs/>
                <w:color w:val="000000"/>
                <w:szCs w:val="16"/>
              </w:rPr>
              <w:t>(218)</w:t>
            </w:r>
          </w:p>
        </w:tc>
        <w:tc>
          <w:tcPr>
            <w:tcW w:w="1134" w:type="dxa"/>
            <w:tcBorders>
              <w:top w:val="single" w:sz="4" w:space="0" w:color="000000" w:themeColor="text1"/>
              <w:bottom w:val="single" w:sz="4" w:space="0" w:color="000000" w:themeColor="text1"/>
            </w:tcBorders>
            <w:vAlign w:val="center"/>
          </w:tcPr>
          <w:p w14:paraId="0E2BB7CA" w14:textId="77777777" w:rsidR="00271E37" w:rsidRPr="004955F2" w:rsidRDefault="00271E37">
            <w:r>
              <w:rPr>
                <w:rFonts w:cs="Arial"/>
                <w:color w:val="000000"/>
                <w:szCs w:val="16"/>
              </w:rPr>
              <w:t xml:space="preserve">29,248 </w:t>
            </w:r>
          </w:p>
        </w:tc>
      </w:tr>
      <w:tr w:rsidR="00271E37" w:rsidRPr="005F637F" w14:paraId="06BB7984" w14:textId="77777777">
        <w:tc>
          <w:tcPr>
            <w:tcW w:w="7371" w:type="dxa"/>
            <w:tcBorders>
              <w:top w:val="single" w:sz="4" w:space="0" w:color="000000" w:themeColor="text1"/>
              <w:bottom w:val="single" w:sz="4" w:space="0" w:color="000000" w:themeColor="text1"/>
            </w:tcBorders>
          </w:tcPr>
          <w:p w14:paraId="49E23246" w14:textId="77777777" w:rsidR="00271E37" w:rsidRPr="005F637F" w:rsidRDefault="00271E37">
            <w:pPr>
              <w:jc w:val="left"/>
              <w:rPr>
                <w:b/>
                <w:bCs/>
              </w:rPr>
            </w:pPr>
            <w:r w:rsidRPr="005F637F">
              <w:rPr>
                <w:b/>
                <w:bCs/>
              </w:rPr>
              <w:t xml:space="preserve">Total tax </w:t>
            </w:r>
            <w:r>
              <w:rPr>
                <w:b/>
                <w:bCs/>
              </w:rPr>
              <w:t xml:space="preserve">charge </w:t>
            </w:r>
            <w:r w:rsidRPr="005F637F">
              <w:rPr>
                <w:b/>
                <w:bCs/>
              </w:rPr>
              <w:t>in income statement</w:t>
            </w:r>
          </w:p>
        </w:tc>
        <w:tc>
          <w:tcPr>
            <w:tcW w:w="1134" w:type="dxa"/>
            <w:tcBorders>
              <w:top w:val="single" w:sz="4" w:space="0" w:color="000000" w:themeColor="text1"/>
              <w:bottom w:val="single" w:sz="4" w:space="0" w:color="000000" w:themeColor="text1"/>
            </w:tcBorders>
            <w:vAlign w:val="center"/>
          </w:tcPr>
          <w:p w14:paraId="05AF9009" w14:textId="77777777" w:rsidR="00271E37" w:rsidRPr="004955F2" w:rsidRDefault="00271E37">
            <w:pPr>
              <w:rPr>
                <w:b/>
                <w:bCs/>
              </w:rPr>
            </w:pPr>
            <w:r>
              <w:rPr>
                <w:rFonts w:cs="Arial"/>
                <w:b/>
                <w:bCs/>
                <w:color w:val="000000"/>
                <w:szCs w:val="16"/>
              </w:rPr>
              <w:t xml:space="preserve">1,085 </w:t>
            </w:r>
          </w:p>
        </w:tc>
        <w:tc>
          <w:tcPr>
            <w:tcW w:w="1134" w:type="dxa"/>
            <w:tcBorders>
              <w:top w:val="single" w:sz="4" w:space="0" w:color="000000" w:themeColor="text1"/>
              <w:bottom w:val="single" w:sz="4" w:space="0" w:color="000000" w:themeColor="text1"/>
            </w:tcBorders>
            <w:vAlign w:val="center"/>
          </w:tcPr>
          <w:p w14:paraId="3B354C43" w14:textId="77777777" w:rsidR="00271E37" w:rsidRPr="004955F2" w:rsidRDefault="00271E37">
            <w:r>
              <w:rPr>
                <w:rFonts w:cs="Arial"/>
                <w:color w:val="000000"/>
                <w:szCs w:val="16"/>
              </w:rPr>
              <w:t xml:space="preserve">33,934 </w:t>
            </w:r>
          </w:p>
        </w:tc>
      </w:tr>
      <w:tr w:rsidR="00271E37" w:rsidRPr="005F637F" w14:paraId="6CCA24EA" w14:textId="77777777">
        <w:tc>
          <w:tcPr>
            <w:tcW w:w="7371" w:type="dxa"/>
            <w:tcBorders>
              <w:top w:val="single" w:sz="4" w:space="0" w:color="000000" w:themeColor="text1"/>
              <w:bottom w:val="nil"/>
            </w:tcBorders>
            <w:vAlign w:val="bottom"/>
          </w:tcPr>
          <w:p w14:paraId="613161E4" w14:textId="77777777" w:rsidR="00271E37" w:rsidRDefault="00271E37">
            <w:pPr>
              <w:jc w:val="left"/>
              <w:rPr>
                <w:rFonts w:cs="Arial"/>
                <w:b/>
                <w:bCs/>
                <w:color w:val="000000"/>
                <w:szCs w:val="16"/>
              </w:rPr>
            </w:pPr>
          </w:p>
          <w:p w14:paraId="3E8556B9" w14:textId="77777777" w:rsidR="00271E37" w:rsidRPr="005F637F" w:rsidRDefault="00271E37">
            <w:pPr>
              <w:jc w:val="left"/>
            </w:pPr>
            <w:r>
              <w:rPr>
                <w:rFonts w:cs="Arial"/>
                <w:b/>
                <w:bCs/>
                <w:color w:val="000000"/>
                <w:szCs w:val="16"/>
              </w:rPr>
              <w:t>Tax attributable to:</w:t>
            </w:r>
          </w:p>
        </w:tc>
        <w:tc>
          <w:tcPr>
            <w:tcW w:w="1134" w:type="dxa"/>
            <w:tcBorders>
              <w:top w:val="single" w:sz="4" w:space="0" w:color="000000" w:themeColor="text1"/>
              <w:bottom w:val="nil"/>
            </w:tcBorders>
          </w:tcPr>
          <w:p w14:paraId="1C5CCA74" w14:textId="77777777" w:rsidR="00271E37" w:rsidRPr="004955F2" w:rsidRDefault="00271E37">
            <w:pPr>
              <w:rPr>
                <w:b/>
                <w:bCs/>
              </w:rPr>
            </w:pPr>
          </w:p>
        </w:tc>
        <w:tc>
          <w:tcPr>
            <w:tcW w:w="1134" w:type="dxa"/>
            <w:tcBorders>
              <w:top w:val="single" w:sz="4" w:space="0" w:color="000000" w:themeColor="text1"/>
              <w:bottom w:val="nil"/>
            </w:tcBorders>
          </w:tcPr>
          <w:p w14:paraId="2ECF966A" w14:textId="77777777" w:rsidR="00271E37" w:rsidRPr="004955F2" w:rsidRDefault="00271E37"/>
        </w:tc>
      </w:tr>
      <w:tr w:rsidR="00271E37" w:rsidRPr="005F637F" w14:paraId="36D724D3" w14:textId="77777777" w:rsidTr="005F6C47">
        <w:tc>
          <w:tcPr>
            <w:tcW w:w="7371" w:type="dxa"/>
            <w:tcBorders>
              <w:top w:val="single" w:sz="4" w:space="0" w:color="000000" w:themeColor="text1"/>
              <w:bottom w:val="nil"/>
            </w:tcBorders>
            <w:vAlign w:val="bottom"/>
          </w:tcPr>
          <w:p w14:paraId="21F71EFE" w14:textId="77777777" w:rsidR="00271E37" w:rsidRPr="005F637F" w:rsidRDefault="00271E37">
            <w:pPr>
              <w:jc w:val="left"/>
            </w:pPr>
            <w:r>
              <w:rPr>
                <w:rFonts w:cs="Arial"/>
                <w:color w:val="000000"/>
                <w:szCs w:val="16"/>
              </w:rPr>
              <w:t xml:space="preserve">     Continuing operations</w:t>
            </w:r>
          </w:p>
        </w:tc>
        <w:tc>
          <w:tcPr>
            <w:tcW w:w="1134" w:type="dxa"/>
            <w:tcBorders>
              <w:top w:val="single" w:sz="4" w:space="0" w:color="000000" w:themeColor="text1"/>
              <w:bottom w:val="nil"/>
            </w:tcBorders>
            <w:vAlign w:val="center"/>
          </w:tcPr>
          <w:p w14:paraId="206CC506" w14:textId="77777777" w:rsidR="00271E37" w:rsidRPr="00E72325" w:rsidRDefault="00271E37">
            <w:pPr>
              <w:rPr>
                <w:b/>
              </w:rPr>
            </w:pPr>
            <w:r w:rsidRPr="00E72325">
              <w:rPr>
                <w:rFonts w:cs="Arial"/>
                <w:b/>
                <w:color w:val="000000"/>
                <w:szCs w:val="16"/>
              </w:rPr>
              <w:t xml:space="preserve">989 </w:t>
            </w:r>
          </w:p>
        </w:tc>
        <w:tc>
          <w:tcPr>
            <w:tcW w:w="1134" w:type="dxa"/>
            <w:tcBorders>
              <w:top w:val="single" w:sz="4" w:space="0" w:color="000000" w:themeColor="text1"/>
              <w:bottom w:val="nil"/>
            </w:tcBorders>
            <w:vAlign w:val="center"/>
          </w:tcPr>
          <w:p w14:paraId="07CF4D5A" w14:textId="77777777" w:rsidR="00271E37" w:rsidRPr="004955F2" w:rsidRDefault="00271E37">
            <w:r>
              <w:rPr>
                <w:rFonts w:cs="Arial"/>
                <w:color w:val="000000"/>
                <w:szCs w:val="16"/>
              </w:rPr>
              <w:t xml:space="preserve">4,555 </w:t>
            </w:r>
          </w:p>
        </w:tc>
      </w:tr>
      <w:tr w:rsidR="00271E37" w:rsidRPr="005F637F" w14:paraId="529FB416" w14:textId="77777777" w:rsidTr="005F6C47">
        <w:tc>
          <w:tcPr>
            <w:tcW w:w="7371" w:type="dxa"/>
            <w:tcBorders>
              <w:top w:val="nil"/>
              <w:bottom w:val="nil"/>
            </w:tcBorders>
            <w:vAlign w:val="bottom"/>
          </w:tcPr>
          <w:p w14:paraId="76AC9627" w14:textId="77777777" w:rsidR="00271E37" w:rsidRPr="005F637F" w:rsidRDefault="00271E37">
            <w:pPr>
              <w:jc w:val="left"/>
            </w:pPr>
            <w:r>
              <w:rPr>
                <w:rFonts w:cs="Arial"/>
                <w:color w:val="000000"/>
                <w:szCs w:val="16"/>
              </w:rPr>
              <w:t xml:space="preserve">     Discontinued operations</w:t>
            </w:r>
          </w:p>
        </w:tc>
        <w:tc>
          <w:tcPr>
            <w:tcW w:w="1134" w:type="dxa"/>
            <w:tcBorders>
              <w:top w:val="nil"/>
              <w:bottom w:val="nil"/>
            </w:tcBorders>
            <w:vAlign w:val="center"/>
          </w:tcPr>
          <w:p w14:paraId="56095EC3" w14:textId="79CAB66E" w:rsidR="00271E37" w:rsidRPr="00E72325" w:rsidRDefault="00271E37">
            <w:pPr>
              <w:rPr>
                <w:b/>
              </w:rPr>
            </w:pPr>
            <w:r w:rsidRPr="00E72325">
              <w:rPr>
                <w:rFonts w:cs="Arial"/>
                <w:b/>
                <w:color w:val="000000"/>
                <w:szCs w:val="16"/>
              </w:rPr>
              <w:t>9</w:t>
            </w:r>
            <w:r w:rsidR="00E72325">
              <w:rPr>
                <w:rFonts w:cs="Arial"/>
                <w:b/>
                <w:color w:val="000000"/>
                <w:szCs w:val="16"/>
              </w:rPr>
              <w:t>6</w:t>
            </w:r>
            <w:r w:rsidRPr="00E72325">
              <w:rPr>
                <w:rFonts w:cs="Arial"/>
                <w:b/>
                <w:color w:val="000000"/>
                <w:szCs w:val="16"/>
              </w:rPr>
              <w:t xml:space="preserve"> </w:t>
            </w:r>
          </w:p>
        </w:tc>
        <w:tc>
          <w:tcPr>
            <w:tcW w:w="1134" w:type="dxa"/>
            <w:tcBorders>
              <w:top w:val="nil"/>
              <w:bottom w:val="nil"/>
            </w:tcBorders>
            <w:vAlign w:val="center"/>
          </w:tcPr>
          <w:p w14:paraId="40853DC6" w14:textId="77777777" w:rsidR="00271E37" w:rsidRPr="004955F2" w:rsidRDefault="00271E37">
            <w:r>
              <w:rPr>
                <w:rFonts w:cs="Arial"/>
                <w:color w:val="000000"/>
                <w:szCs w:val="16"/>
              </w:rPr>
              <w:t xml:space="preserve">29,379 </w:t>
            </w:r>
          </w:p>
        </w:tc>
      </w:tr>
      <w:tr w:rsidR="00271E37" w:rsidRPr="005F637F" w14:paraId="5DBEFBCD" w14:textId="77777777" w:rsidTr="66B3D3A1">
        <w:tc>
          <w:tcPr>
            <w:tcW w:w="7371" w:type="dxa"/>
            <w:tcBorders>
              <w:top w:val="single" w:sz="4" w:space="0" w:color="000000" w:themeColor="text1"/>
              <w:bottom w:val="nil"/>
            </w:tcBorders>
          </w:tcPr>
          <w:p w14:paraId="53CCA40E" w14:textId="77777777" w:rsidR="00271E37" w:rsidRPr="005F637F" w:rsidRDefault="00271E37" w:rsidP="004955F2"/>
        </w:tc>
        <w:tc>
          <w:tcPr>
            <w:tcW w:w="1134" w:type="dxa"/>
            <w:tcBorders>
              <w:top w:val="single" w:sz="4" w:space="0" w:color="000000" w:themeColor="text1"/>
              <w:bottom w:val="nil"/>
            </w:tcBorders>
          </w:tcPr>
          <w:p w14:paraId="6CBE94C9" w14:textId="77777777" w:rsidR="00271E37" w:rsidRPr="004955F2" w:rsidRDefault="00271E37" w:rsidP="004955F2">
            <w:pPr>
              <w:rPr>
                <w:b/>
                <w:bCs/>
              </w:rPr>
            </w:pPr>
          </w:p>
        </w:tc>
        <w:tc>
          <w:tcPr>
            <w:tcW w:w="1134" w:type="dxa"/>
            <w:tcBorders>
              <w:top w:val="single" w:sz="4" w:space="0" w:color="000000" w:themeColor="text1"/>
              <w:bottom w:val="nil"/>
            </w:tcBorders>
          </w:tcPr>
          <w:p w14:paraId="665ECBD8" w14:textId="77777777" w:rsidR="00271E37" w:rsidRPr="004955F2" w:rsidRDefault="00271E37" w:rsidP="004955F2"/>
        </w:tc>
      </w:tr>
      <w:tr w:rsidR="00271E37" w:rsidRPr="005F637F" w14:paraId="05CF9057" w14:textId="77777777" w:rsidTr="005F637F">
        <w:tc>
          <w:tcPr>
            <w:tcW w:w="7371" w:type="dxa"/>
            <w:tcBorders>
              <w:top w:val="nil"/>
            </w:tcBorders>
          </w:tcPr>
          <w:p w14:paraId="02CEDB9E" w14:textId="77777777" w:rsidR="00271E37" w:rsidRPr="00CE4F85" w:rsidRDefault="00271E37" w:rsidP="004955F2">
            <w:pPr>
              <w:jc w:val="left"/>
              <w:rPr>
                <w:b/>
              </w:rPr>
            </w:pPr>
            <w:r w:rsidRPr="00CE4F85">
              <w:rPr>
                <w:b/>
              </w:rPr>
              <w:t>Total tax charge on adjusting items</w:t>
            </w:r>
            <w:r>
              <w:rPr>
                <w:b/>
              </w:rPr>
              <w:t xml:space="preserve"> in continuing operations</w:t>
            </w:r>
          </w:p>
        </w:tc>
        <w:tc>
          <w:tcPr>
            <w:tcW w:w="1134" w:type="dxa"/>
            <w:tcBorders>
              <w:top w:val="nil"/>
            </w:tcBorders>
          </w:tcPr>
          <w:p w14:paraId="54CBDE57" w14:textId="77777777" w:rsidR="00271E37" w:rsidRPr="004955F2" w:rsidRDefault="00271E37" w:rsidP="004955F2">
            <w:pPr>
              <w:rPr>
                <w:b/>
                <w:bCs/>
              </w:rPr>
            </w:pPr>
          </w:p>
        </w:tc>
        <w:tc>
          <w:tcPr>
            <w:tcW w:w="1134" w:type="dxa"/>
            <w:tcBorders>
              <w:top w:val="nil"/>
            </w:tcBorders>
          </w:tcPr>
          <w:p w14:paraId="2C1D9450" w14:textId="77777777" w:rsidR="00271E37" w:rsidRPr="004955F2" w:rsidRDefault="00271E37" w:rsidP="004955F2"/>
        </w:tc>
      </w:tr>
      <w:tr w:rsidR="00271E37" w:rsidRPr="005F637F" w14:paraId="37EE1743" w14:textId="77777777">
        <w:tc>
          <w:tcPr>
            <w:tcW w:w="7371" w:type="dxa"/>
          </w:tcPr>
          <w:p w14:paraId="06E113D4" w14:textId="77777777" w:rsidR="00271E37" w:rsidRPr="005F637F" w:rsidRDefault="00271E37">
            <w:pPr>
              <w:jc w:val="left"/>
            </w:pPr>
            <w:r w:rsidRPr="005F637F">
              <w:t>Total tax on profit</w:t>
            </w:r>
            <w:r>
              <w:t>/loss</w:t>
            </w:r>
            <w:r w:rsidRPr="005F637F">
              <w:t xml:space="preserve"> before adjusting items</w:t>
            </w:r>
          </w:p>
        </w:tc>
        <w:tc>
          <w:tcPr>
            <w:tcW w:w="1134" w:type="dxa"/>
            <w:vAlign w:val="center"/>
          </w:tcPr>
          <w:p w14:paraId="03C264AA" w14:textId="70C58063" w:rsidR="00271E37" w:rsidRPr="002D5D1B" w:rsidRDefault="00352399">
            <w:pPr>
              <w:rPr>
                <w:b/>
              </w:rPr>
            </w:pPr>
            <w:r w:rsidRPr="00D50533">
              <w:rPr>
                <w:rFonts w:cs="Arial"/>
                <w:b/>
                <w:color w:val="000000"/>
                <w:szCs w:val="16"/>
              </w:rPr>
              <w:t>1,300</w:t>
            </w:r>
            <w:r w:rsidR="00271E37" w:rsidRPr="002D5D1B">
              <w:rPr>
                <w:rFonts w:cs="Arial"/>
                <w:b/>
                <w:color w:val="000000"/>
                <w:szCs w:val="16"/>
              </w:rPr>
              <w:t xml:space="preserve"> </w:t>
            </w:r>
          </w:p>
        </w:tc>
        <w:tc>
          <w:tcPr>
            <w:tcW w:w="1134" w:type="dxa"/>
            <w:vAlign w:val="center"/>
          </w:tcPr>
          <w:p w14:paraId="539C8D85" w14:textId="63DB3B7E" w:rsidR="00271E37" w:rsidRPr="004955F2" w:rsidRDefault="00271E37">
            <w:r>
              <w:rPr>
                <w:rFonts w:cs="Arial"/>
                <w:color w:val="000000"/>
                <w:szCs w:val="16"/>
              </w:rPr>
              <w:t>4,</w:t>
            </w:r>
            <w:r w:rsidR="00925055">
              <w:rPr>
                <w:rFonts w:cs="Arial"/>
                <w:color w:val="000000"/>
                <w:szCs w:val="16"/>
              </w:rPr>
              <w:t>692</w:t>
            </w:r>
            <w:r>
              <w:rPr>
                <w:rFonts w:cs="Arial"/>
                <w:color w:val="000000"/>
                <w:szCs w:val="16"/>
              </w:rPr>
              <w:t xml:space="preserve"> </w:t>
            </w:r>
          </w:p>
        </w:tc>
      </w:tr>
      <w:tr w:rsidR="00271E37" w:rsidRPr="005F637F" w14:paraId="28728636" w14:textId="77777777">
        <w:tc>
          <w:tcPr>
            <w:tcW w:w="7371" w:type="dxa"/>
            <w:tcBorders>
              <w:bottom w:val="single" w:sz="4" w:space="0" w:color="000000" w:themeColor="text1"/>
            </w:tcBorders>
          </w:tcPr>
          <w:p w14:paraId="43FF270D" w14:textId="77777777" w:rsidR="00271E37" w:rsidRPr="005F637F" w:rsidRDefault="00271E37">
            <w:pPr>
              <w:jc w:val="left"/>
            </w:pPr>
            <w:r w:rsidRPr="005F637F">
              <w:t>Total tax on adjusting items</w:t>
            </w:r>
          </w:p>
        </w:tc>
        <w:tc>
          <w:tcPr>
            <w:tcW w:w="1134" w:type="dxa"/>
            <w:tcBorders>
              <w:bottom w:val="single" w:sz="4" w:space="0" w:color="000000" w:themeColor="text1"/>
            </w:tcBorders>
            <w:vAlign w:val="center"/>
          </w:tcPr>
          <w:p w14:paraId="2E8A0307" w14:textId="6C862F68" w:rsidR="00271E37" w:rsidRPr="002D5D1B" w:rsidRDefault="00271E37">
            <w:pPr>
              <w:rPr>
                <w:b/>
              </w:rPr>
            </w:pPr>
            <w:r w:rsidRPr="002D5D1B">
              <w:rPr>
                <w:rFonts w:cs="Arial"/>
                <w:b/>
                <w:color w:val="000000"/>
                <w:szCs w:val="16"/>
              </w:rPr>
              <w:t>(</w:t>
            </w:r>
            <w:r w:rsidR="00352399" w:rsidRPr="00D50533">
              <w:rPr>
                <w:rFonts w:cs="Arial"/>
                <w:b/>
                <w:color w:val="000000"/>
                <w:szCs w:val="16"/>
              </w:rPr>
              <w:t>311</w:t>
            </w:r>
            <w:r w:rsidRPr="002D5D1B">
              <w:rPr>
                <w:rFonts w:cs="Arial"/>
                <w:b/>
                <w:color w:val="000000"/>
                <w:szCs w:val="16"/>
              </w:rPr>
              <w:t>)</w:t>
            </w:r>
          </w:p>
        </w:tc>
        <w:tc>
          <w:tcPr>
            <w:tcW w:w="1134" w:type="dxa"/>
            <w:tcBorders>
              <w:bottom w:val="single" w:sz="4" w:space="0" w:color="000000" w:themeColor="text1"/>
            </w:tcBorders>
            <w:vAlign w:val="center"/>
          </w:tcPr>
          <w:p w14:paraId="7FA2ED32" w14:textId="72D5926D" w:rsidR="00271E37" w:rsidRPr="004955F2" w:rsidRDefault="00271E37">
            <w:r>
              <w:rPr>
                <w:rFonts w:cs="Arial"/>
                <w:color w:val="000000"/>
                <w:szCs w:val="16"/>
              </w:rPr>
              <w:t>(</w:t>
            </w:r>
            <w:r w:rsidR="00925055">
              <w:rPr>
                <w:rFonts w:cs="Arial"/>
                <w:color w:val="000000"/>
                <w:szCs w:val="16"/>
              </w:rPr>
              <w:t>137</w:t>
            </w:r>
            <w:r>
              <w:rPr>
                <w:rFonts w:cs="Arial"/>
                <w:color w:val="000000"/>
                <w:szCs w:val="16"/>
              </w:rPr>
              <w:t>)</w:t>
            </w:r>
          </w:p>
        </w:tc>
      </w:tr>
      <w:tr w:rsidR="00271E37" w:rsidRPr="005F637F" w14:paraId="4440AD58" w14:textId="77777777">
        <w:tc>
          <w:tcPr>
            <w:tcW w:w="7371" w:type="dxa"/>
            <w:tcBorders>
              <w:top w:val="single" w:sz="4" w:space="0" w:color="000000" w:themeColor="text1"/>
            </w:tcBorders>
          </w:tcPr>
          <w:p w14:paraId="4C938096" w14:textId="77777777" w:rsidR="00271E37" w:rsidRPr="005F637F" w:rsidRDefault="00271E37">
            <w:pPr>
              <w:jc w:val="left"/>
              <w:rPr>
                <w:b/>
                <w:bCs/>
              </w:rPr>
            </w:pPr>
            <w:r w:rsidRPr="005F637F">
              <w:rPr>
                <w:b/>
                <w:bCs/>
              </w:rPr>
              <w:t xml:space="preserve">Total tax </w:t>
            </w:r>
            <w:r>
              <w:rPr>
                <w:b/>
                <w:bCs/>
              </w:rPr>
              <w:t>charge</w:t>
            </w:r>
            <w:r w:rsidRPr="005F637F">
              <w:rPr>
                <w:b/>
                <w:bCs/>
              </w:rPr>
              <w:t xml:space="preserve"> in income statement</w:t>
            </w:r>
          </w:p>
        </w:tc>
        <w:tc>
          <w:tcPr>
            <w:tcW w:w="1134" w:type="dxa"/>
            <w:tcBorders>
              <w:top w:val="single" w:sz="4" w:space="0" w:color="000000" w:themeColor="text1"/>
            </w:tcBorders>
            <w:vAlign w:val="center"/>
          </w:tcPr>
          <w:p w14:paraId="51B8D275" w14:textId="77777777" w:rsidR="00271E37" w:rsidRPr="002D5D1B" w:rsidRDefault="00271E37">
            <w:pPr>
              <w:rPr>
                <w:b/>
              </w:rPr>
            </w:pPr>
            <w:r w:rsidRPr="002D5D1B">
              <w:rPr>
                <w:rFonts w:cs="Arial"/>
                <w:b/>
                <w:color w:val="000000"/>
                <w:szCs w:val="16"/>
              </w:rPr>
              <w:t xml:space="preserve">989 </w:t>
            </w:r>
          </w:p>
        </w:tc>
        <w:tc>
          <w:tcPr>
            <w:tcW w:w="1134" w:type="dxa"/>
            <w:tcBorders>
              <w:top w:val="single" w:sz="4" w:space="0" w:color="000000" w:themeColor="text1"/>
            </w:tcBorders>
            <w:vAlign w:val="center"/>
          </w:tcPr>
          <w:p w14:paraId="3A6EB5C9" w14:textId="77777777" w:rsidR="00271E37" w:rsidRPr="004955F2" w:rsidRDefault="00271E37">
            <w:r>
              <w:rPr>
                <w:rFonts w:cs="Arial"/>
                <w:color w:val="000000"/>
                <w:szCs w:val="16"/>
              </w:rPr>
              <w:t xml:space="preserve">4,555 </w:t>
            </w:r>
          </w:p>
        </w:tc>
      </w:tr>
    </w:tbl>
    <w:p w14:paraId="0046F432" w14:textId="77777777" w:rsidR="00271E37" w:rsidRDefault="00271E37" w:rsidP="002E39D4"/>
    <w:p w14:paraId="3D12D2DE" w14:textId="77777777" w:rsidR="00271E37" w:rsidRDefault="00271E37" w:rsidP="002E39D4"/>
    <w:p w14:paraId="16306B0A" w14:textId="77777777" w:rsidR="00271E37" w:rsidRPr="00452155" w:rsidRDefault="00271E37" w:rsidP="002E39D4">
      <w:pPr>
        <w:rPr>
          <w:b/>
          <w:bCs/>
          <w:i/>
          <w:iCs/>
        </w:rPr>
      </w:pPr>
      <w:r w:rsidRPr="00223355">
        <w:rPr>
          <w:b/>
          <w:i/>
        </w:rPr>
        <w:t>Reconciliation of effective tax rate</w:t>
      </w:r>
    </w:p>
    <w:tbl>
      <w:tblPr>
        <w:tblStyle w:val="tableDUL"/>
        <w:tblW w:w="9639" w:type="dxa"/>
        <w:tblLayout w:type="fixed"/>
        <w:tblLook w:val="04A0" w:firstRow="1" w:lastRow="0" w:firstColumn="1" w:lastColumn="0" w:noHBand="0" w:noVBand="1"/>
      </w:tblPr>
      <w:tblGrid>
        <w:gridCol w:w="7371"/>
        <w:gridCol w:w="1134"/>
        <w:gridCol w:w="1134"/>
      </w:tblGrid>
      <w:tr w:rsidR="00271E37" w:rsidRPr="005F637F" w14:paraId="189CA93A" w14:textId="77777777">
        <w:trPr>
          <w:trHeight w:hRule="exact" w:val="20"/>
        </w:trPr>
        <w:tc>
          <w:tcPr>
            <w:tcW w:w="7371" w:type="dxa"/>
            <w:tcBorders>
              <w:top w:val="nil"/>
              <w:left w:val="nil"/>
              <w:bottom w:val="nil"/>
              <w:right w:val="nil"/>
            </w:tcBorders>
          </w:tcPr>
          <w:p w14:paraId="5A871F12" w14:textId="77777777" w:rsidR="00271E37" w:rsidRDefault="00271E37">
            <w:pPr>
              <w:rPr>
                <w:sz w:val="2"/>
              </w:rPr>
            </w:pPr>
            <w:bookmarkStart w:id="43" w:name="_e2e51934_cedb_4ec9_ab64_12b21abf49a3"/>
            <w:bookmarkStart w:id="44" w:name="_2eb5fc98_eefc_4dfb_af88_dfff25efb2bd"/>
            <w:bookmarkEnd w:id="43"/>
          </w:p>
        </w:tc>
        <w:tc>
          <w:tcPr>
            <w:tcW w:w="1134" w:type="dxa"/>
            <w:tcBorders>
              <w:top w:val="nil"/>
              <w:left w:val="nil"/>
              <w:bottom w:val="nil"/>
              <w:right w:val="nil"/>
            </w:tcBorders>
          </w:tcPr>
          <w:p w14:paraId="0CBFD779" w14:textId="77777777" w:rsidR="00271E37" w:rsidRDefault="00271E37">
            <w:pPr>
              <w:rPr>
                <w:sz w:val="2"/>
              </w:rPr>
            </w:pPr>
          </w:p>
        </w:tc>
        <w:tc>
          <w:tcPr>
            <w:tcW w:w="1134" w:type="dxa"/>
            <w:tcBorders>
              <w:top w:val="nil"/>
              <w:left w:val="nil"/>
              <w:bottom w:val="nil"/>
              <w:right w:val="nil"/>
            </w:tcBorders>
          </w:tcPr>
          <w:p w14:paraId="36B9FFF2" w14:textId="77777777" w:rsidR="00271E37" w:rsidRDefault="00271E37">
            <w:pPr>
              <w:rPr>
                <w:sz w:val="2"/>
              </w:rPr>
            </w:pPr>
          </w:p>
        </w:tc>
      </w:tr>
      <w:tr w:rsidR="00271E37" w:rsidRPr="005F637F" w14:paraId="39332966" w14:textId="77777777">
        <w:tc>
          <w:tcPr>
            <w:tcW w:w="7371" w:type="dxa"/>
            <w:tcBorders>
              <w:bottom w:val="nil"/>
            </w:tcBorders>
          </w:tcPr>
          <w:p w14:paraId="4D14E665" w14:textId="77777777" w:rsidR="00271E37" w:rsidRPr="005F637F" w:rsidRDefault="00271E37"/>
        </w:tc>
        <w:tc>
          <w:tcPr>
            <w:tcW w:w="1134" w:type="dxa"/>
            <w:tcBorders>
              <w:bottom w:val="nil"/>
            </w:tcBorders>
          </w:tcPr>
          <w:p w14:paraId="35D77FBE" w14:textId="77777777" w:rsidR="00271E37" w:rsidRPr="00AC3B11" w:rsidRDefault="00271E37">
            <w:pPr>
              <w:rPr>
                <w:b/>
                <w:bCs/>
              </w:rPr>
            </w:pPr>
            <w:r>
              <w:rPr>
                <w:b/>
                <w:bCs/>
              </w:rPr>
              <w:t>2026</w:t>
            </w:r>
          </w:p>
        </w:tc>
        <w:tc>
          <w:tcPr>
            <w:tcW w:w="1134" w:type="dxa"/>
            <w:tcBorders>
              <w:bottom w:val="nil"/>
            </w:tcBorders>
          </w:tcPr>
          <w:p w14:paraId="274C67B4" w14:textId="77777777" w:rsidR="00271E37" w:rsidRPr="005F637F" w:rsidRDefault="00271E37">
            <w:r>
              <w:t>2025</w:t>
            </w:r>
          </w:p>
        </w:tc>
      </w:tr>
      <w:tr w:rsidR="00271E37" w:rsidRPr="005F637F" w14:paraId="2B6CD928" w14:textId="77777777">
        <w:tc>
          <w:tcPr>
            <w:tcW w:w="7371" w:type="dxa"/>
            <w:tcBorders>
              <w:bottom w:val="single" w:sz="4" w:space="0" w:color="000000"/>
            </w:tcBorders>
          </w:tcPr>
          <w:p w14:paraId="7AC8130E" w14:textId="77777777" w:rsidR="00271E37" w:rsidRPr="005F637F" w:rsidRDefault="00271E37"/>
        </w:tc>
        <w:tc>
          <w:tcPr>
            <w:tcW w:w="1134" w:type="dxa"/>
            <w:tcBorders>
              <w:bottom w:val="single" w:sz="4" w:space="0" w:color="000000"/>
            </w:tcBorders>
          </w:tcPr>
          <w:p w14:paraId="688FFA97" w14:textId="77777777" w:rsidR="00271E37" w:rsidRPr="00AC3B11" w:rsidRDefault="00271E37">
            <w:pPr>
              <w:rPr>
                <w:b/>
                <w:bCs/>
              </w:rPr>
            </w:pPr>
            <w:r>
              <w:rPr>
                <w:b/>
                <w:bCs/>
              </w:rPr>
              <w:t>£000</w:t>
            </w:r>
          </w:p>
        </w:tc>
        <w:tc>
          <w:tcPr>
            <w:tcW w:w="1134" w:type="dxa"/>
            <w:tcBorders>
              <w:bottom w:val="single" w:sz="4" w:space="0" w:color="000000"/>
            </w:tcBorders>
          </w:tcPr>
          <w:p w14:paraId="768D7275" w14:textId="77777777" w:rsidR="00271E37" w:rsidRPr="005F637F" w:rsidRDefault="00271E37">
            <w:r>
              <w:t>£000</w:t>
            </w:r>
          </w:p>
        </w:tc>
      </w:tr>
      <w:tr w:rsidR="00271E37" w:rsidRPr="005F637F" w14:paraId="4567070C" w14:textId="77777777">
        <w:tc>
          <w:tcPr>
            <w:tcW w:w="7371" w:type="dxa"/>
            <w:tcBorders>
              <w:top w:val="single" w:sz="4" w:space="0" w:color="000000"/>
              <w:bottom w:val="nil"/>
            </w:tcBorders>
            <w:vAlign w:val="bottom"/>
          </w:tcPr>
          <w:p w14:paraId="09D3A7AE" w14:textId="77777777" w:rsidR="00271E37" w:rsidRDefault="00271E37">
            <w:pPr>
              <w:jc w:val="left"/>
            </w:pPr>
            <w:r>
              <w:rPr>
                <w:rFonts w:cs="Arial"/>
                <w:color w:val="000000"/>
                <w:szCs w:val="16"/>
              </w:rPr>
              <w:t>Profit from continuing operations before income tax</w:t>
            </w:r>
          </w:p>
        </w:tc>
        <w:tc>
          <w:tcPr>
            <w:tcW w:w="1134" w:type="dxa"/>
            <w:tcBorders>
              <w:top w:val="single" w:sz="4" w:space="0" w:color="000000"/>
              <w:bottom w:val="nil"/>
            </w:tcBorders>
            <w:vAlign w:val="center"/>
          </w:tcPr>
          <w:p w14:paraId="17D47104" w14:textId="77777777" w:rsidR="00271E37" w:rsidRPr="00FC5178" w:rsidRDefault="00271E37">
            <w:pPr>
              <w:rPr>
                <w:b/>
                <w:bCs/>
              </w:rPr>
            </w:pPr>
            <w:r>
              <w:rPr>
                <w:rFonts w:cs="Arial"/>
                <w:b/>
                <w:bCs/>
                <w:szCs w:val="16"/>
              </w:rPr>
              <w:t>6,339</w:t>
            </w:r>
            <w:r w:rsidRPr="00FC5178">
              <w:rPr>
                <w:rFonts w:cs="Arial"/>
                <w:b/>
                <w:bCs/>
                <w:szCs w:val="16"/>
              </w:rPr>
              <w:t xml:space="preserve"> </w:t>
            </w:r>
          </w:p>
        </w:tc>
        <w:tc>
          <w:tcPr>
            <w:tcW w:w="1134" w:type="dxa"/>
            <w:tcBorders>
              <w:top w:val="single" w:sz="4" w:space="0" w:color="000000"/>
              <w:bottom w:val="nil"/>
            </w:tcBorders>
            <w:vAlign w:val="center"/>
          </w:tcPr>
          <w:p w14:paraId="4C005FC6" w14:textId="77777777" w:rsidR="00271E37" w:rsidRPr="00FC5178" w:rsidRDefault="00271E37">
            <w:r w:rsidRPr="00FC5178">
              <w:rPr>
                <w:rFonts w:cs="Arial"/>
                <w:szCs w:val="16"/>
              </w:rPr>
              <w:t xml:space="preserve">8,998 </w:t>
            </w:r>
          </w:p>
        </w:tc>
      </w:tr>
      <w:tr w:rsidR="00271E37" w:rsidRPr="005F637F" w14:paraId="18A6610C" w14:textId="77777777">
        <w:tc>
          <w:tcPr>
            <w:tcW w:w="7371" w:type="dxa"/>
            <w:tcBorders>
              <w:top w:val="nil"/>
              <w:bottom w:val="single" w:sz="4" w:space="0" w:color="000000"/>
            </w:tcBorders>
            <w:vAlign w:val="bottom"/>
          </w:tcPr>
          <w:p w14:paraId="1C862237" w14:textId="77777777" w:rsidR="00271E37" w:rsidRDefault="00271E37">
            <w:pPr>
              <w:jc w:val="left"/>
            </w:pPr>
            <w:r>
              <w:rPr>
                <w:rFonts w:cs="Arial"/>
                <w:color w:val="000000"/>
                <w:szCs w:val="16"/>
              </w:rPr>
              <w:t>Loss from discontinued operations before income tax</w:t>
            </w:r>
          </w:p>
        </w:tc>
        <w:tc>
          <w:tcPr>
            <w:tcW w:w="1134" w:type="dxa"/>
            <w:tcBorders>
              <w:top w:val="nil"/>
              <w:bottom w:val="single" w:sz="4" w:space="0" w:color="000000"/>
            </w:tcBorders>
            <w:vAlign w:val="center"/>
          </w:tcPr>
          <w:p w14:paraId="60DB5D10" w14:textId="5CDBCA67" w:rsidR="00271E37" w:rsidRPr="00FC5178" w:rsidRDefault="00271E37">
            <w:pPr>
              <w:rPr>
                <w:b/>
                <w:bCs/>
              </w:rPr>
            </w:pPr>
            <w:r w:rsidRPr="00FC5178">
              <w:rPr>
                <w:rFonts w:cs="Arial"/>
                <w:b/>
                <w:bCs/>
                <w:szCs w:val="16"/>
              </w:rPr>
              <w:t>(</w:t>
            </w:r>
            <w:r w:rsidR="00A32536">
              <w:rPr>
                <w:rFonts w:cs="Arial"/>
                <w:b/>
                <w:bCs/>
                <w:szCs w:val="16"/>
              </w:rPr>
              <w:t>117</w:t>
            </w:r>
            <w:r w:rsidR="00A60C93">
              <w:rPr>
                <w:rFonts w:cs="Arial"/>
                <w:b/>
                <w:bCs/>
                <w:szCs w:val="16"/>
              </w:rPr>
              <w:t>,571</w:t>
            </w:r>
            <w:r w:rsidRPr="00FC5178">
              <w:rPr>
                <w:rFonts w:cs="Arial"/>
                <w:b/>
                <w:bCs/>
                <w:szCs w:val="16"/>
              </w:rPr>
              <w:t>)</w:t>
            </w:r>
          </w:p>
        </w:tc>
        <w:tc>
          <w:tcPr>
            <w:tcW w:w="1134" w:type="dxa"/>
            <w:tcBorders>
              <w:top w:val="nil"/>
              <w:bottom w:val="single" w:sz="4" w:space="0" w:color="000000"/>
            </w:tcBorders>
            <w:vAlign w:val="center"/>
          </w:tcPr>
          <w:p w14:paraId="5A8E1AC8" w14:textId="76F0B78B" w:rsidR="00271E37" w:rsidRPr="00FC5178" w:rsidRDefault="00271E37">
            <w:r w:rsidRPr="00FC5178">
              <w:rPr>
                <w:rFonts w:cs="Arial"/>
                <w:szCs w:val="16"/>
              </w:rPr>
              <w:t>(53,24</w:t>
            </w:r>
            <w:r w:rsidR="00145046">
              <w:rPr>
                <w:rFonts w:cs="Arial"/>
                <w:szCs w:val="16"/>
              </w:rPr>
              <w:t>3</w:t>
            </w:r>
            <w:r w:rsidRPr="00FC5178">
              <w:rPr>
                <w:rFonts w:cs="Arial"/>
                <w:szCs w:val="16"/>
              </w:rPr>
              <w:t>)</w:t>
            </w:r>
          </w:p>
        </w:tc>
      </w:tr>
      <w:tr w:rsidR="00271E37" w:rsidRPr="005F637F" w14:paraId="3A61DAF8" w14:textId="77777777">
        <w:tc>
          <w:tcPr>
            <w:tcW w:w="7371" w:type="dxa"/>
            <w:tcBorders>
              <w:top w:val="single" w:sz="4" w:space="0" w:color="000000"/>
              <w:bottom w:val="single" w:sz="4" w:space="0" w:color="000000"/>
            </w:tcBorders>
          </w:tcPr>
          <w:p w14:paraId="41E5BC89" w14:textId="77777777" w:rsidR="00271E37" w:rsidRPr="005F637F" w:rsidRDefault="00271E37">
            <w:pPr>
              <w:jc w:val="left"/>
            </w:pPr>
            <w:r>
              <w:t>Loss</w:t>
            </w:r>
            <w:r w:rsidRPr="005F637F">
              <w:t xml:space="preserve"> before tax</w:t>
            </w:r>
          </w:p>
        </w:tc>
        <w:tc>
          <w:tcPr>
            <w:tcW w:w="1134" w:type="dxa"/>
            <w:tcBorders>
              <w:top w:val="single" w:sz="4" w:space="0" w:color="000000"/>
              <w:bottom w:val="single" w:sz="4" w:space="0" w:color="000000"/>
            </w:tcBorders>
            <w:vAlign w:val="center"/>
          </w:tcPr>
          <w:p w14:paraId="257EAFEF" w14:textId="1C9493EA" w:rsidR="00271E37" w:rsidRPr="00FC5178" w:rsidRDefault="00271E37">
            <w:pPr>
              <w:rPr>
                <w:b/>
                <w:bCs/>
              </w:rPr>
            </w:pPr>
            <w:r w:rsidRPr="00FC5178">
              <w:rPr>
                <w:rFonts w:cs="Arial"/>
                <w:b/>
                <w:bCs/>
                <w:szCs w:val="16"/>
              </w:rPr>
              <w:t>(</w:t>
            </w:r>
            <w:r w:rsidR="00483C53">
              <w:rPr>
                <w:rFonts w:cs="Arial"/>
                <w:b/>
                <w:bCs/>
                <w:szCs w:val="16"/>
              </w:rPr>
              <w:t>111,232</w:t>
            </w:r>
            <w:r w:rsidRPr="00FC5178">
              <w:rPr>
                <w:rFonts w:cs="Arial"/>
                <w:b/>
                <w:bCs/>
                <w:szCs w:val="16"/>
              </w:rPr>
              <w:t>)</w:t>
            </w:r>
          </w:p>
        </w:tc>
        <w:tc>
          <w:tcPr>
            <w:tcW w:w="1134" w:type="dxa"/>
            <w:tcBorders>
              <w:top w:val="single" w:sz="4" w:space="0" w:color="000000"/>
              <w:bottom w:val="single" w:sz="4" w:space="0" w:color="000000"/>
            </w:tcBorders>
            <w:vAlign w:val="center"/>
          </w:tcPr>
          <w:p w14:paraId="08302757" w14:textId="0AFB44E3" w:rsidR="00271E37" w:rsidRPr="00FC5178" w:rsidRDefault="00271E37">
            <w:r w:rsidRPr="00FC5178">
              <w:rPr>
                <w:rFonts w:cs="Arial"/>
                <w:szCs w:val="16"/>
              </w:rPr>
              <w:t>(44,24</w:t>
            </w:r>
            <w:r w:rsidR="00145046">
              <w:rPr>
                <w:rFonts w:cs="Arial"/>
                <w:szCs w:val="16"/>
              </w:rPr>
              <w:t>5</w:t>
            </w:r>
            <w:r w:rsidRPr="00FC5178">
              <w:rPr>
                <w:rFonts w:cs="Arial"/>
                <w:szCs w:val="16"/>
              </w:rPr>
              <w:t>)</w:t>
            </w:r>
          </w:p>
        </w:tc>
      </w:tr>
      <w:tr w:rsidR="00271E37" w:rsidRPr="005F637F" w14:paraId="2BD00145" w14:textId="77777777">
        <w:tc>
          <w:tcPr>
            <w:tcW w:w="7371" w:type="dxa"/>
            <w:tcBorders>
              <w:top w:val="single" w:sz="4" w:space="0" w:color="000000"/>
            </w:tcBorders>
          </w:tcPr>
          <w:p w14:paraId="571A35EF" w14:textId="77777777" w:rsidR="00271E37" w:rsidRPr="005F637F" w:rsidRDefault="00271E37">
            <w:pPr>
              <w:jc w:val="left"/>
            </w:pPr>
            <w:r>
              <w:t>Loss</w:t>
            </w:r>
            <w:r w:rsidRPr="005F637F">
              <w:t xml:space="preserve"> before tax multiplied by the standard rate of corporation tax of 25% in the UK (202</w:t>
            </w:r>
            <w:r>
              <w:t>5</w:t>
            </w:r>
            <w:r w:rsidRPr="005F637F">
              <w:t xml:space="preserve">: </w:t>
            </w:r>
            <w:r>
              <w:t>25</w:t>
            </w:r>
            <w:r w:rsidRPr="005F637F">
              <w:t>%)</w:t>
            </w:r>
          </w:p>
        </w:tc>
        <w:tc>
          <w:tcPr>
            <w:tcW w:w="1134" w:type="dxa"/>
            <w:tcBorders>
              <w:top w:val="single" w:sz="4" w:space="0" w:color="000000"/>
            </w:tcBorders>
            <w:vAlign w:val="center"/>
          </w:tcPr>
          <w:p w14:paraId="2393E380" w14:textId="77777777" w:rsidR="00271E37" w:rsidRPr="00FC5178" w:rsidRDefault="00271E37">
            <w:pPr>
              <w:rPr>
                <w:b/>
                <w:bCs/>
              </w:rPr>
            </w:pPr>
            <w:r w:rsidRPr="00FC5178">
              <w:rPr>
                <w:rFonts w:cs="Arial"/>
                <w:b/>
                <w:bCs/>
                <w:szCs w:val="16"/>
              </w:rPr>
              <w:t>(2</w:t>
            </w:r>
            <w:r>
              <w:rPr>
                <w:rFonts w:cs="Arial"/>
                <w:b/>
                <w:bCs/>
                <w:szCs w:val="16"/>
              </w:rPr>
              <w:t>7,808</w:t>
            </w:r>
            <w:r w:rsidRPr="00FC5178">
              <w:rPr>
                <w:rFonts w:cs="Arial"/>
                <w:b/>
                <w:bCs/>
                <w:szCs w:val="16"/>
              </w:rPr>
              <w:t>)</w:t>
            </w:r>
          </w:p>
        </w:tc>
        <w:tc>
          <w:tcPr>
            <w:tcW w:w="1134" w:type="dxa"/>
            <w:tcBorders>
              <w:top w:val="single" w:sz="4" w:space="0" w:color="000000"/>
            </w:tcBorders>
            <w:vAlign w:val="center"/>
          </w:tcPr>
          <w:p w14:paraId="7B8B5886" w14:textId="77777777" w:rsidR="00271E37" w:rsidRPr="00FC5178" w:rsidRDefault="00271E37">
            <w:r w:rsidRPr="00FC5178">
              <w:rPr>
                <w:rFonts w:cs="Arial"/>
                <w:szCs w:val="16"/>
              </w:rPr>
              <w:t>(11,061)</w:t>
            </w:r>
          </w:p>
        </w:tc>
      </w:tr>
      <w:tr w:rsidR="00271E37" w:rsidRPr="005F637F" w14:paraId="543B5B03" w14:textId="77777777">
        <w:tc>
          <w:tcPr>
            <w:tcW w:w="7371" w:type="dxa"/>
          </w:tcPr>
          <w:p w14:paraId="65CD7FD1" w14:textId="77777777" w:rsidR="00271E37" w:rsidRPr="005F637F" w:rsidRDefault="00271E37">
            <w:pPr>
              <w:jc w:val="left"/>
            </w:pPr>
            <w:r w:rsidRPr="005F637F">
              <w:t>Effects of:</w:t>
            </w:r>
          </w:p>
        </w:tc>
        <w:tc>
          <w:tcPr>
            <w:tcW w:w="1134" w:type="dxa"/>
            <w:vAlign w:val="center"/>
          </w:tcPr>
          <w:p w14:paraId="17AD6745" w14:textId="77777777" w:rsidR="00271E37" w:rsidRPr="00B8452B" w:rsidRDefault="00271E37">
            <w:pPr>
              <w:rPr>
                <w:b/>
              </w:rPr>
            </w:pPr>
          </w:p>
        </w:tc>
        <w:tc>
          <w:tcPr>
            <w:tcW w:w="1134" w:type="dxa"/>
            <w:vAlign w:val="center"/>
          </w:tcPr>
          <w:p w14:paraId="725F7C95" w14:textId="77777777" w:rsidR="00271E37" w:rsidRPr="00FC5178" w:rsidRDefault="00271E37"/>
        </w:tc>
      </w:tr>
      <w:tr w:rsidR="00271E37" w:rsidRPr="005F637F" w14:paraId="1F146BE5" w14:textId="77777777">
        <w:tc>
          <w:tcPr>
            <w:tcW w:w="7371" w:type="dxa"/>
          </w:tcPr>
          <w:p w14:paraId="041F57BD" w14:textId="77777777" w:rsidR="00271E37" w:rsidRPr="005F637F" w:rsidRDefault="00271E37">
            <w:pPr>
              <w:jc w:val="left"/>
            </w:pPr>
            <w:r w:rsidRPr="005F637F">
              <w:t>Income not taxable</w:t>
            </w:r>
          </w:p>
        </w:tc>
        <w:tc>
          <w:tcPr>
            <w:tcW w:w="1134" w:type="dxa"/>
            <w:vAlign w:val="center"/>
          </w:tcPr>
          <w:p w14:paraId="41759260" w14:textId="77777777" w:rsidR="00271E37" w:rsidRPr="00FC5178" w:rsidRDefault="00271E37">
            <w:pPr>
              <w:rPr>
                <w:b/>
                <w:bCs/>
              </w:rPr>
            </w:pPr>
            <w:r w:rsidRPr="00FC5178">
              <w:rPr>
                <w:rFonts w:cs="Arial"/>
                <w:b/>
                <w:bCs/>
                <w:szCs w:val="16"/>
              </w:rPr>
              <w:t>(26</w:t>
            </w:r>
            <w:r>
              <w:rPr>
                <w:rFonts w:cs="Arial"/>
                <w:b/>
                <w:bCs/>
                <w:szCs w:val="16"/>
              </w:rPr>
              <w:t>8</w:t>
            </w:r>
            <w:r w:rsidRPr="00FC5178">
              <w:rPr>
                <w:rFonts w:cs="Arial"/>
                <w:b/>
                <w:bCs/>
                <w:szCs w:val="16"/>
              </w:rPr>
              <w:t>)</w:t>
            </w:r>
          </w:p>
        </w:tc>
        <w:tc>
          <w:tcPr>
            <w:tcW w:w="1134" w:type="dxa"/>
            <w:vAlign w:val="center"/>
          </w:tcPr>
          <w:p w14:paraId="567D46DD" w14:textId="77777777" w:rsidR="00271E37" w:rsidRPr="00FC5178" w:rsidRDefault="00271E37">
            <w:r w:rsidRPr="00FC5178">
              <w:rPr>
                <w:rFonts w:cs="Arial"/>
                <w:szCs w:val="16"/>
              </w:rPr>
              <w:t>(970)</w:t>
            </w:r>
          </w:p>
        </w:tc>
      </w:tr>
      <w:tr w:rsidR="00271E37" w:rsidRPr="005F637F" w14:paraId="077915FB" w14:textId="77777777">
        <w:tc>
          <w:tcPr>
            <w:tcW w:w="7371" w:type="dxa"/>
          </w:tcPr>
          <w:p w14:paraId="6D7C0156" w14:textId="77777777" w:rsidR="00271E37" w:rsidRPr="005F637F" w:rsidRDefault="00271E37">
            <w:pPr>
              <w:jc w:val="left"/>
            </w:pPr>
            <w:r w:rsidRPr="005F637F">
              <w:t xml:space="preserve">Expenses not deductible for tax purposes </w:t>
            </w:r>
          </w:p>
        </w:tc>
        <w:tc>
          <w:tcPr>
            <w:tcW w:w="1134" w:type="dxa"/>
            <w:vAlign w:val="center"/>
          </w:tcPr>
          <w:p w14:paraId="494C3594" w14:textId="77777777" w:rsidR="00271E37" w:rsidRPr="00FC5178" w:rsidRDefault="00271E37">
            <w:pPr>
              <w:rPr>
                <w:b/>
                <w:bCs/>
              </w:rPr>
            </w:pPr>
            <w:r w:rsidRPr="00FC5178">
              <w:rPr>
                <w:rFonts w:cs="Arial"/>
                <w:b/>
                <w:bCs/>
                <w:szCs w:val="16"/>
              </w:rPr>
              <w:t>2</w:t>
            </w:r>
            <w:r>
              <w:rPr>
                <w:rFonts w:cs="Arial"/>
                <w:b/>
                <w:bCs/>
                <w:szCs w:val="16"/>
              </w:rPr>
              <w:t>9,040</w:t>
            </w:r>
            <w:r w:rsidRPr="00FC5178">
              <w:rPr>
                <w:rFonts w:cs="Arial"/>
                <w:b/>
                <w:bCs/>
                <w:szCs w:val="16"/>
              </w:rPr>
              <w:t xml:space="preserve"> </w:t>
            </w:r>
          </w:p>
        </w:tc>
        <w:tc>
          <w:tcPr>
            <w:tcW w:w="1134" w:type="dxa"/>
            <w:vAlign w:val="center"/>
          </w:tcPr>
          <w:p w14:paraId="0BB059FE" w14:textId="77777777" w:rsidR="00271E37" w:rsidRPr="00FC5178" w:rsidRDefault="00271E37">
            <w:r w:rsidRPr="00FC5178">
              <w:rPr>
                <w:rFonts w:cs="Arial"/>
                <w:szCs w:val="16"/>
              </w:rPr>
              <w:t xml:space="preserve">116 </w:t>
            </w:r>
          </w:p>
        </w:tc>
      </w:tr>
      <w:tr w:rsidR="00271E37" w:rsidRPr="005F637F" w14:paraId="75E7A2CB" w14:textId="77777777">
        <w:tc>
          <w:tcPr>
            <w:tcW w:w="7371" w:type="dxa"/>
          </w:tcPr>
          <w:p w14:paraId="4B4CF435" w14:textId="77777777" w:rsidR="00271E37" w:rsidRPr="005F637F" w:rsidRDefault="00271E37">
            <w:pPr>
              <w:jc w:val="left"/>
            </w:pPr>
            <w:r w:rsidRPr="005F637F">
              <w:t>Differences between UK and overseas tax rates</w:t>
            </w:r>
          </w:p>
        </w:tc>
        <w:tc>
          <w:tcPr>
            <w:tcW w:w="1134" w:type="dxa"/>
            <w:vAlign w:val="center"/>
          </w:tcPr>
          <w:p w14:paraId="62416DAB" w14:textId="77777777" w:rsidR="00271E37" w:rsidRPr="00FC5178" w:rsidRDefault="00271E37">
            <w:pPr>
              <w:rPr>
                <w:b/>
                <w:bCs/>
              </w:rPr>
            </w:pPr>
            <w:r w:rsidRPr="00FC5178">
              <w:rPr>
                <w:rFonts w:cs="Arial"/>
                <w:b/>
                <w:bCs/>
                <w:szCs w:val="16"/>
              </w:rPr>
              <w:t xml:space="preserve">27 </w:t>
            </w:r>
          </w:p>
        </w:tc>
        <w:tc>
          <w:tcPr>
            <w:tcW w:w="1134" w:type="dxa"/>
            <w:vAlign w:val="center"/>
          </w:tcPr>
          <w:p w14:paraId="03191FDA" w14:textId="77777777" w:rsidR="00271E37" w:rsidRPr="00FC5178" w:rsidRDefault="00271E37">
            <w:r w:rsidRPr="00FC5178">
              <w:rPr>
                <w:rFonts w:cs="Arial"/>
                <w:szCs w:val="16"/>
              </w:rPr>
              <w:t xml:space="preserve">369 </w:t>
            </w:r>
          </w:p>
        </w:tc>
      </w:tr>
      <w:tr w:rsidR="00271E37" w:rsidRPr="005F637F" w14:paraId="61D91B16" w14:textId="77777777">
        <w:tc>
          <w:tcPr>
            <w:tcW w:w="7371" w:type="dxa"/>
          </w:tcPr>
          <w:p w14:paraId="525D3338" w14:textId="77777777" w:rsidR="00271E37" w:rsidRPr="005F637F" w:rsidRDefault="00271E37">
            <w:pPr>
              <w:jc w:val="left"/>
            </w:pPr>
            <w:r w:rsidRPr="005F637F">
              <w:lastRenderedPageBreak/>
              <w:t>Movement in uncertain tax provisions</w:t>
            </w:r>
          </w:p>
        </w:tc>
        <w:tc>
          <w:tcPr>
            <w:tcW w:w="1134" w:type="dxa"/>
            <w:vAlign w:val="center"/>
          </w:tcPr>
          <w:p w14:paraId="5C82C448" w14:textId="77777777" w:rsidR="00271E37" w:rsidRPr="00FC5178" w:rsidRDefault="00271E37">
            <w:pPr>
              <w:rPr>
                <w:b/>
                <w:bCs/>
              </w:rPr>
            </w:pPr>
            <w:r w:rsidRPr="00FC5178">
              <w:rPr>
                <w:rFonts w:cs="Arial"/>
                <w:b/>
                <w:bCs/>
                <w:szCs w:val="16"/>
              </w:rPr>
              <w:t>(1,612)</w:t>
            </w:r>
          </w:p>
        </w:tc>
        <w:tc>
          <w:tcPr>
            <w:tcW w:w="1134" w:type="dxa"/>
            <w:vAlign w:val="center"/>
          </w:tcPr>
          <w:p w14:paraId="1FB0EF4D" w14:textId="77777777" w:rsidR="00271E37" w:rsidRPr="00FC5178" w:rsidRDefault="00271E37">
            <w:r w:rsidRPr="00FC5178">
              <w:rPr>
                <w:rFonts w:cs="Arial"/>
                <w:szCs w:val="16"/>
              </w:rPr>
              <w:t xml:space="preserve">176 </w:t>
            </w:r>
          </w:p>
        </w:tc>
      </w:tr>
      <w:tr w:rsidR="00271E37" w:rsidRPr="005F637F" w14:paraId="154077FC" w14:textId="77777777">
        <w:tc>
          <w:tcPr>
            <w:tcW w:w="7371" w:type="dxa"/>
          </w:tcPr>
          <w:p w14:paraId="60F10B15" w14:textId="77777777" w:rsidR="00271E37" w:rsidRPr="005F637F" w:rsidRDefault="00271E37">
            <w:pPr>
              <w:jc w:val="left"/>
            </w:pPr>
            <w:r w:rsidRPr="005F637F">
              <w:t>Derecognition of deferred tax assets</w:t>
            </w:r>
          </w:p>
        </w:tc>
        <w:tc>
          <w:tcPr>
            <w:tcW w:w="1134" w:type="dxa"/>
            <w:vAlign w:val="center"/>
          </w:tcPr>
          <w:p w14:paraId="1A431AA5" w14:textId="77777777" w:rsidR="00271E37" w:rsidRPr="00FC5178" w:rsidRDefault="00271E37">
            <w:pPr>
              <w:rPr>
                <w:b/>
                <w:bCs/>
              </w:rPr>
            </w:pPr>
            <w:r w:rsidRPr="00FC5178">
              <w:rPr>
                <w:rFonts w:cs="Arial"/>
                <w:b/>
                <w:bCs/>
                <w:szCs w:val="16"/>
              </w:rPr>
              <w:t xml:space="preserve"> - </w:t>
            </w:r>
          </w:p>
        </w:tc>
        <w:tc>
          <w:tcPr>
            <w:tcW w:w="1134" w:type="dxa"/>
            <w:vAlign w:val="center"/>
          </w:tcPr>
          <w:p w14:paraId="1B61E2A4" w14:textId="77777777" w:rsidR="00271E37" w:rsidRPr="00FC5178" w:rsidRDefault="00271E37">
            <w:r w:rsidRPr="00FC5178">
              <w:rPr>
                <w:rFonts w:cs="Arial"/>
                <w:szCs w:val="16"/>
              </w:rPr>
              <w:t xml:space="preserve">29,322 </w:t>
            </w:r>
          </w:p>
        </w:tc>
      </w:tr>
      <w:tr w:rsidR="00271E37" w:rsidRPr="005F637F" w14:paraId="45F19C0A" w14:textId="77777777">
        <w:tc>
          <w:tcPr>
            <w:tcW w:w="7371" w:type="dxa"/>
          </w:tcPr>
          <w:p w14:paraId="6547C02F" w14:textId="77777777" w:rsidR="00271E37" w:rsidRPr="005F637F" w:rsidRDefault="00271E37">
            <w:pPr>
              <w:jc w:val="left"/>
            </w:pPr>
            <w:r w:rsidRPr="005F637F">
              <w:t>Other items</w:t>
            </w:r>
          </w:p>
        </w:tc>
        <w:tc>
          <w:tcPr>
            <w:tcW w:w="1134" w:type="dxa"/>
            <w:vAlign w:val="center"/>
          </w:tcPr>
          <w:p w14:paraId="0CA4A96A" w14:textId="77777777" w:rsidR="00271E37" w:rsidRPr="00FC5178" w:rsidRDefault="00271E37">
            <w:pPr>
              <w:rPr>
                <w:b/>
                <w:bCs/>
              </w:rPr>
            </w:pPr>
            <w:r w:rsidRPr="00FC5178">
              <w:rPr>
                <w:rFonts w:cs="Arial"/>
                <w:b/>
                <w:bCs/>
                <w:szCs w:val="16"/>
              </w:rPr>
              <w:t>(</w:t>
            </w:r>
            <w:r>
              <w:rPr>
                <w:rFonts w:cs="Arial"/>
                <w:b/>
                <w:bCs/>
                <w:szCs w:val="16"/>
              </w:rPr>
              <w:t>29</w:t>
            </w:r>
            <w:r w:rsidRPr="00FC5178">
              <w:rPr>
                <w:rFonts w:cs="Arial"/>
                <w:b/>
                <w:bCs/>
                <w:szCs w:val="16"/>
              </w:rPr>
              <w:t>)</w:t>
            </w:r>
          </w:p>
        </w:tc>
        <w:tc>
          <w:tcPr>
            <w:tcW w:w="1134" w:type="dxa"/>
            <w:vAlign w:val="center"/>
          </w:tcPr>
          <w:p w14:paraId="2403EEEC" w14:textId="77777777" w:rsidR="00271E37" w:rsidRPr="00FC5178" w:rsidRDefault="00271E37">
            <w:r w:rsidRPr="00FC5178">
              <w:rPr>
                <w:rFonts w:cs="Arial"/>
                <w:szCs w:val="16"/>
              </w:rPr>
              <w:t xml:space="preserve">123 </w:t>
            </w:r>
          </w:p>
        </w:tc>
      </w:tr>
      <w:tr w:rsidR="00271E37" w:rsidRPr="005F637F" w14:paraId="2C544C5E" w14:textId="77777777">
        <w:tc>
          <w:tcPr>
            <w:tcW w:w="7371" w:type="dxa"/>
          </w:tcPr>
          <w:p w14:paraId="60FC1056" w14:textId="77777777" w:rsidR="00271E37" w:rsidRPr="005F637F" w:rsidRDefault="00271E37">
            <w:pPr>
              <w:jc w:val="left"/>
            </w:pPr>
            <w:r w:rsidRPr="005F637F">
              <w:t>Adjustments in respect of previous periods</w:t>
            </w:r>
          </w:p>
        </w:tc>
        <w:tc>
          <w:tcPr>
            <w:tcW w:w="1134" w:type="dxa"/>
            <w:vAlign w:val="center"/>
          </w:tcPr>
          <w:p w14:paraId="410B91E0" w14:textId="77777777" w:rsidR="00271E37" w:rsidRPr="00FC5178" w:rsidRDefault="00271E37">
            <w:pPr>
              <w:rPr>
                <w:b/>
                <w:bCs/>
              </w:rPr>
            </w:pPr>
            <w:r w:rsidRPr="00FC5178">
              <w:rPr>
                <w:rFonts w:cs="Arial"/>
                <w:b/>
                <w:bCs/>
                <w:szCs w:val="16"/>
              </w:rPr>
              <w:t xml:space="preserve"> - </w:t>
            </w:r>
          </w:p>
        </w:tc>
        <w:tc>
          <w:tcPr>
            <w:tcW w:w="1134" w:type="dxa"/>
            <w:vAlign w:val="center"/>
          </w:tcPr>
          <w:p w14:paraId="73E82805" w14:textId="77777777" w:rsidR="00271E37" w:rsidRPr="00FC5178" w:rsidRDefault="00271E37">
            <w:r w:rsidRPr="00FC5178">
              <w:rPr>
                <w:rFonts w:cs="Arial"/>
                <w:szCs w:val="16"/>
              </w:rPr>
              <w:t xml:space="preserve">242 </w:t>
            </w:r>
          </w:p>
        </w:tc>
      </w:tr>
      <w:tr w:rsidR="00271E37" w:rsidRPr="005F637F" w14:paraId="38FA3963" w14:textId="77777777">
        <w:tc>
          <w:tcPr>
            <w:tcW w:w="7371" w:type="dxa"/>
          </w:tcPr>
          <w:p w14:paraId="39027210" w14:textId="77777777" w:rsidR="00271E37" w:rsidRPr="005F637F" w:rsidRDefault="00271E37">
            <w:pPr>
              <w:jc w:val="left"/>
            </w:pPr>
            <w:r w:rsidRPr="00AB38FD">
              <w:t>Utilisation of prior year losses for which no deferred tax asset was recognised</w:t>
            </w:r>
          </w:p>
        </w:tc>
        <w:tc>
          <w:tcPr>
            <w:tcW w:w="1134" w:type="dxa"/>
            <w:vAlign w:val="center"/>
          </w:tcPr>
          <w:p w14:paraId="2DDEA755" w14:textId="77777777" w:rsidR="00271E37" w:rsidRPr="00181978" w:rsidRDefault="00271E37">
            <w:pPr>
              <w:rPr>
                <w:rFonts w:cs="Arial"/>
                <w:b/>
                <w:bCs/>
                <w:szCs w:val="16"/>
              </w:rPr>
            </w:pPr>
            <w:r>
              <w:rPr>
                <w:rFonts w:cs="Arial"/>
                <w:b/>
                <w:bCs/>
                <w:szCs w:val="16"/>
              </w:rPr>
              <w:t>305</w:t>
            </w:r>
          </w:p>
        </w:tc>
        <w:tc>
          <w:tcPr>
            <w:tcW w:w="1134" w:type="dxa"/>
            <w:vAlign w:val="center"/>
          </w:tcPr>
          <w:p w14:paraId="51C62159" w14:textId="77777777" w:rsidR="00271E37" w:rsidRPr="00181978" w:rsidRDefault="00271E37">
            <w:pPr>
              <w:rPr>
                <w:rFonts w:cs="Arial"/>
                <w:b/>
                <w:bCs/>
                <w:szCs w:val="16"/>
              </w:rPr>
            </w:pPr>
            <w:r w:rsidRPr="00181978">
              <w:rPr>
                <w:rFonts w:cs="Arial"/>
                <w:b/>
                <w:bCs/>
                <w:szCs w:val="16"/>
              </w:rPr>
              <w:t>-</w:t>
            </w:r>
          </w:p>
        </w:tc>
      </w:tr>
      <w:tr w:rsidR="00271E37" w:rsidRPr="005F637F" w14:paraId="60A904C4" w14:textId="77777777">
        <w:tc>
          <w:tcPr>
            <w:tcW w:w="7371" w:type="dxa"/>
            <w:tcBorders>
              <w:bottom w:val="single" w:sz="4" w:space="0" w:color="000000"/>
            </w:tcBorders>
          </w:tcPr>
          <w:p w14:paraId="72784D93" w14:textId="77777777" w:rsidR="00271E37" w:rsidRPr="005F637F" w:rsidRDefault="00271E37">
            <w:pPr>
              <w:jc w:val="left"/>
            </w:pPr>
            <w:r w:rsidRPr="005F637F">
              <w:t>Current year losses for which no deferred tax asset is recognised</w:t>
            </w:r>
          </w:p>
        </w:tc>
        <w:tc>
          <w:tcPr>
            <w:tcW w:w="1134" w:type="dxa"/>
            <w:tcBorders>
              <w:bottom w:val="single" w:sz="4" w:space="0" w:color="000000"/>
            </w:tcBorders>
            <w:vAlign w:val="center"/>
          </w:tcPr>
          <w:p w14:paraId="0C44EC9A" w14:textId="77777777" w:rsidR="00271E37" w:rsidRPr="00FC5178" w:rsidRDefault="00271E37">
            <w:pPr>
              <w:rPr>
                <w:b/>
                <w:bCs/>
              </w:rPr>
            </w:pPr>
            <w:r>
              <w:rPr>
                <w:rFonts w:cs="Arial"/>
                <w:b/>
                <w:bCs/>
                <w:szCs w:val="16"/>
              </w:rPr>
              <w:t>1,430</w:t>
            </w:r>
            <w:r w:rsidRPr="00FC5178">
              <w:rPr>
                <w:rFonts w:cs="Arial"/>
                <w:b/>
                <w:bCs/>
                <w:szCs w:val="16"/>
              </w:rPr>
              <w:t xml:space="preserve"> </w:t>
            </w:r>
          </w:p>
        </w:tc>
        <w:tc>
          <w:tcPr>
            <w:tcW w:w="1134" w:type="dxa"/>
            <w:tcBorders>
              <w:bottom w:val="single" w:sz="4" w:space="0" w:color="000000"/>
            </w:tcBorders>
            <w:vAlign w:val="center"/>
          </w:tcPr>
          <w:p w14:paraId="4B358E83" w14:textId="77777777" w:rsidR="00271E37" w:rsidRPr="00FC5178" w:rsidRDefault="00271E37">
            <w:r w:rsidRPr="00FC5178">
              <w:rPr>
                <w:rFonts w:cs="Arial"/>
                <w:szCs w:val="16"/>
              </w:rPr>
              <w:t xml:space="preserve">15,617 </w:t>
            </w:r>
          </w:p>
        </w:tc>
      </w:tr>
      <w:tr w:rsidR="00271E37" w:rsidRPr="005F637F" w14:paraId="64F09E24" w14:textId="77777777">
        <w:tc>
          <w:tcPr>
            <w:tcW w:w="7371" w:type="dxa"/>
            <w:tcBorders>
              <w:top w:val="single" w:sz="4" w:space="0" w:color="000000"/>
            </w:tcBorders>
          </w:tcPr>
          <w:p w14:paraId="4F28B07D" w14:textId="77777777" w:rsidR="00271E37" w:rsidRPr="00DD777C" w:rsidRDefault="00271E37">
            <w:pPr>
              <w:jc w:val="left"/>
              <w:rPr>
                <w:b/>
                <w:bCs/>
              </w:rPr>
            </w:pPr>
            <w:r w:rsidRPr="00DD777C">
              <w:rPr>
                <w:b/>
                <w:bCs/>
              </w:rPr>
              <w:t>Total tax charge in income statement</w:t>
            </w:r>
          </w:p>
        </w:tc>
        <w:tc>
          <w:tcPr>
            <w:tcW w:w="1134" w:type="dxa"/>
            <w:tcBorders>
              <w:top w:val="single" w:sz="4" w:space="0" w:color="000000"/>
            </w:tcBorders>
            <w:vAlign w:val="center"/>
          </w:tcPr>
          <w:p w14:paraId="67078AB8" w14:textId="77777777" w:rsidR="00271E37" w:rsidRPr="00FC5178" w:rsidRDefault="00271E37">
            <w:pPr>
              <w:rPr>
                <w:b/>
                <w:bCs/>
              </w:rPr>
            </w:pPr>
            <w:r w:rsidRPr="00FC5178">
              <w:rPr>
                <w:rFonts w:cs="Arial"/>
                <w:b/>
                <w:bCs/>
                <w:szCs w:val="16"/>
              </w:rPr>
              <w:t>1,08</w:t>
            </w:r>
            <w:r>
              <w:rPr>
                <w:rFonts w:cs="Arial"/>
                <w:b/>
                <w:bCs/>
                <w:szCs w:val="16"/>
              </w:rPr>
              <w:t>5</w:t>
            </w:r>
            <w:r w:rsidRPr="00FC5178">
              <w:rPr>
                <w:rFonts w:cs="Arial"/>
                <w:b/>
                <w:bCs/>
                <w:szCs w:val="16"/>
              </w:rPr>
              <w:t xml:space="preserve"> </w:t>
            </w:r>
          </w:p>
        </w:tc>
        <w:tc>
          <w:tcPr>
            <w:tcW w:w="1134" w:type="dxa"/>
            <w:tcBorders>
              <w:top w:val="single" w:sz="4" w:space="0" w:color="000000"/>
            </w:tcBorders>
            <w:vAlign w:val="center"/>
          </w:tcPr>
          <w:p w14:paraId="2761907C" w14:textId="77777777" w:rsidR="00271E37" w:rsidRPr="00FC5178" w:rsidRDefault="00271E37">
            <w:r w:rsidRPr="00FC5178">
              <w:rPr>
                <w:rFonts w:cs="Arial"/>
                <w:szCs w:val="16"/>
              </w:rPr>
              <w:t xml:space="preserve">33,934 </w:t>
            </w:r>
          </w:p>
        </w:tc>
      </w:tr>
      <w:bookmarkEnd w:id="44"/>
    </w:tbl>
    <w:p w14:paraId="7DEFB4A6" w14:textId="77777777" w:rsidR="00271E37" w:rsidRDefault="00271E37"/>
    <w:p w14:paraId="6FF241E2" w14:textId="77777777" w:rsidR="00271E37" w:rsidRDefault="00271E37" w:rsidP="002E39D4">
      <w:pPr>
        <w:rPr>
          <w:b/>
          <w:i/>
        </w:rPr>
      </w:pPr>
      <w:r w:rsidRPr="00C619D0">
        <w:rPr>
          <w:b/>
          <w:i/>
        </w:rPr>
        <w:t>OECD Pillar Two</w:t>
      </w:r>
    </w:p>
    <w:p w14:paraId="3BD6656D" w14:textId="77777777" w:rsidR="00271E37" w:rsidRPr="00C619D0" w:rsidRDefault="00271E37" w:rsidP="002E39D4">
      <w:pPr>
        <w:rPr>
          <w:b/>
          <w:i/>
        </w:rPr>
      </w:pPr>
    </w:p>
    <w:p w14:paraId="2AFDD6D9" w14:textId="77777777" w:rsidR="00271E37" w:rsidRDefault="00271E37">
      <w:pPr>
        <w:spacing w:after="160" w:line="276" w:lineRule="auto"/>
        <w:jc w:val="both"/>
        <w:rPr>
          <w:rFonts w:eastAsia="Arial" w:cs="Arial"/>
          <w:szCs w:val="16"/>
        </w:rPr>
      </w:pPr>
      <w:r w:rsidRPr="6A2B317F">
        <w:rPr>
          <w:rFonts w:eastAsia="Arial" w:cs="Arial"/>
          <w:szCs w:val="16"/>
        </w:rPr>
        <w:t>The Group is within the scope of the OECD Pillar Two model rules. Pillar Two legislation has been enacted or substantively enacted in certain jurisdictions in which the Group operates.</w:t>
      </w:r>
    </w:p>
    <w:p w14:paraId="67280AE9" w14:textId="77777777" w:rsidR="00271E37" w:rsidRDefault="00271E37">
      <w:pPr>
        <w:spacing w:after="160" w:line="276" w:lineRule="auto"/>
        <w:rPr>
          <w:rFonts w:eastAsia="Arial" w:cs="Arial"/>
          <w:szCs w:val="16"/>
        </w:rPr>
      </w:pPr>
      <w:r w:rsidRPr="6A2B317F">
        <w:rPr>
          <w:rFonts w:eastAsia="Arial" w:cs="Arial"/>
          <w:szCs w:val="16"/>
        </w:rPr>
        <w:t>For the year ended 31 March 2026, the Group has performed an assessment to determine its potential exposure to Pillar Two top-up taxes. This assessment relied primarily on the Transitional Safe Harbour provisions, which use information from the Group’s Qualified Country-by-Country (CbC) Reports and Financial Statements.</w:t>
      </w:r>
    </w:p>
    <w:p w14:paraId="063782CF" w14:textId="77777777" w:rsidR="00271E37" w:rsidRDefault="00271E37">
      <w:pPr>
        <w:spacing w:after="160" w:line="276" w:lineRule="auto"/>
        <w:rPr>
          <w:rFonts w:eastAsia="Arial" w:cs="Arial"/>
          <w:szCs w:val="16"/>
        </w:rPr>
      </w:pPr>
      <w:r w:rsidRPr="6A2B317F">
        <w:rPr>
          <w:rFonts w:eastAsia="Arial" w:cs="Arial"/>
          <w:szCs w:val="16"/>
        </w:rPr>
        <w:t xml:space="preserve">Based on the assessment performed, the Group has qualified for a </w:t>
      </w:r>
      <w:r w:rsidRPr="6A2B317F">
        <w:rPr>
          <w:rFonts w:eastAsia="Arial" w:cs="Arial"/>
          <w:b/>
          <w:bCs/>
          <w:szCs w:val="16"/>
        </w:rPr>
        <w:t>nil top-up tax</w:t>
      </w:r>
      <w:r w:rsidRPr="6A2B317F">
        <w:rPr>
          <w:rFonts w:eastAsia="Arial" w:cs="Arial"/>
          <w:szCs w:val="16"/>
        </w:rPr>
        <w:t xml:space="preserve"> charge in substantially all jurisdictions of operation by meeting one or more of the following transitional tests:</w:t>
      </w:r>
    </w:p>
    <w:p w14:paraId="1AA203D6" w14:textId="5B6F3C8A" w:rsidR="00271E37" w:rsidRPr="00916DB3" w:rsidRDefault="00271E37" w:rsidP="005B0EAC">
      <w:pPr>
        <w:pStyle w:val="ListParagraph"/>
        <w:numPr>
          <w:ilvl w:val="0"/>
          <w:numId w:val="51"/>
        </w:numPr>
        <w:spacing w:line="276" w:lineRule="auto"/>
        <w:jc w:val="both"/>
        <w:rPr>
          <w:rFonts w:eastAsia="Arial" w:cs="Arial"/>
          <w:szCs w:val="16"/>
        </w:rPr>
      </w:pPr>
      <w:r w:rsidRPr="00916DB3">
        <w:rPr>
          <w:rFonts w:eastAsia="Arial" w:cs="Arial"/>
          <w:szCs w:val="16"/>
        </w:rPr>
        <w:t>De Minimis Test: Jurisdictions where the Group has revenue of less than €10</w:t>
      </w:r>
      <w:r w:rsidR="002F3DA8">
        <w:rPr>
          <w:rFonts w:eastAsia="Arial" w:cs="Arial"/>
          <w:szCs w:val="16"/>
        </w:rPr>
        <w:t xml:space="preserve"> million</w:t>
      </w:r>
      <w:r w:rsidRPr="00916DB3">
        <w:rPr>
          <w:rFonts w:eastAsia="Arial" w:cs="Arial"/>
          <w:szCs w:val="16"/>
        </w:rPr>
        <w:t xml:space="preserve"> and profit before tax of less than €1</w:t>
      </w:r>
      <w:r w:rsidR="002F3DA8">
        <w:rPr>
          <w:rFonts w:eastAsia="Arial" w:cs="Arial"/>
          <w:szCs w:val="16"/>
        </w:rPr>
        <w:t xml:space="preserve"> million</w:t>
      </w:r>
      <w:r w:rsidRPr="00916DB3">
        <w:rPr>
          <w:rFonts w:eastAsia="Arial" w:cs="Arial"/>
          <w:szCs w:val="16"/>
        </w:rPr>
        <w:t>.</w:t>
      </w:r>
    </w:p>
    <w:p w14:paraId="5479EAE7" w14:textId="77777777" w:rsidR="00271E37" w:rsidRPr="00916DB3" w:rsidRDefault="00271E37" w:rsidP="005B0EAC">
      <w:pPr>
        <w:pStyle w:val="ListParagraph"/>
        <w:numPr>
          <w:ilvl w:val="0"/>
          <w:numId w:val="51"/>
        </w:numPr>
        <w:rPr>
          <w:rFonts w:eastAsia="Arial" w:cs="Arial"/>
          <w:szCs w:val="16"/>
        </w:rPr>
      </w:pPr>
      <w:r w:rsidRPr="00916DB3">
        <w:rPr>
          <w:rFonts w:eastAsia="Arial" w:cs="Arial"/>
          <w:szCs w:val="16"/>
        </w:rPr>
        <w:t xml:space="preserve">Simplified Effective Tax Rate (ETR) Test: Jurisdictions where the simplified ETR (calculated using qualified data) is at least 16% for the 2026 financial year. </w:t>
      </w:r>
    </w:p>
    <w:p w14:paraId="643588AA" w14:textId="77777777" w:rsidR="00271E37" w:rsidRDefault="00271E37" w:rsidP="005B0EAC">
      <w:pPr>
        <w:pStyle w:val="ListParagraph"/>
        <w:numPr>
          <w:ilvl w:val="0"/>
          <w:numId w:val="50"/>
        </w:numPr>
        <w:rPr>
          <w:rFonts w:eastAsia="Arial" w:cs="Arial"/>
          <w:szCs w:val="16"/>
        </w:rPr>
      </w:pPr>
      <w:r w:rsidRPr="00916DB3">
        <w:rPr>
          <w:rFonts w:eastAsia="Arial" w:cs="Arial"/>
          <w:szCs w:val="16"/>
        </w:rPr>
        <w:t>Routine Profits Test: Jurisdictions</w:t>
      </w:r>
      <w:r w:rsidRPr="6A2B317F">
        <w:rPr>
          <w:rFonts w:eastAsia="Arial" w:cs="Arial"/>
          <w:szCs w:val="16"/>
        </w:rPr>
        <w:t xml:space="preserve"> where the Group’s profit is less than or equal to the substance-based income exclusion.</w:t>
      </w:r>
    </w:p>
    <w:p w14:paraId="74C8DF69" w14:textId="77777777" w:rsidR="00271E37" w:rsidRDefault="00271E37">
      <w:pPr>
        <w:rPr>
          <w:rFonts w:eastAsia="Arial" w:cs="Arial"/>
          <w:szCs w:val="16"/>
        </w:rPr>
      </w:pPr>
      <w:r w:rsidRPr="6A2B317F">
        <w:rPr>
          <w:rFonts w:eastAsia="Arial" w:cs="Arial"/>
          <w:szCs w:val="16"/>
        </w:rPr>
        <w:t xml:space="preserve"> </w:t>
      </w:r>
    </w:p>
    <w:p w14:paraId="592FB06F" w14:textId="77777777" w:rsidR="00271E37" w:rsidRDefault="00271E37">
      <w:pPr>
        <w:jc w:val="both"/>
        <w:rPr>
          <w:rFonts w:eastAsia="Arial" w:cs="Arial"/>
          <w:szCs w:val="16"/>
        </w:rPr>
      </w:pPr>
      <w:r w:rsidRPr="6A2B317F">
        <w:rPr>
          <w:rFonts w:eastAsia="Arial" w:cs="Arial"/>
          <w:szCs w:val="16"/>
        </w:rPr>
        <w:t>As a result of applying these safe harbours, the Group has determined that there is no material exposure to Pillar Two top-up taxes for the year ended 31 March 2026, and no current tax expense has been recognised in this regard.</w:t>
      </w:r>
    </w:p>
    <w:p w14:paraId="159084BE" w14:textId="77777777" w:rsidR="00271E37" w:rsidRDefault="00271E37">
      <w:pPr>
        <w:jc w:val="both"/>
        <w:rPr>
          <w:rFonts w:eastAsia="Arial" w:cs="Arial"/>
          <w:szCs w:val="16"/>
        </w:rPr>
      </w:pPr>
    </w:p>
    <w:p w14:paraId="64412E82" w14:textId="77777777" w:rsidR="00271E37" w:rsidRDefault="00271E37">
      <w:pPr>
        <w:spacing w:after="160" w:line="276" w:lineRule="auto"/>
        <w:jc w:val="both"/>
        <w:rPr>
          <w:rFonts w:eastAsia="Arial" w:cs="Arial"/>
          <w:szCs w:val="16"/>
        </w:rPr>
      </w:pPr>
      <w:r w:rsidRPr="6A2B317F">
        <w:rPr>
          <w:rFonts w:eastAsia="Arial" w:cs="Arial"/>
          <w:szCs w:val="16"/>
        </w:rPr>
        <w:t>The Group has applied the mandatory exception to recognising and disclosing information about deferred tax assets and liabilities related to Pillar Two income taxes, as provided in the amendments to IAS 12 issued in May 2023.</w:t>
      </w:r>
    </w:p>
    <w:p w14:paraId="33A227FD" w14:textId="77777777" w:rsidR="00271E37" w:rsidRDefault="00271E37" w:rsidP="002E39D4">
      <w:pPr>
        <w:rPr>
          <w:color w:val="FF0000"/>
        </w:rPr>
      </w:pPr>
    </w:p>
    <w:p w14:paraId="6EE4EAED" w14:textId="77777777" w:rsidR="00271E37" w:rsidRPr="00452155" w:rsidRDefault="00271E37">
      <w:pPr>
        <w:pStyle w:val="Heading2"/>
      </w:pPr>
      <w:r w:rsidRPr="4444F3A4">
        <w:t>8</w:t>
      </w:r>
      <w:r w:rsidRPr="00452155">
        <w:t xml:space="preserve"> Property, plant and equipment</w:t>
      </w:r>
    </w:p>
    <w:tbl>
      <w:tblPr>
        <w:tblStyle w:val="tableDUL"/>
        <w:tblW w:w="9639" w:type="dxa"/>
        <w:tblLayout w:type="fixed"/>
        <w:tblLook w:val="04A0" w:firstRow="1" w:lastRow="0" w:firstColumn="1" w:lastColumn="0" w:noHBand="0" w:noVBand="1"/>
      </w:tblPr>
      <w:tblGrid>
        <w:gridCol w:w="2835"/>
        <w:gridCol w:w="1134"/>
        <w:gridCol w:w="1134"/>
        <w:gridCol w:w="1134"/>
        <w:gridCol w:w="1134"/>
        <w:gridCol w:w="1134"/>
        <w:gridCol w:w="1134"/>
      </w:tblGrid>
      <w:tr w:rsidR="00271E37" w:rsidRPr="004955F2" w14:paraId="47DB2F15" w14:textId="77777777" w:rsidTr="000923EA">
        <w:trPr>
          <w:trHeight w:hRule="exact" w:val="20"/>
        </w:trPr>
        <w:tc>
          <w:tcPr>
            <w:tcW w:w="2835" w:type="dxa"/>
            <w:tcBorders>
              <w:top w:val="nil"/>
              <w:left w:val="nil"/>
              <w:bottom w:val="nil"/>
              <w:right w:val="nil"/>
            </w:tcBorders>
          </w:tcPr>
          <w:p w14:paraId="5F157404" w14:textId="77777777" w:rsidR="00271E37" w:rsidRDefault="00271E37">
            <w:pPr>
              <w:rPr>
                <w:sz w:val="2"/>
              </w:rPr>
            </w:pPr>
            <w:bookmarkStart w:id="45" w:name="_b0348eed_33c1_430f_9232_7d415f55ecb4"/>
            <w:bookmarkStart w:id="46" w:name="_d98b5321_8123_4552_8383_3608eb74df54"/>
            <w:bookmarkEnd w:id="45"/>
          </w:p>
        </w:tc>
        <w:tc>
          <w:tcPr>
            <w:tcW w:w="1134" w:type="dxa"/>
            <w:tcBorders>
              <w:top w:val="nil"/>
              <w:left w:val="nil"/>
              <w:bottom w:val="nil"/>
              <w:right w:val="nil"/>
            </w:tcBorders>
            <w:vAlign w:val="bottom"/>
          </w:tcPr>
          <w:p w14:paraId="5510A946" w14:textId="77777777" w:rsidR="00271E37" w:rsidRPr="00673DD0" w:rsidRDefault="00271E37" w:rsidP="000923EA"/>
          <w:p w14:paraId="7B3ACAE0" w14:textId="77777777" w:rsidR="00271E37" w:rsidRDefault="00271E37">
            <w:pPr>
              <w:rPr>
                <w:sz w:val="2"/>
              </w:rPr>
            </w:pPr>
          </w:p>
        </w:tc>
        <w:tc>
          <w:tcPr>
            <w:tcW w:w="1134" w:type="dxa"/>
            <w:tcBorders>
              <w:top w:val="nil"/>
              <w:left w:val="nil"/>
              <w:bottom w:val="nil"/>
              <w:right w:val="nil"/>
            </w:tcBorders>
            <w:vAlign w:val="bottom"/>
          </w:tcPr>
          <w:p w14:paraId="1985FB86" w14:textId="77777777" w:rsidR="00271E37" w:rsidRDefault="00271E37">
            <w:pPr>
              <w:rPr>
                <w:sz w:val="2"/>
              </w:rPr>
            </w:pPr>
          </w:p>
        </w:tc>
        <w:tc>
          <w:tcPr>
            <w:tcW w:w="1134" w:type="dxa"/>
            <w:tcBorders>
              <w:top w:val="nil"/>
              <w:left w:val="nil"/>
              <w:bottom w:val="nil"/>
              <w:right w:val="nil"/>
            </w:tcBorders>
            <w:vAlign w:val="bottom"/>
          </w:tcPr>
          <w:p w14:paraId="440EF8CE" w14:textId="77777777" w:rsidR="00271E37" w:rsidRDefault="00271E37">
            <w:pPr>
              <w:rPr>
                <w:sz w:val="2"/>
              </w:rPr>
            </w:pPr>
          </w:p>
        </w:tc>
        <w:tc>
          <w:tcPr>
            <w:tcW w:w="1134" w:type="dxa"/>
            <w:tcBorders>
              <w:top w:val="nil"/>
              <w:left w:val="nil"/>
              <w:bottom w:val="nil"/>
              <w:right w:val="nil"/>
            </w:tcBorders>
            <w:vAlign w:val="bottom"/>
          </w:tcPr>
          <w:p w14:paraId="0D6BC85D" w14:textId="77777777" w:rsidR="00271E37" w:rsidRPr="00673DD0" w:rsidRDefault="00271E37" w:rsidP="000923EA"/>
          <w:p w14:paraId="7AF23CDF" w14:textId="77777777" w:rsidR="00271E37" w:rsidRDefault="00271E37">
            <w:pPr>
              <w:rPr>
                <w:sz w:val="2"/>
              </w:rPr>
            </w:pPr>
          </w:p>
        </w:tc>
        <w:tc>
          <w:tcPr>
            <w:tcW w:w="1134" w:type="dxa"/>
            <w:tcBorders>
              <w:top w:val="nil"/>
              <w:left w:val="nil"/>
              <w:bottom w:val="nil"/>
              <w:right w:val="nil"/>
            </w:tcBorders>
            <w:vAlign w:val="bottom"/>
          </w:tcPr>
          <w:p w14:paraId="3A1633D8" w14:textId="77777777" w:rsidR="00271E37" w:rsidRPr="00673DD0" w:rsidRDefault="00271E37" w:rsidP="000923EA"/>
          <w:p w14:paraId="00CFB0A0" w14:textId="77777777" w:rsidR="00271E37" w:rsidRPr="00673DD0" w:rsidRDefault="00271E37" w:rsidP="000923EA"/>
          <w:p w14:paraId="3AB7A4B8" w14:textId="77777777" w:rsidR="00271E37" w:rsidRDefault="00271E37">
            <w:pPr>
              <w:rPr>
                <w:sz w:val="2"/>
              </w:rPr>
            </w:pPr>
          </w:p>
        </w:tc>
        <w:tc>
          <w:tcPr>
            <w:tcW w:w="1134" w:type="dxa"/>
            <w:tcBorders>
              <w:top w:val="nil"/>
              <w:left w:val="nil"/>
              <w:bottom w:val="nil"/>
              <w:right w:val="nil"/>
            </w:tcBorders>
            <w:vAlign w:val="bottom"/>
          </w:tcPr>
          <w:p w14:paraId="32370255" w14:textId="77777777" w:rsidR="00271E37" w:rsidRPr="00673DD0" w:rsidRDefault="00271E37" w:rsidP="000923EA"/>
          <w:p w14:paraId="036153DE" w14:textId="77777777" w:rsidR="00271E37" w:rsidRDefault="00271E37">
            <w:pPr>
              <w:rPr>
                <w:sz w:val="2"/>
              </w:rPr>
            </w:pPr>
          </w:p>
        </w:tc>
      </w:tr>
      <w:tr w:rsidR="00271E37" w:rsidRPr="00AC3B11" w14:paraId="01925B87" w14:textId="77777777" w:rsidTr="758B4CAE">
        <w:tc>
          <w:tcPr>
            <w:tcW w:w="2835" w:type="dxa"/>
          </w:tcPr>
          <w:p w14:paraId="3EAA24C0" w14:textId="77777777" w:rsidR="00271E37" w:rsidRPr="00AC3B11" w:rsidRDefault="00271E37" w:rsidP="000923EA">
            <w:pPr>
              <w:jc w:val="left"/>
            </w:pPr>
          </w:p>
        </w:tc>
        <w:tc>
          <w:tcPr>
            <w:tcW w:w="2268" w:type="dxa"/>
            <w:gridSpan w:val="2"/>
            <w:tcBorders>
              <w:bottom w:val="single" w:sz="4" w:space="0" w:color="000000" w:themeColor="text1"/>
            </w:tcBorders>
          </w:tcPr>
          <w:p w14:paraId="2050B7B6" w14:textId="77777777" w:rsidR="00271E37" w:rsidRPr="00AC3B11" w:rsidRDefault="00271E37" w:rsidP="000923EA">
            <w:pPr>
              <w:jc w:val="center"/>
            </w:pPr>
            <w:r w:rsidRPr="00AC3B11">
              <w:t>Land and buildings</w:t>
            </w:r>
          </w:p>
        </w:tc>
        <w:tc>
          <w:tcPr>
            <w:tcW w:w="1134" w:type="dxa"/>
          </w:tcPr>
          <w:p w14:paraId="53A4926A" w14:textId="77777777" w:rsidR="00271E37" w:rsidRPr="00AC3B11" w:rsidRDefault="00271E37" w:rsidP="000923EA"/>
        </w:tc>
        <w:tc>
          <w:tcPr>
            <w:tcW w:w="1134" w:type="dxa"/>
          </w:tcPr>
          <w:p w14:paraId="6B91C96B" w14:textId="77777777" w:rsidR="00271E37" w:rsidRPr="00AC3B11" w:rsidRDefault="00271E37" w:rsidP="000923EA"/>
        </w:tc>
        <w:tc>
          <w:tcPr>
            <w:tcW w:w="1134" w:type="dxa"/>
          </w:tcPr>
          <w:p w14:paraId="52E8F0B3" w14:textId="77777777" w:rsidR="00271E37" w:rsidRPr="00AC3B11" w:rsidRDefault="00271E37" w:rsidP="000923EA"/>
        </w:tc>
        <w:tc>
          <w:tcPr>
            <w:tcW w:w="1134" w:type="dxa"/>
          </w:tcPr>
          <w:p w14:paraId="4D66F358" w14:textId="77777777" w:rsidR="00271E37" w:rsidRPr="00AC3B11" w:rsidRDefault="00271E37" w:rsidP="000923EA"/>
        </w:tc>
      </w:tr>
      <w:tr w:rsidR="00271E37" w:rsidRPr="004955F2" w14:paraId="14DDC15E" w14:textId="77777777">
        <w:tc>
          <w:tcPr>
            <w:tcW w:w="2835" w:type="dxa"/>
            <w:tcBorders>
              <w:bottom w:val="nil"/>
            </w:tcBorders>
          </w:tcPr>
          <w:p w14:paraId="66CDF460" w14:textId="77777777" w:rsidR="00271E37" w:rsidRPr="00673DD0" w:rsidRDefault="00271E37" w:rsidP="000923EA">
            <w:pPr>
              <w:jc w:val="left"/>
            </w:pPr>
          </w:p>
        </w:tc>
        <w:tc>
          <w:tcPr>
            <w:tcW w:w="1134" w:type="dxa"/>
            <w:tcBorders>
              <w:top w:val="single" w:sz="4" w:space="0" w:color="000000" w:themeColor="text1"/>
              <w:bottom w:val="nil"/>
            </w:tcBorders>
            <w:vAlign w:val="bottom"/>
          </w:tcPr>
          <w:p w14:paraId="0624F8C5" w14:textId="77777777" w:rsidR="00271E37" w:rsidRPr="00673DD0" w:rsidRDefault="00271E37">
            <w:r w:rsidRPr="00673DD0">
              <w:t xml:space="preserve">Freehold </w:t>
            </w:r>
          </w:p>
        </w:tc>
        <w:tc>
          <w:tcPr>
            <w:tcW w:w="1134" w:type="dxa"/>
            <w:tcBorders>
              <w:top w:val="single" w:sz="4" w:space="0" w:color="000000" w:themeColor="text1"/>
              <w:bottom w:val="nil"/>
            </w:tcBorders>
            <w:vAlign w:val="bottom"/>
          </w:tcPr>
          <w:p w14:paraId="5368601A" w14:textId="77777777" w:rsidR="00271E37" w:rsidRPr="00673DD0" w:rsidRDefault="00271E37" w:rsidP="000923EA">
            <w:r w:rsidRPr="00673DD0">
              <w:t>Leasehol</w:t>
            </w:r>
            <w:r>
              <w:t>d</w:t>
            </w:r>
          </w:p>
        </w:tc>
        <w:tc>
          <w:tcPr>
            <w:tcW w:w="1134" w:type="dxa"/>
            <w:tcBorders>
              <w:bottom w:val="nil"/>
            </w:tcBorders>
            <w:vAlign w:val="bottom"/>
          </w:tcPr>
          <w:p w14:paraId="663BAAAC" w14:textId="77777777" w:rsidR="00271E37" w:rsidRPr="00673DD0" w:rsidRDefault="00271E37" w:rsidP="000923EA">
            <w:r w:rsidRPr="00673DD0">
              <w:t>Plant and equipmen</w:t>
            </w:r>
            <w:r>
              <w:t>t</w:t>
            </w:r>
          </w:p>
        </w:tc>
        <w:tc>
          <w:tcPr>
            <w:tcW w:w="1134" w:type="dxa"/>
            <w:tcBorders>
              <w:bottom w:val="nil"/>
            </w:tcBorders>
            <w:vAlign w:val="bottom"/>
          </w:tcPr>
          <w:p w14:paraId="1A0F7189" w14:textId="77777777" w:rsidR="00271E37" w:rsidRPr="00673DD0" w:rsidRDefault="00271E37">
            <w:r w:rsidRPr="00673DD0">
              <w:t>Fixtures and fitting</w:t>
            </w:r>
            <w:r>
              <w:t>s</w:t>
            </w:r>
          </w:p>
        </w:tc>
        <w:tc>
          <w:tcPr>
            <w:tcW w:w="1134" w:type="dxa"/>
            <w:tcBorders>
              <w:bottom w:val="nil"/>
            </w:tcBorders>
            <w:vAlign w:val="bottom"/>
          </w:tcPr>
          <w:p w14:paraId="5D836192" w14:textId="77777777" w:rsidR="00271E37" w:rsidRPr="00673DD0" w:rsidRDefault="00271E37" w:rsidP="000923EA">
            <w:r w:rsidRPr="00673DD0">
              <w:t xml:space="preserve">Motor </w:t>
            </w:r>
          </w:p>
          <w:p w14:paraId="1442FED9" w14:textId="77777777" w:rsidR="00271E37" w:rsidRPr="00673DD0" w:rsidRDefault="00271E37">
            <w:r w:rsidRPr="00673DD0">
              <w:t>vehicle</w:t>
            </w:r>
            <w:r>
              <w:t>s</w:t>
            </w:r>
          </w:p>
        </w:tc>
        <w:tc>
          <w:tcPr>
            <w:tcW w:w="1134" w:type="dxa"/>
            <w:tcBorders>
              <w:bottom w:val="nil"/>
            </w:tcBorders>
            <w:vAlign w:val="bottom"/>
          </w:tcPr>
          <w:p w14:paraId="69379861" w14:textId="77777777" w:rsidR="00271E37" w:rsidRPr="00673DD0" w:rsidRDefault="00271E37">
            <w:r w:rsidRPr="00673DD0">
              <w:t xml:space="preserve">Total </w:t>
            </w:r>
          </w:p>
        </w:tc>
      </w:tr>
      <w:tr w:rsidR="00271E37" w:rsidRPr="004955F2" w14:paraId="7FA4DEC4" w14:textId="77777777">
        <w:tc>
          <w:tcPr>
            <w:tcW w:w="2835" w:type="dxa"/>
            <w:tcBorders>
              <w:top w:val="nil"/>
              <w:bottom w:val="single" w:sz="4" w:space="0" w:color="000000" w:themeColor="text1"/>
            </w:tcBorders>
          </w:tcPr>
          <w:p w14:paraId="1A4FFDDB" w14:textId="77777777" w:rsidR="00271E37" w:rsidRPr="00673DD0" w:rsidRDefault="00271E37" w:rsidP="000923EA">
            <w:pPr>
              <w:rPr>
                <w:b/>
                <w:bCs/>
              </w:rPr>
            </w:pPr>
          </w:p>
        </w:tc>
        <w:tc>
          <w:tcPr>
            <w:tcW w:w="1134" w:type="dxa"/>
            <w:tcBorders>
              <w:top w:val="nil"/>
              <w:bottom w:val="single" w:sz="4" w:space="0" w:color="000000" w:themeColor="text1"/>
            </w:tcBorders>
          </w:tcPr>
          <w:p w14:paraId="09CA71B6" w14:textId="77777777" w:rsidR="00271E37" w:rsidRPr="00673DD0" w:rsidRDefault="00271E37" w:rsidP="000923EA">
            <w:r>
              <w:t>£000</w:t>
            </w:r>
          </w:p>
        </w:tc>
        <w:tc>
          <w:tcPr>
            <w:tcW w:w="1134" w:type="dxa"/>
            <w:tcBorders>
              <w:top w:val="nil"/>
              <w:bottom w:val="single" w:sz="4" w:space="0" w:color="000000" w:themeColor="text1"/>
            </w:tcBorders>
          </w:tcPr>
          <w:p w14:paraId="3678FA9B" w14:textId="77777777" w:rsidR="00271E37" w:rsidRPr="00673DD0" w:rsidRDefault="00271E37" w:rsidP="000923EA">
            <w:r>
              <w:t>£000</w:t>
            </w:r>
          </w:p>
        </w:tc>
        <w:tc>
          <w:tcPr>
            <w:tcW w:w="1134" w:type="dxa"/>
            <w:tcBorders>
              <w:top w:val="nil"/>
              <w:bottom w:val="single" w:sz="4" w:space="0" w:color="000000" w:themeColor="text1"/>
            </w:tcBorders>
          </w:tcPr>
          <w:p w14:paraId="5A32DB95" w14:textId="77777777" w:rsidR="00271E37" w:rsidRPr="00673DD0" w:rsidRDefault="00271E37" w:rsidP="000923EA">
            <w:r>
              <w:t>£000</w:t>
            </w:r>
          </w:p>
        </w:tc>
        <w:tc>
          <w:tcPr>
            <w:tcW w:w="1134" w:type="dxa"/>
            <w:tcBorders>
              <w:top w:val="nil"/>
              <w:bottom w:val="single" w:sz="4" w:space="0" w:color="000000" w:themeColor="text1"/>
            </w:tcBorders>
          </w:tcPr>
          <w:p w14:paraId="6C1EC3B6" w14:textId="77777777" w:rsidR="00271E37" w:rsidRPr="00673DD0" w:rsidRDefault="00271E37" w:rsidP="000923EA">
            <w:r>
              <w:t>£000</w:t>
            </w:r>
          </w:p>
        </w:tc>
        <w:tc>
          <w:tcPr>
            <w:tcW w:w="1134" w:type="dxa"/>
            <w:tcBorders>
              <w:top w:val="nil"/>
              <w:bottom w:val="single" w:sz="4" w:space="0" w:color="000000" w:themeColor="text1"/>
            </w:tcBorders>
          </w:tcPr>
          <w:p w14:paraId="7346FC20" w14:textId="77777777" w:rsidR="00271E37" w:rsidRPr="00673DD0" w:rsidRDefault="00271E37" w:rsidP="000923EA">
            <w:r>
              <w:t>£000</w:t>
            </w:r>
          </w:p>
        </w:tc>
        <w:tc>
          <w:tcPr>
            <w:tcW w:w="1134" w:type="dxa"/>
            <w:tcBorders>
              <w:top w:val="nil"/>
              <w:bottom w:val="single" w:sz="4" w:space="0" w:color="000000" w:themeColor="text1"/>
            </w:tcBorders>
          </w:tcPr>
          <w:p w14:paraId="05433DC2" w14:textId="77777777" w:rsidR="00271E37" w:rsidRPr="00673DD0" w:rsidRDefault="00271E37" w:rsidP="000923EA">
            <w:r>
              <w:t>£000</w:t>
            </w:r>
          </w:p>
        </w:tc>
      </w:tr>
      <w:tr w:rsidR="00271E37" w:rsidRPr="004955F2" w14:paraId="2D64CAD7" w14:textId="77777777">
        <w:tc>
          <w:tcPr>
            <w:tcW w:w="2835" w:type="dxa"/>
            <w:tcBorders>
              <w:top w:val="single" w:sz="4" w:space="0" w:color="000000" w:themeColor="text1"/>
            </w:tcBorders>
          </w:tcPr>
          <w:p w14:paraId="7302F43E" w14:textId="77777777" w:rsidR="00271E37" w:rsidRPr="00673DD0" w:rsidRDefault="00271E37">
            <w:pPr>
              <w:jc w:val="left"/>
              <w:rPr>
                <w:b/>
                <w:bCs/>
              </w:rPr>
            </w:pPr>
            <w:r w:rsidRPr="00673DD0">
              <w:rPr>
                <w:b/>
                <w:bCs/>
              </w:rPr>
              <w:t>Cost</w:t>
            </w:r>
          </w:p>
        </w:tc>
        <w:tc>
          <w:tcPr>
            <w:tcW w:w="1134" w:type="dxa"/>
            <w:tcBorders>
              <w:top w:val="single" w:sz="4" w:space="0" w:color="000000" w:themeColor="text1"/>
            </w:tcBorders>
            <w:vAlign w:val="center"/>
          </w:tcPr>
          <w:p w14:paraId="5360F638" w14:textId="77777777" w:rsidR="00271E37" w:rsidRPr="00673DD0" w:rsidRDefault="00271E37"/>
        </w:tc>
        <w:tc>
          <w:tcPr>
            <w:tcW w:w="1134" w:type="dxa"/>
            <w:tcBorders>
              <w:top w:val="single" w:sz="4" w:space="0" w:color="000000" w:themeColor="text1"/>
            </w:tcBorders>
            <w:vAlign w:val="center"/>
          </w:tcPr>
          <w:p w14:paraId="49D29A62" w14:textId="77777777" w:rsidR="00271E37" w:rsidRPr="00673DD0" w:rsidRDefault="00271E37"/>
        </w:tc>
        <w:tc>
          <w:tcPr>
            <w:tcW w:w="1134" w:type="dxa"/>
            <w:tcBorders>
              <w:top w:val="single" w:sz="4" w:space="0" w:color="000000" w:themeColor="text1"/>
            </w:tcBorders>
            <w:vAlign w:val="center"/>
          </w:tcPr>
          <w:p w14:paraId="2F798BDA" w14:textId="77777777" w:rsidR="00271E37" w:rsidRPr="00673DD0" w:rsidRDefault="00271E37"/>
        </w:tc>
        <w:tc>
          <w:tcPr>
            <w:tcW w:w="1134" w:type="dxa"/>
            <w:tcBorders>
              <w:top w:val="single" w:sz="4" w:space="0" w:color="000000" w:themeColor="text1"/>
            </w:tcBorders>
            <w:vAlign w:val="center"/>
          </w:tcPr>
          <w:p w14:paraId="64F6F366" w14:textId="77777777" w:rsidR="00271E37" w:rsidRPr="00673DD0" w:rsidRDefault="00271E37"/>
        </w:tc>
        <w:tc>
          <w:tcPr>
            <w:tcW w:w="1134" w:type="dxa"/>
            <w:tcBorders>
              <w:top w:val="single" w:sz="4" w:space="0" w:color="000000" w:themeColor="text1"/>
            </w:tcBorders>
            <w:vAlign w:val="center"/>
          </w:tcPr>
          <w:p w14:paraId="70E47BA6" w14:textId="77777777" w:rsidR="00271E37" w:rsidRPr="00673DD0" w:rsidRDefault="00271E37"/>
        </w:tc>
        <w:tc>
          <w:tcPr>
            <w:tcW w:w="1134" w:type="dxa"/>
            <w:tcBorders>
              <w:top w:val="single" w:sz="4" w:space="0" w:color="000000" w:themeColor="text1"/>
            </w:tcBorders>
            <w:vAlign w:val="center"/>
          </w:tcPr>
          <w:p w14:paraId="08688937" w14:textId="77777777" w:rsidR="00271E37" w:rsidRPr="00673DD0" w:rsidRDefault="00271E37"/>
        </w:tc>
      </w:tr>
      <w:tr w:rsidR="00271E37" w:rsidRPr="004955F2" w14:paraId="70B844E2" w14:textId="77777777">
        <w:tc>
          <w:tcPr>
            <w:tcW w:w="2835" w:type="dxa"/>
          </w:tcPr>
          <w:p w14:paraId="0EC65501" w14:textId="441E2D71" w:rsidR="00271E37" w:rsidRPr="00673DD0" w:rsidRDefault="00271E37">
            <w:pPr>
              <w:jc w:val="left"/>
            </w:pPr>
            <w:r w:rsidRPr="00673DD0">
              <w:t>Balance at 1 April 202</w:t>
            </w:r>
            <w:r>
              <w:t>4</w:t>
            </w:r>
          </w:p>
        </w:tc>
        <w:tc>
          <w:tcPr>
            <w:tcW w:w="1134" w:type="dxa"/>
            <w:vAlign w:val="center"/>
          </w:tcPr>
          <w:p w14:paraId="69B7B1FF" w14:textId="77777777" w:rsidR="00271E37" w:rsidRPr="00673DD0" w:rsidRDefault="00271E37">
            <w:r>
              <w:rPr>
                <w:rFonts w:cs="Arial"/>
                <w:color w:val="000000"/>
                <w:szCs w:val="16"/>
              </w:rPr>
              <w:t xml:space="preserve">33,945 </w:t>
            </w:r>
          </w:p>
        </w:tc>
        <w:tc>
          <w:tcPr>
            <w:tcW w:w="1134" w:type="dxa"/>
            <w:vAlign w:val="center"/>
          </w:tcPr>
          <w:p w14:paraId="47346B0A" w14:textId="77777777" w:rsidR="00271E37" w:rsidRPr="00673DD0" w:rsidRDefault="00271E37">
            <w:r>
              <w:rPr>
                <w:rFonts w:cs="Arial"/>
                <w:color w:val="000000"/>
                <w:szCs w:val="16"/>
              </w:rPr>
              <w:t xml:space="preserve">4,476 </w:t>
            </w:r>
          </w:p>
        </w:tc>
        <w:tc>
          <w:tcPr>
            <w:tcW w:w="1134" w:type="dxa"/>
            <w:vAlign w:val="center"/>
          </w:tcPr>
          <w:p w14:paraId="40FB2B96" w14:textId="77777777" w:rsidR="00271E37" w:rsidRPr="00673DD0" w:rsidRDefault="00271E37">
            <w:r>
              <w:rPr>
                <w:rFonts w:cs="Arial"/>
                <w:color w:val="000000"/>
                <w:szCs w:val="16"/>
              </w:rPr>
              <w:t xml:space="preserve">96,439 </w:t>
            </w:r>
          </w:p>
        </w:tc>
        <w:tc>
          <w:tcPr>
            <w:tcW w:w="1134" w:type="dxa"/>
            <w:vAlign w:val="center"/>
          </w:tcPr>
          <w:p w14:paraId="7EC3E1DF" w14:textId="77777777" w:rsidR="00271E37" w:rsidRPr="00673DD0" w:rsidRDefault="00271E37">
            <w:r>
              <w:rPr>
                <w:rFonts w:cs="Arial"/>
                <w:color w:val="000000"/>
                <w:szCs w:val="16"/>
              </w:rPr>
              <w:t xml:space="preserve">5,489 </w:t>
            </w:r>
          </w:p>
        </w:tc>
        <w:tc>
          <w:tcPr>
            <w:tcW w:w="1134" w:type="dxa"/>
            <w:vAlign w:val="center"/>
          </w:tcPr>
          <w:p w14:paraId="3BBD13AF" w14:textId="77777777" w:rsidR="00271E37" w:rsidRPr="00673DD0" w:rsidRDefault="00271E37">
            <w:r>
              <w:rPr>
                <w:rFonts w:cs="Arial"/>
                <w:color w:val="000000"/>
                <w:szCs w:val="16"/>
              </w:rPr>
              <w:t xml:space="preserve">1,892 </w:t>
            </w:r>
          </w:p>
        </w:tc>
        <w:tc>
          <w:tcPr>
            <w:tcW w:w="1134" w:type="dxa"/>
            <w:vAlign w:val="center"/>
          </w:tcPr>
          <w:p w14:paraId="5FA8FB29" w14:textId="77777777" w:rsidR="00271E37" w:rsidRPr="00673DD0" w:rsidRDefault="00271E37">
            <w:r>
              <w:rPr>
                <w:rFonts w:cs="Arial"/>
                <w:color w:val="000000"/>
                <w:szCs w:val="16"/>
              </w:rPr>
              <w:t xml:space="preserve">142,241 </w:t>
            </w:r>
          </w:p>
        </w:tc>
      </w:tr>
      <w:tr w:rsidR="00271E37" w:rsidRPr="004955F2" w14:paraId="4608477E" w14:textId="77777777">
        <w:tc>
          <w:tcPr>
            <w:tcW w:w="2835" w:type="dxa"/>
          </w:tcPr>
          <w:p w14:paraId="68378F01" w14:textId="77777777" w:rsidR="00271E37" w:rsidRPr="00673DD0" w:rsidRDefault="00271E37">
            <w:pPr>
              <w:jc w:val="left"/>
            </w:pPr>
            <w:r w:rsidRPr="00673DD0">
              <w:t>Additions</w:t>
            </w:r>
          </w:p>
        </w:tc>
        <w:tc>
          <w:tcPr>
            <w:tcW w:w="1134" w:type="dxa"/>
            <w:vAlign w:val="center"/>
          </w:tcPr>
          <w:p w14:paraId="367611C6" w14:textId="77777777" w:rsidR="00271E37" w:rsidRPr="00673DD0" w:rsidRDefault="00271E37">
            <w:r>
              <w:rPr>
                <w:rFonts w:cs="Arial"/>
                <w:color w:val="000000"/>
                <w:szCs w:val="16"/>
              </w:rPr>
              <w:t xml:space="preserve">207 </w:t>
            </w:r>
          </w:p>
        </w:tc>
        <w:tc>
          <w:tcPr>
            <w:tcW w:w="1134" w:type="dxa"/>
            <w:vAlign w:val="center"/>
          </w:tcPr>
          <w:p w14:paraId="6A94AECC" w14:textId="77777777" w:rsidR="00271E37" w:rsidRPr="00673DD0" w:rsidRDefault="00271E37">
            <w:r>
              <w:rPr>
                <w:rFonts w:cs="Arial"/>
                <w:color w:val="000000"/>
                <w:szCs w:val="16"/>
              </w:rPr>
              <w:t xml:space="preserve">67 </w:t>
            </w:r>
          </w:p>
        </w:tc>
        <w:tc>
          <w:tcPr>
            <w:tcW w:w="1134" w:type="dxa"/>
            <w:vAlign w:val="center"/>
          </w:tcPr>
          <w:p w14:paraId="6502A817" w14:textId="77777777" w:rsidR="00271E37" w:rsidRPr="00673DD0" w:rsidRDefault="00271E37">
            <w:r>
              <w:rPr>
                <w:rFonts w:cs="Arial"/>
                <w:color w:val="000000"/>
                <w:szCs w:val="16"/>
              </w:rPr>
              <w:t xml:space="preserve">4,113 </w:t>
            </w:r>
          </w:p>
        </w:tc>
        <w:tc>
          <w:tcPr>
            <w:tcW w:w="1134" w:type="dxa"/>
            <w:vAlign w:val="center"/>
          </w:tcPr>
          <w:p w14:paraId="31F76E58" w14:textId="77777777" w:rsidR="00271E37" w:rsidRPr="00673DD0" w:rsidRDefault="00271E37">
            <w:r>
              <w:rPr>
                <w:rFonts w:cs="Arial"/>
                <w:color w:val="000000"/>
                <w:szCs w:val="16"/>
              </w:rPr>
              <w:t xml:space="preserve">386 </w:t>
            </w:r>
          </w:p>
        </w:tc>
        <w:tc>
          <w:tcPr>
            <w:tcW w:w="1134" w:type="dxa"/>
            <w:vAlign w:val="center"/>
          </w:tcPr>
          <w:p w14:paraId="7C5106B3" w14:textId="77777777" w:rsidR="00271E37" w:rsidRPr="00673DD0" w:rsidRDefault="00271E37">
            <w:r>
              <w:rPr>
                <w:rFonts w:cs="Arial"/>
                <w:color w:val="000000"/>
                <w:szCs w:val="16"/>
              </w:rPr>
              <w:t xml:space="preserve">72 </w:t>
            </w:r>
          </w:p>
        </w:tc>
        <w:tc>
          <w:tcPr>
            <w:tcW w:w="1134" w:type="dxa"/>
            <w:vAlign w:val="center"/>
          </w:tcPr>
          <w:p w14:paraId="4B7AEDF9" w14:textId="77777777" w:rsidR="00271E37" w:rsidRPr="00673DD0" w:rsidRDefault="00271E37">
            <w:r>
              <w:rPr>
                <w:rFonts w:cs="Arial"/>
                <w:color w:val="000000"/>
                <w:szCs w:val="16"/>
              </w:rPr>
              <w:t xml:space="preserve">4,845 </w:t>
            </w:r>
          </w:p>
        </w:tc>
      </w:tr>
      <w:tr w:rsidR="00271E37" w:rsidRPr="004955F2" w14:paraId="5FC37BE6" w14:textId="77777777">
        <w:tc>
          <w:tcPr>
            <w:tcW w:w="2835" w:type="dxa"/>
          </w:tcPr>
          <w:p w14:paraId="46AB850A" w14:textId="77777777" w:rsidR="00271E37" w:rsidRPr="00673DD0" w:rsidRDefault="00271E37">
            <w:pPr>
              <w:jc w:val="left"/>
            </w:pPr>
            <w:r w:rsidRPr="00673DD0">
              <w:t>Transfer to assets held for sale</w:t>
            </w:r>
          </w:p>
        </w:tc>
        <w:tc>
          <w:tcPr>
            <w:tcW w:w="1134" w:type="dxa"/>
            <w:vAlign w:val="center"/>
          </w:tcPr>
          <w:p w14:paraId="3D1BA96C" w14:textId="77777777" w:rsidR="00271E37" w:rsidRPr="00673DD0" w:rsidRDefault="00271E37">
            <w:r>
              <w:rPr>
                <w:rFonts w:cs="Arial"/>
                <w:color w:val="000000"/>
                <w:szCs w:val="16"/>
              </w:rPr>
              <w:t>(2,765)</w:t>
            </w:r>
          </w:p>
        </w:tc>
        <w:tc>
          <w:tcPr>
            <w:tcW w:w="1134" w:type="dxa"/>
            <w:vAlign w:val="center"/>
          </w:tcPr>
          <w:p w14:paraId="693F7770" w14:textId="77777777" w:rsidR="00271E37" w:rsidRPr="00673DD0" w:rsidRDefault="00271E37">
            <w:r>
              <w:rPr>
                <w:rFonts w:cs="Arial"/>
                <w:color w:val="000000"/>
                <w:szCs w:val="16"/>
              </w:rPr>
              <w:t>(1,329)</w:t>
            </w:r>
          </w:p>
        </w:tc>
        <w:tc>
          <w:tcPr>
            <w:tcW w:w="1134" w:type="dxa"/>
            <w:vAlign w:val="center"/>
          </w:tcPr>
          <w:p w14:paraId="42D5F069" w14:textId="77777777" w:rsidR="00271E37" w:rsidRPr="00673DD0" w:rsidRDefault="00271E37">
            <w:r>
              <w:rPr>
                <w:rFonts w:cs="Arial"/>
                <w:color w:val="000000"/>
                <w:szCs w:val="16"/>
              </w:rPr>
              <w:t>(9,784)</w:t>
            </w:r>
          </w:p>
        </w:tc>
        <w:tc>
          <w:tcPr>
            <w:tcW w:w="1134" w:type="dxa"/>
            <w:vAlign w:val="center"/>
          </w:tcPr>
          <w:p w14:paraId="2474B520" w14:textId="77777777" w:rsidR="00271E37" w:rsidRPr="00673DD0" w:rsidRDefault="00271E37">
            <w:r>
              <w:rPr>
                <w:rFonts w:cs="Arial"/>
                <w:color w:val="000000"/>
                <w:szCs w:val="16"/>
              </w:rPr>
              <w:t>(652)</w:t>
            </w:r>
          </w:p>
        </w:tc>
        <w:tc>
          <w:tcPr>
            <w:tcW w:w="1134" w:type="dxa"/>
            <w:vAlign w:val="center"/>
          </w:tcPr>
          <w:p w14:paraId="2C556352" w14:textId="77777777" w:rsidR="00271E37" w:rsidRPr="00673DD0" w:rsidRDefault="00271E37">
            <w:r>
              <w:rPr>
                <w:rFonts w:cs="Arial"/>
                <w:color w:val="000000"/>
                <w:szCs w:val="16"/>
              </w:rPr>
              <w:t>(182)</w:t>
            </w:r>
          </w:p>
        </w:tc>
        <w:tc>
          <w:tcPr>
            <w:tcW w:w="1134" w:type="dxa"/>
            <w:vAlign w:val="center"/>
          </w:tcPr>
          <w:p w14:paraId="62CFFA55" w14:textId="77777777" w:rsidR="00271E37" w:rsidRPr="00673DD0" w:rsidRDefault="00271E37">
            <w:r>
              <w:rPr>
                <w:rFonts w:cs="Arial"/>
                <w:color w:val="000000"/>
                <w:szCs w:val="16"/>
              </w:rPr>
              <w:t>(14,712)</w:t>
            </w:r>
          </w:p>
        </w:tc>
      </w:tr>
      <w:tr w:rsidR="00271E37" w:rsidRPr="004955F2" w14:paraId="1528AC64" w14:textId="77777777">
        <w:tc>
          <w:tcPr>
            <w:tcW w:w="2835" w:type="dxa"/>
          </w:tcPr>
          <w:p w14:paraId="69750B68" w14:textId="77777777" w:rsidR="00271E37" w:rsidRPr="00673DD0" w:rsidRDefault="00271E37">
            <w:pPr>
              <w:jc w:val="left"/>
            </w:pPr>
            <w:r>
              <w:t>Transfer to intangible assets</w:t>
            </w:r>
          </w:p>
        </w:tc>
        <w:tc>
          <w:tcPr>
            <w:tcW w:w="1134" w:type="dxa"/>
            <w:vAlign w:val="center"/>
          </w:tcPr>
          <w:p w14:paraId="4A43815A" w14:textId="77777777" w:rsidR="00271E37" w:rsidRDefault="00271E37">
            <w:pPr>
              <w:rPr>
                <w:rFonts w:cs="Arial"/>
                <w:color w:val="000000"/>
                <w:szCs w:val="16"/>
              </w:rPr>
            </w:pPr>
            <w:r>
              <w:rPr>
                <w:rFonts w:cs="Arial"/>
                <w:color w:val="000000"/>
                <w:szCs w:val="16"/>
              </w:rPr>
              <w:t xml:space="preserve"> - </w:t>
            </w:r>
          </w:p>
        </w:tc>
        <w:tc>
          <w:tcPr>
            <w:tcW w:w="1134" w:type="dxa"/>
            <w:vAlign w:val="center"/>
          </w:tcPr>
          <w:p w14:paraId="1AC63B1B" w14:textId="77777777" w:rsidR="00271E37" w:rsidRDefault="00271E37">
            <w:pPr>
              <w:rPr>
                <w:rFonts w:cs="Arial"/>
                <w:color w:val="000000"/>
                <w:szCs w:val="16"/>
              </w:rPr>
            </w:pPr>
            <w:r>
              <w:rPr>
                <w:rFonts w:cs="Arial"/>
                <w:color w:val="000000"/>
                <w:szCs w:val="16"/>
              </w:rPr>
              <w:t xml:space="preserve"> - </w:t>
            </w:r>
          </w:p>
        </w:tc>
        <w:tc>
          <w:tcPr>
            <w:tcW w:w="1134" w:type="dxa"/>
            <w:vAlign w:val="center"/>
          </w:tcPr>
          <w:p w14:paraId="41D63361" w14:textId="77777777" w:rsidR="00271E37" w:rsidRDefault="00271E37">
            <w:pPr>
              <w:rPr>
                <w:rFonts w:cs="Arial"/>
                <w:color w:val="000000"/>
                <w:szCs w:val="16"/>
              </w:rPr>
            </w:pPr>
            <w:r>
              <w:rPr>
                <w:rFonts w:cs="Arial"/>
                <w:color w:val="000000"/>
                <w:szCs w:val="16"/>
              </w:rPr>
              <w:t>(360)</w:t>
            </w:r>
          </w:p>
        </w:tc>
        <w:tc>
          <w:tcPr>
            <w:tcW w:w="1134" w:type="dxa"/>
            <w:vAlign w:val="center"/>
          </w:tcPr>
          <w:p w14:paraId="517DEF65" w14:textId="77777777" w:rsidR="00271E37" w:rsidRDefault="00271E37">
            <w:pPr>
              <w:rPr>
                <w:rFonts w:cs="Arial"/>
                <w:color w:val="000000"/>
                <w:szCs w:val="16"/>
              </w:rPr>
            </w:pPr>
            <w:r>
              <w:rPr>
                <w:rFonts w:cs="Arial"/>
                <w:color w:val="000000"/>
                <w:szCs w:val="16"/>
              </w:rPr>
              <w:t xml:space="preserve"> - </w:t>
            </w:r>
          </w:p>
        </w:tc>
        <w:tc>
          <w:tcPr>
            <w:tcW w:w="1134" w:type="dxa"/>
            <w:vAlign w:val="center"/>
          </w:tcPr>
          <w:p w14:paraId="6755E9C1" w14:textId="77777777" w:rsidR="00271E37" w:rsidRDefault="00271E37">
            <w:pPr>
              <w:rPr>
                <w:rFonts w:cs="Arial"/>
                <w:color w:val="000000"/>
                <w:szCs w:val="16"/>
              </w:rPr>
            </w:pPr>
            <w:r>
              <w:rPr>
                <w:rFonts w:cs="Arial"/>
                <w:color w:val="000000"/>
                <w:szCs w:val="16"/>
              </w:rPr>
              <w:t xml:space="preserve"> - </w:t>
            </w:r>
          </w:p>
        </w:tc>
        <w:tc>
          <w:tcPr>
            <w:tcW w:w="1134" w:type="dxa"/>
            <w:vAlign w:val="center"/>
          </w:tcPr>
          <w:p w14:paraId="65F578D0" w14:textId="77777777" w:rsidR="00271E37" w:rsidRDefault="00271E37">
            <w:pPr>
              <w:rPr>
                <w:rFonts w:cs="Arial"/>
                <w:color w:val="000000"/>
                <w:szCs w:val="16"/>
              </w:rPr>
            </w:pPr>
            <w:r>
              <w:rPr>
                <w:rFonts w:cs="Arial"/>
                <w:color w:val="000000"/>
                <w:szCs w:val="16"/>
              </w:rPr>
              <w:t>(360)</w:t>
            </w:r>
          </w:p>
        </w:tc>
      </w:tr>
      <w:tr w:rsidR="00271E37" w:rsidRPr="004955F2" w14:paraId="1856E56C" w14:textId="77777777">
        <w:tc>
          <w:tcPr>
            <w:tcW w:w="2835" w:type="dxa"/>
          </w:tcPr>
          <w:p w14:paraId="546A3039" w14:textId="77777777" w:rsidR="00271E37" w:rsidRPr="00673DD0" w:rsidRDefault="00271E37">
            <w:pPr>
              <w:jc w:val="left"/>
            </w:pPr>
            <w:r w:rsidRPr="00673DD0">
              <w:t>Disposals</w:t>
            </w:r>
          </w:p>
        </w:tc>
        <w:tc>
          <w:tcPr>
            <w:tcW w:w="1134" w:type="dxa"/>
            <w:vAlign w:val="center"/>
          </w:tcPr>
          <w:p w14:paraId="08C8E7E2" w14:textId="77777777" w:rsidR="00271E37" w:rsidRPr="00673DD0" w:rsidRDefault="00271E37">
            <w:r>
              <w:rPr>
                <w:rFonts w:cs="Arial"/>
                <w:color w:val="000000"/>
                <w:szCs w:val="16"/>
              </w:rPr>
              <w:t>(592)</w:t>
            </w:r>
          </w:p>
        </w:tc>
        <w:tc>
          <w:tcPr>
            <w:tcW w:w="1134" w:type="dxa"/>
            <w:vAlign w:val="center"/>
          </w:tcPr>
          <w:p w14:paraId="1E746F2B" w14:textId="77777777" w:rsidR="00271E37" w:rsidRPr="00673DD0" w:rsidRDefault="00271E37">
            <w:r>
              <w:rPr>
                <w:rFonts w:cs="Arial"/>
                <w:color w:val="000000"/>
                <w:szCs w:val="16"/>
              </w:rPr>
              <w:t>(527)</w:t>
            </w:r>
          </w:p>
        </w:tc>
        <w:tc>
          <w:tcPr>
            <w:tcW w:w="1134" w:type="dxa"/>
            <w:vAlign w:val="center"/>
          </w:tcPr>
          <w:p w14:paraId="73D98295" w14:textId="77777777" w:rsidR="00271E37" w:rsidRPr="00673DD0" w:rsidRDefault="00271E37">
            <w:r>
              <w:rPr>
                <w:rFonts w:cs="Arial"/>
                <w:color w:val="000000"/>
                <w:szCs w:val="16"/>
              </w:rPr>
              <w:t>(1,680)</w:t>
            </w:r>
          </w:p>
        </w:tc>
        <w:tc>
          <w:tcPr>
            <w:tcW w:w="1134" w:type="dxa"/>
            <w:vAlign w:val="center"/>
          </w:tcPr>
          <w:p w14:paraId="7A7396A5" w14:textId="77777777" w:rsidR="00271E37" w:rsidRPr="00673DD0" w:rsidRDefault="00271E37">
            <w:r>
              <w:rPr>
                <w:rFonts w:cs="Arial"/>
                <w:color w:val="000000"/>
                <w:szCs w:val="16"/>
              </w:rPr>
              <w:t>(277)</w:t>
            </w:r>
          </w:p>
        </w:tc>
        <w:tc>
          <w:tcPr>
            <w:tcW w:w="1134" w:type="dxa"/>
            <w:vAlign w:val="center"/>
          </w:tcPr>
          <w:p w14:paraId="3F673659" w14:textId="77777777" w:rsidR="00271E37" w:rsidRPr="00673DD0" w:rsidRDefault="00271E37">
            <w:r>
              <w:rPr>
                <w:rFonts w:cs="Arial"/>
                <w:color w:val="000000"/>
                <w:szCs w:val="16"/>
              </w:rPr>
              <w:t>(145)</w:t>
            </w:r>
          </w:p>
        </w:tc>
        <w:tc>
          <w:tcPr>
            <w:tcW w:w="1134" w:type="dxa"/>
            <w:vAlign w:val="center"/>
          </w:tcPr>
          <w:p w14:paraId="759CB84A" w14:textId="77777777" w:rsidR="00271E37" w:rsidRPr="00673DD0" w:rsidRDefault="00271E37">
            <w:r>
              <w:rPr>
                <w:rFonts w:cs="Arial"/>
                <w:color w:val="000000"/>
                <w:szCs w:val="16"/>
              </w:rPr>
              <w:t>(3,221)</w:t>
            </w:r>
          </w:p>
        </w:tc>
      </w:tr>
      <w:tr w:rsidR="00271E37" w:rsidRPr="004955F2" w14:paraId="2E673F43" w14:textId="77777777">
        <w:tc>
          <w:tcPr>
            <w:tcW w:w="2835" w:type="dxa"/>
            <w:tcBorders>
              <w:bottom w:val="single" w:sz="4" w:space="0" w:color="000000" w:themeColor="text1"/>
            </w:tcBorders>
          </w:tcPr>
          <w:p w14:paraId="58AC217F" w14:textId="77777777" w:rsidR="00271E37" w:rsidRPr="00673DD0" w:rsidRDefault="00271E37">
            <w:pPr>
              <w:jc w:val="left"/>
            </w:pPr>
            <w:r w:rsidRPr="00673DD0">
              <w:t>Effect of movements in foreign exchange</w:t>
            </w:r>
          </w:p>
        </w:tc>
        <w:tc>
          <w:tcPr>
            <w:tcW w:w="1134" w:type="dxa"/>
            <w:tcBorders>
              <w:bottom w:val="single" w:sz="4" w:space="0" w:color="000000" w:themeColor="text1"/>
            </w:tcBorders>
            <w:vAlign w:val="center"/>
          </w:tcPr>
          <w:p w14:paraId="5E8DE6FE" w14:textId="77777777" w:rsidR="00271E37" w:rsidRPr="00673DD0" w:rsidRDefault="00271E37">
            <w:r>
              <w:rPr>
                <w:rFonts w:cs="Arial"/>
                <w:color w:val="000000"/>
                <w:szCs w:val="16"/>
              </w:rPr>
              <w:t>(605)</w:t>
            </w:r>
          </w:p>
        </w:tc>
        <w:tc>
          <w:tcPr>
            <w:tcW w:w="1134" w:type="dxa"/>
            <w:tcBorders>
              <w:bottom w:val="single" w:sz="4" w:space="0" w:color="000000" w:themeColor="text1"/>
            </w:tcBorders>
            <w:vAlign w:val="center"/>
          </w:tcPr>
          <w:p w14:paraId="04E380A9" w14:textId="77777777" w:rsidR="00271E37" w:rsidRPr="00673DD0" w:rsidRDefault="00271E37">
            <w:r>
              <w:rPr>
                <w:rFonts w:cs="Arial"/>
                <w:color w:val="000000"/>
                <w:szCs w:val="16"/>
              </w:rPr>
              <w:t>(78)</w:t>
            </w:r>
          </w:p>
        </w:tc>
        <w:tc>
          <w:tcPr>
            <w:tcW w:w="1134" w:type="dxa"/>
            <w:tcBorders>
              <w:bottom w:val="single" w:sz="4" w:space="0" w:color="000000" w:themeColor="text1"/>
            </w:tcBorders>
            <w:vAlign w:val="center"/>
          </w:tcPr>
          <w:p w14:paraId="26CB7377" w14:textId="77777777" w:rsidR="00271E37" w:rsidRPr="00673DD0" w:rsidRDefault="00271E37">
            <w:r>
              <w:rPr>
                <w:rFonts w:cs="Arial"/>
                <w:color w:val="000000"/>
                <w:szCs w:val="16"/>
              </w:rPr>
              <w:t>(1,681)</w:t>
            </w:r>
          </w:p>
        </w:tc>
        <w:tc>
          <w:tcPr>
            <w:tcW w:w="1134" w:type="dxa"/>
            <w:tcBorders>
              <w:bottom w:val="single" w:sz="4" w:space="0" w:color="000000" w:themeColor="text1"/>
            </w:tcBorders>
            <w:vAlign w:val="center"/>
          </w:tcPr>
          <w:p w14:paraId="66196C2D" w14:textId="77777777" w:rsidR="00271E37" w:rsidRPr="00673DD0" w:rsidRDefault="00271E37">
            <w:r>
              <w:rPr>
                <w:rFonts w:cs="Arial"/>
                <w:color w:val="000000"/>
                <w:szCs w:val="16"/>
              </w:rPr>
              <w:t>(71)</w:t>
            </w:r>
          </w:p>
        </w:tc>
        <w:tc>
          <w:tcPr>
            <w:tcW w:w="1134" w:type="dxa"/>
            <w:tcBorders>
              <w:bottom w:val="single" w:sz="4" w:space="0" w:color="000000" w:themeColor="text1"/>
            </w:tcBorders>
            <w:vAlign w:val="center"/>
          </w:tcPr>
          <w:p w14:paraId="7857F347" w14:textId="77777777" w:rsidR="00271E37" w:rsidRPr="00673DD0" w:rsidRDefault="00271E37">
            <w:r>
              <w:rPr>
                <w:rFonts w:cs="Arial"/>
                <w:color w:val="000000"/>
                <w:szCs w:val="16"/>
              </w:rPr>
              <w:t>(61)</w:t>
            </w:r>
          </w:p>
        </w:tc>
        <w:tc>
          <w:tcPr>
            <w:tcW w:w="1134" w:type="dxa"/>
            <w:tcBorders>
              <w:bottom w:val="single" w:sz="4" w:space="0" w:color="000000" w:themeColor="text1"/>
            </w:tcBorders>
            <w:vAlign w:val="center"/>
          </w:tcPr>
          <w:p w14:paraId="611CF170" w14:textId="77777777" w:rsidR="00271E37" w:rsidRPr="00673DD0" w:rsidRDefault="00271E37">
            <w:r>
              <w:rPr>
                <w:rFonts w:cs="Arial"/>
                <w:color w:val="000000"/>
                <w:szCs w:val="16"/>
              </w:rPr>
              <w:t>(2,496)</w:t>
            </w:r>
          </w:p>
        </w:tc>
      </w:tr>
      <w:tr w:rsidR="00271E37" w:rsidRPr="004955F2" w14:paraId="0B4BF40E" w14:textId="77777777">
        <w:tc>
          <w:tcPr>
            <w:tcW w:w="2835" w:type="dxa"/>
            <w:tcBorders>
              <w:top w:val="single" w:sz="4" w:space="0" w:color="000000" w:themeColor="text1"/>
            </w:tcBorders>
          </w:tcPr>
          <w:p w14:paraId="49F2C48E" w14:textId="77777777" w:rsidR="00271E37" w:rsidRPr="00673DD0" w:rsidRDefault="00271E37">
            <w:pPr>
              <w:jc w:val="left"/>
            </w:pPr>
            <w:r w:rsidRPr="00673DD0">
              <w:t>Balance at 31 March 202</w:t>
            </w:r>
            <w:r>
              <w:t>5</w:t>
            </w:r>
          </w:p>
        </w:tc>
        <w:tc>
          <w:tcPr>
            <w:tcW w:w="1134" w:type="dxa"/>
            <w:tcBorders>
              <w:top w:val="single" w:sz="4" w:space="0" w:color="000000" w:themeColor="text1"/>
            </w:tcBorders>
            <w:vAlign w:val="center"/>
          </w:tcPr>
          <w:p w14:paraId="016B65EA" w14:textId="77777777" w:rsidR="00271E37" w:rsidRPr="00673DD0" w:rsidRDefault="00271E37">
            <w:r>
              <w:rPr>
                <w:rFonts w:cs="Arial"/>
                <w:color w:val="000000"/>
                <w:szCs w:val="16"/>
              </w:rPr>
              <w:t xml:space="preserve">30,190 </w:t>
            </w:r>
          </w:p>
        </w:tc>
        <w:tc>
          <w:tcPr>
            <w:tcW w:w="1134" w:type="dxa"/>
            <w:tcBorders>
              <w:top w:val="single" w:sz="4" w:space="0" w:color="000000" w:themeColor="text1"/>
            </w:tcBorders>
            <w:vAlign w:val="center"/>
          </w:tcPr>
          <w:p w14:paraId="10316BD2" w14:textId="77777777" w:rsidR="00271E37" w:rsidRPr="00673DD0" w:rsidRDefault="00271E37">
            <w:r>
              <w:rPr>
                <w:rFonts w:cs="Arial"/>
                <w:color w:val="000000"/>
                <w:szCs w:val="16"/>
              </w:rPr>
              <w:t xml:space="preserve">2,609 </w:t>
            </w:r>
          </w:p>
        </w:tc>
        <w:tc>
          <w:tcPr>
            <w:tcW w:w="1134" w:type="dxa"/>
            <w:tcBorders>
              <w:top w:val="single" w:sz="4" w:space="0" w:color="000000" w:themeColor="text1"/>
            </w:tcBorders>
            <w:vAlign w:val="center"/>
          </w:tcPr>
          <w:p w14:paraId="53021867" w14:textId="77777777" w:rsidR="00271E37" w:rsidRPr="00673DD0" w:rsidRDefault="00271E37">
            <w:r>
              <w:rPr>
                <w:rFonts w:cs="Arial"/>
                <w:color w:val="000000"/>
                <w:szCs w:val="16"/>
              </w:rPr>
              <w:t xml:space="preserve">87,047 </w:t>
            </w:r>
          </w:p>
        </w:tc>
        <w:tc>
          <w:tcPr>
            <w:tcW w:w="1134" w:type="dxa"/>
            <w:tcBorders>
              <w:top w:val="single" w:sz="4" w:space="0" w:color="000000" w:themeColor="text1"/>
            </w:tcBorders>
            <w:vAlign w:val="center"/>
          </w:tcPr>
          <w:p w14:paraId="126F06D8" w14:textId="77777777" w:rsidR="00271E37" w:rsidRPr="00673DD0" w:rsidRDefault="00271E37">
            <w:r>
              <w:rPr>
                <w:rFonts w:cs="Arial"/>
                <w:color w:val="000000"/>
                <w:szCs w:val="16"/>
              </w:rPr>
              <w:t xml:space="preserve">4,875 </w:t>
            </w:r>
          </w:p>
        </w:tc>
        <w:tc>
          <w:tcPr>
            <w:tcW w:w="1134" w:type="dxa"/>
            <w:tcBorders>
              <w:top w:val="single" w:sz="4" w:space="0" w:color="000000" w:themeColor="text1"/>
            </w:tcBorders>
            <w:vAlign w:val="center"/>
          </w:tcPr>
          <w:p w14:paraId="486638FA" w14:textId="77777777" w:rsidR="00271E37" w:rsidRPr="00673DD0" w:rsidRDefault="00271E37">
            <w:r>
              <w:rPr>
                <w:rFonts w:cs="Arial"/>
                <w:color w:val="000000"/>
                <w:szCs w:val="16"/>
              </w:rPr>
              <w:t xml:space="preserve">1,576 </w:t>
            </w:r>
          </w:p>
        </w:tc>
        <w:tc>
          <w:tcPr>
            <w:tcW w:w="1134" w:type="dxa"/>
            <w:tcBorders>
              <w:top w:val="single" w:sz="4" w:space="0" w:color="000000" w:themeColor="text1"/>
            </w:tcBorders>
            <w:vAlign w:val="center"/>
          </w:tcPr>
          <w:p w14:paraId="14A4A49E" w14:textId="77777777" w:rsidR="00271E37" w:rsidRPr="00673DD0" w:rsidRDefault="00271E37">
            <w:r>
              <w:rPr>
                <w:rFonts w:cs="Arial"/>
                <w:color w:val="000000"/>
                <w:szCs w:val="16"/>
              </w:rPr>
              <w:t xml:space="preserve">126,297 </w:t>
            </w:r>
          </w:p>
        </w:tc>
      </w:tr>
      <w:tr w:rsidR="00271E37" w:rsidRPr="004955F2" w14:paraId="661B6B69" w14:textId="77777777">
        <w:tc>
          <w:tcPr>
            <w:tcW w:w="2835" w:type="dxa"/>
          </w:tcPr>
          <w:p w14:paraId="7BDE6877" w14:textId="77777777" w:rsidR="00271E37" w:rsidRPr="00673DD0" w:rsidRDefault="00271E37">
            <w:pPr>
              <w:jc w:val="left"/>
            </w:pPr>
            <w:r w:rsidRPr="00673DD0">
              <w:t>Additions</w:t>
            </w:r>
          </w:p>
        </w:tc>
        <w:tc>
          <w:tcPr>
            <w:tcW w:w="1134" w:type="dxa"/>
            <w:vAlign w:val="center"/>
          </w:tcPr>
          <w:p w14:paraId="1E5AA3F4" w14:textId="77777777" w:rsidR="00271E37" w:rsidRPr="004028AB" w:rsidRDefault="00271E37">
            <w:pPr>
              <w:rPr>
                <w:b/>
                <w:bCs/>
              </w:rPr>
            </w:pPr>
            <w:r>
              <w:rPr>
                <w:rFonts w:cs="Arial"/>
                <w:color w:val="000000"/>
                <w:szCs w:val="16"/>
              </w:rPr>
              <w:t xml:space="preserve">230 </w:t>
            </w:r>
          </w:p>
        </w:tc>
        <w:tc>
          <w:tcPr>
            <w:tcW w:w="1134" w:type="dxa"/>
            <w:vAlign w:val="center"/>
          </w:tcPr>
          <w:p w14:paraId="165091E6" w14:textId="77777777" w:rsidR="00271E37" w:rsidRPr="004028AB" w:rsidRDefault="00271E37">
            <w:pPr>
              <w:rPr>
                <w:b/>
                <w:bCs/>
              </w:rPr>
            </w:pPr>
            <w:r>
              <w:rPr>
                <w:rFonts w:cs="Arial"/>
                <w:color w:val="000000"/>
                <w:szCs w:val="16"/>
              </w:rPr>
              <w:t xml:space="preserve">70 </w:t>
            </w:r>
          </w:p>
        </w:tc>
        <w:tc>
          <w:tcPr>
            <w:tcW w:w="1134" w:type="dxa"/>
            <w:vAlign w:val="center"/>
          </w:tcPr>
          <w:p w14:paraId="2BF9D842" w14:textId="77777777" w:rsidR="00271E37" w:rsidRPr="004028AB" w:rsidRDefault="00271E37">
            <w:pPr>
              <w:rPr>
                <w:b/>
                <w:bCs/>
              </w:rPr>
            </w:pPr>
            <w:r>
              <w:rPr>
                <w:rFonts w:cs="Arial"/>
                <w:color w:val="000000"/>
                <w:szCs w:val="16"/>
              </w:rPr>
              <w:t xml:space="preserve">2,070 </w:t>
            </w:r>
          </w:p>
        </w:tc>
        <w:tc>
          <w:tcPr>
            <w:tcW w:w="1134" w:type="dxa"/>
            <w:vAlign w:val="center"/>
          </w:tcPr>
          <w:p w14:paraId="2AEA1C31" w14:textId="77777777" w:rsidR="00271E37" w:rsidRPr="004028AB" w:rsidRDefault="00271E37">
            <w:pPr>
              <w:rPr>
                <w:b/>
                <w:bCs/>
              </w:rPr>
            </w:pPr>
            <w:r>
              <w:rPr>
                <w:rFonts w:cs="Arial"/>
                <w:color w:val="000000"/>
                <w:szCs w:val="16"/>
              </w:rPr>
              <w:t xml:space="preserve">249 </w:t>
            </w:r>
          </w:p>
        </w:tc>
        <w:tc>
          <w:tcPr>
            <w:tcW w:w="1134" w:type="dxa"/>
            <w:vAlign w:val="center"/>
          </w:tcPr>
          <w:p w14:paraId="724850D3" w14:textId="77777777" w:rsidR="00271E37" w:rsidRPr="004028AB" w:rsidRDefault="00271E37">
            <w:pPr>
              <w:rPr>
                <w:b/>
                <w:bCs/>
              </w:rPr>
            </w:pPr>
            <w:r>
              <w:rPr>
                <w:rFonts w:cs="Arial"/>
                <w:color w:val="000000"/>
                <w:szCs w:val="16"/>
              </w:rPr>
              <w:t xml:space="preserve">53 </w:t>
            </w:r>
          </w:p>
        </w:tc>
        <w:tc>
          <w:tcPr>
            <w:tcW w:w="1134" w:type="dxa"/>
            <w:vAlign w:val="center"/>
          </w:tcPr>
          <w:p w14:paraId="5B51A45D" w14:textId="77777777" w:rsidR="00271E37" w:rsidRPr="004028AB" w:rsidRDefault="00271E37">
            <w:pPr>
              <w:rPr>
                <w:b/>
                <w:bCs/>
              </w:rPr>
            </w:pPr>
            <w:r>
              <w:rPr>
                <w:rFonts w:cs="Arial"/>
                <w:color w:val="000000"/>
                <w:szCs w:val="16"/>
              </w:rPr>
              <w:t xml:space="preserve">2,672 </w:t>
            </w:r>
          </w:p>
        </w:tc>
      </w:tr>
      <w:tr w:rsidR="00271E37" w:rsidRPr="004955F2" w14:paraId="2BA4D0DA" w14:textId="77777777">
        <w:tc>
          <w:tcPr>
            <w:tcW w:w="2835" w:type="dxa"/>
          </w:tcPr>
          <w:p w14:paraId="44F47D00" w14:textId="77777777" w:rsidR="00271E37" w:rsidRPr="00673DD0" w:rsidRDefault="00271E37">
            <w:pPr>
              <w:jc w:val="left"/>
            </w:pPr>
            <w:r w:rsidRPr="00673DD0">
              <w:t xml:space="preserve">Transfer </w:t>
            </w:r>
            <w:r>
              <w:t>from intangible assets</w:t>
            </w:r>
          </w:p>
        </w:tc>
        <w:tc>
          <w:tcPr>
            <w:tcW w:w="1134" w:type="dxa"/>
            <w:vAlign w:val="center"/>
          </w:tcPr>
          <w:p w14:paraId="726C4B61" w14:textId="77777777" w:rsidR="00271E37" w:rsidRPr="004028AB" w:rsidRDefault="00271E37">
            <w:pPr>
              <w:rPr>
                <w:b/>
                <w:bCs/>
              </w:rPr>
            </w:pPr>
            <w:r>
              <w:rPr>
                <w:rFonts w:cs="Arial"/>
                <w:color w:val="000000"/>
                <w:szCs w:val="16"/>
              </w:rPr>
              <w:t xml:space="preserve"> - </w:t>
            </w:r>
          </w:p>
        </w:tc>
        <w:tc>
          <w:tcPr>
            <w:tcW w:w="1134" w:type="dxa"/>
            <w:vAlign w:val="center"/>
          </w:tcPr>
          <w:p w14:paraId="3F94B509" w14:textId="77777777" w:rsidR="00271E37" w:rsidRPr="004028AB" w:rsidRDefault="00271E37">
            <w:pPr>
              <w:rPr>
                <w:b/>
                <w:bCs/>
              </w:rPr>
            </w:pPr>
            <w:r>
              <w:rPr>
                <w:rFonts w:cs="Arial"/>
                <w:color w:val="000000"/>
                <w:szCs w:val="16"/>
              </w:rPr>
              <w:t xml:space="preserve"> - </w:t>
            </w:r>
          </w:p>
        </w:tc>
        <w:tc>
          <w:tcPr>
            <w:tcW w:w="1134" w:type="dxa"/>
            <w:vAlign w:val="center"/>
          </w:tcPr>
          <w:p w14:paraId="46F1EA38" w14:textId="77777777" w:rsidR="00271E37" w:rsidRPr="004028AB" w:rsidRDefault="00271E37">
            <w:pPr>
              <w:rPr>
                <w:b/>
                <w:bCs/>
              </w:rPr>
            </w:pPr>
            <w:r>
              <w:rPr>
                <w:rFonts w:cs="Arial"/>
                <w:color w:val="000000"/>
                <w:szCs w:val="16"/>
              </w:rPr>
              <w:t xml:space="preserve"> - </w:t>
            </w:r>
          </w:p>
        </w:tc>
        <w:tc>
          <w:tcPr>
            <w:tcW w:w="1134" w:type="dxa"/>
            <w:vAlign w:val="center"/>
          </w:tcPr>
          <w:p w14:paraId="49B338EA" w14:textId="77777777" w:rsidR="00271E37" w:rsidRPr="004028AB" w:rsidRDefault="00271E37">
            <w:pPr>
              <w:rPr>
                <w:b/>
                <w:bCs/>
              </w:rPr>
            </w:pPr>
            <w:r>
              <w:rPr>
                <w:rFonts w:cs="Arial"/>
                <w:color w:val="000000"/>
                <w:szCs w:val="16"/>
              </w:rPr>
              <w:t xml:space="preserve">114 </w:t>
            </w:r>
          </w:p>
        </w:tc>
        <w:tc>
          <w:tcPr>
            <w:tcW w:w="1134" w:type="dxa"/>
            <w:vAlign w:val="center"/>
          </w:tcPr>
          <w:p w14:paraId="7B9B494A" w14:textId="77777777" w:rsidR="00271E37" w:rsidRPr="004028AB" w:rsidRDefault="00271E37">
            <w:pPr>
              <w:rPr>
                <w:b/>
                <w:bCs/>
              </w:rPr>
            </w:pPr>
            <w:r>
              <w:rPr>
                <w:rFonts w:cs="Arial"/>
                <w:color w:val="000000"/>
                <w:szCs w:val="16"/>
              </w:rPr>
              <w:t xml:space="preserve"> - </w:t>
            </w:r>
          </w:p>
        </w:tc>
        <w:tc>
          <w:tcPr>
            <w:tcW w:w="1134" w:type="dxa"/>
            <w:vAlign w:val="center"/>
          </w:tcPr>
          <w:p w14:paraId="0F578563" w14:textId="77777777" w:rsidR="00271E37" w:rsidRPr="004028AB" w:rsidRDefault="00271E37">
            <w:pPr>
              <w:rPr>
                <w:b/>
                <w:bCs/>
              </w:rPr>
            </w:pPr>
            <w:r>
              <w:rPr>
                <w:rFonts w:cs="Arial"/>
                <w:color w:val="000000"/>
                <w:szCs w:val="16"/>
              </w:rPr>
              <w:t xml:space="preserve">114 </w:t>
            </w:r>
          </w:p>
        </w:tc>
      </w:tr>
      <w:tr w:rsidR="00271E37" w:rsidRPr="004955F2" w14:paraId="3343DA47" w14:textId="77777777">
        <w:tc>
          <w:tcPr>
            <w:tcW w:w="2835" w:type="dxa"/>
            <w:vAlign w:val="bottom"/>
          </w:tcPr>
          <w:p w14:paraId="6CED0346" w14:textId="77777777" w:rsidR="00271E37" w:rsidRDefault="00271E37">
            <w:pPr>
              <w:jc w:val="left"/>
            </w:pPr>
            <w:r w:rsidRPr="006448A5">
              <w:t>Derecognition on disposal of division</w:t>
            </w:r>
          </w:p>
        </w:tc>
        <w:tc>
          <w:tcPr>
            <w:tcW w:w="1134" w:type="dxa"/>
            <w:vAlign w:val="center"/>
          </w:tcPr>
          <w:p w14:paraId="5BA38A97" w14:textId="77777777" w:rsidR="00271E37" w:rsidRPr="004028AB" w:rsidRDefault="00271E37">
            <w:pPr>
              <w:rPr>
                <w:b/>
                <w:bCs/>
              </w:rPr>
            </w:pPr>
            <w:r>
              <w:rPr>
                <w:rFonts w:cs="Arial"/>
                <w:color w:val="000000"/>
                <w:szCs w:val="16"/>
              </w:rPr>
              <w:t>(13,008)</w:t>
            </w:r>
          </w:p>
        </w:tc>
        <w:tc>
          <w:tcPr>
            <w:tcW w:w="1134" w:type="dxa"/>
            <w:vAlign w:val="center"/>
          </w:tcPr>
          <w:p w14:paraId="2C08ADEE" w14:textId="77777777" w:rsidR="00271E37" w:rsidRPr="004028AB" w:rsidRDefault="00271E37">
            <w:pPr>
              <w:rPr>
                <w:b/>
                <w:bCs/>
              </w:rPr>
            </w:pPr>
            <w:r>
              <w:rPr>
                <w:rFonts w:cs="Arial"/>
                <w:color w:val="000000"/>
                <w:szCs w:val="16"/>
              </w:rPr>
              <w:t>(1,964)</w:t>
            </w:r>
          </w:p>
        </w:tc>
        <w:tc>
          <w:tcPr>
            <w:tcW w:w="1134" w:type="dxa"/>
            <w:vAlign w:val="center"/>
          </w:tcPr>
          <w:p w14:paraId="64054C97" w14:textId="77777777" w:rsidR="00271E37" w:rsidRPr="004028AB" w:rsidRDefault="00271E37">
            <w:pPr>
              <w:rPr>
                <w:b/>
                <w:bCs/>
              </w:rPr>
            </w:pPr>
            <w:r>
              <w:rPr>
                <w:rFonts w:cs="Arial"/>
                <w:color w:val="000000"/>
                <w:szCs w:val="16"/>
              </w:rPr>
              <w:t>(39,544)</w:t>
            </w:r>
          </w:p>
        </w:tc>
        <w:tc>
          <w:tcPr>
            <w:tcW w:w="1134" w:type="dxa"/>
            <w:vAlign w:val="center"/>
          </w:tcPr>
          <w:p w14:paraId="3A58217C" w14:textId="77777777" w:rsidR="00271E37" w:rsidRPr="004028AB" w:rsidRDefault="00271E37">
            <w:pPr>
              <w:rPr>
                <w:b/>
                <w:bCs/>
              </w:rPr>
            </w:pPr>
            <w:r>
              <w:rPr>
                <w:rFonts w:cs="Arial"/>
                <w:color w:val="000000"/>
                <w:szCs w:val="16"/>
              </w:rPr>
              <w:t>(413)</w:t>
            </w:r>
          </w:p>
        </w:tc>
        <w:tc>
          <w:tcPr>
            <w:tcW w:w="1134" w:type="dxa"/>
            <w:vAlign w:val="center"/>
          </w:tcPr>
          <w:p w14:paraId="620969B6" w14:textId="77777777" w:rsidR="00271E37" w:rsidRPr="004028AB" w:rsidRDefault="00271E37">
            <w:pPr>
              <w:rPr>
                <w:b/>
                <w:bCs/>
              </w:rPr>
            </w:pPr>
            <w:r>
              <w:rPr>
                <w:rFonts w:cs="Arial"/>
                <w:color w:val="000000"/>
                <w:szCs w:val="16"/>
              </w:rPr>
              <w:t>(205)</w:t>
            </w:r>
          </w:p>
        </w:tc>
        <w:tc>
          <w:tcPr>
            <w:tcW w:w="1134" w:type="dxa"/>
            <w:vAlign w:val="center"/>
          </w:tcPr>
          <w:p w14:paraId="1E2958E4" w14:textId="77777777" w:rsidR="00271E37" w:rsidRPr="004028AB" w:rsidRDefault="00271E37">
            <w:pPr>
              <w:rPr>
                <w:b/>
                <w:bCs/>
              </w:rPr>
            </w:pPr>
            <w:r>
              <w:rPr>
                <w:rFonts w:cs="Arial"/>
                <w:color w:val="000000"/>
                <w:szCs w:val="16"/>
              </w:rPr>
              <w:t>(55,134)</w:t>
            </w:r>
          </w:p>
        </w:tc>
      </w:tr>
      <w:tr w:rsidR="00271E37" w:rsidRPr="004955F2" w14:paraId="66DFEEC3" w14:textId="77777777">
        <w:tc>
          <w:tcPr>
            <w:tcW w:w="2835" w:type="dxa"/>
          </w:tcPr>
          <w:p w14:paraId="4D199927" w14:textId="77777777" w:rsidR="00271E37" w:rsidRPr="00673DD0" w:rsidRDefault="00271E37">
            <w:pPr>
              <w:jc w:val="left"/>
            </w:pPr>
            <w:r w:rsidRPr="00673DD0">
              <w:t>Disposals</w:t>
            </w:r>
          </w:p>
        </w:tc>
        <w:tc>
          <w:tcPr>
            <w:tcW w:w="1134" w:type="dxa"/>
            <w:vAlign w:val="center"/>
          </w:tcPr>
          <w:p w14:paraId="6A155252" w14:textId="77777777" w:rsidR="00271E37" w:rsidRPr="004028AB" w:rsidRDefault="00271E37">
            <w:pPr>
              <w:rPr>
                <w:b/>
                <w:bCs/>
              </w:rPr>
            </w:pPr>
            <w:r>
              <w:rPr>
                <w:rFonts w:cs="Arial"/>
                <w:color w:val="000000"/>
                <w:szCs w:val="16"/>
              </w:rPr>
              <w:t>(532)</w:t>
            </w:r>
          </w:p>
        </w:tc>
        <w:tc>
          <w:tcPr>
            <w:tcW w:w="1134" w:type="dxa"/>
            <w:vAlign w:val="center"/>
          </w:tcPr>
          <w:p w14:paraId="4F03F5DF" w14:textId="77777777" w:rsidR="00271E37" w:rsidRPr="004028AB" w:rsidRDefault="00271E37">
            <w:pPr>
              <w:rPr>
                <w:b/>
                <w:bCs/>
              </w:rPr>
            </w:pPr>
            <w:r>
              <w:rPr>
                <w:rFonts w:cs="Arial"/>
                <w:color w:val="000000"/>
                <w:szCs w:val="16"/>
              </w:rPr>
              <w:t>(149)</w:t>
            </w:r>
          </w:p>
        </w:tc>
        <w:tc>
          <w:tcPr>
            <w:tcW w:w="1134" w:type="dxa"/>
            <w:vAlign w:val="center"/>
          </w:tcPr>
          <w:p w14:paraId="65FC3CEF" w14:textId="77777777" w:rsidR="00271E37" w:rsidRPr="004028AB" w:rsidRDefault="00271E37">
            <w:pPr>
              <w:rPr>
                <w:b/>
                <w:bCs/>
              </w:rPr>
            </w:pPr>
            <w:r>
              <w:rPr>
                <w:rFonts w:cs="Arial"/>
                <w:color w:val="000000"/>
                <w:szCs w:val="16"/>
              </w:rPr>
              <w:t>(10,246)</w:t>
            </w:r>
          </w:p>
        </w:tc>
        <w:tc>
          <w:tcPr>
            <w:tcW w:w="1134" w:type="dxa"/>
            <w:vAlign w:val="center"/>
          </w:tcPr>
          <w:p w14:paraId="18BA7D42" w14:textId="77777777" w:rsidR="00271E37" w:rsidRPr="004028AB" w:rsidRDefault="00271E37">
            <w:pPr>
              <w:rPr>
                <w:b/>
                <w:bCs/>
              </w:rPr>
            </w:pPr>
            <w:r>
              <w:rPr>
                <w:rFonts w:cs="Arial"/>
                <w:color w:val="000000"/>
                <w:szCs w:val="16"/>
              </w:rPr>
              <w:t>(1,135)</w:t>
            </w:r>
          </w:p>
        </w:tc>
        <w:tc>
          <w:tcPr>
            <w:tcW w:w="1134" w:type="dxa"/>
            <w:vAlign w:val="center"/>
          </w:tcPr>
          <w:p w14:paraId="45641E0D" w14:textId="77777777" w:rsidR="00271E37" w:rsidRPr="004028AB" w:rsidRDefault="00271E37">
            <w:pPr>
              <w:rPr>
                <w:b/>
                <w:bCs/>
              </w:rPr>
            </w:pPr>
            <w:r>
              <w:rPr>
                <w:rFonts w:cs="Arial"/>
                <w:color w:val="000000"/>
                <w:szCs w:val="16"/>
              </w:rPr>
              <w:t>(437)</w:t>
            </w:r>
          </w:p>
        </w:tc>
        <w:tc>
          <w:tcPr>
            <w:tcW w:w="1134" w:type="dxa"/>
            <w:vAlign w:val="center"/>
          </w:tcPr>
          <w:p w14:paraId="2CE1A0BB" w14:textId="77777777" w:rsidR="00271E37" w:rsidRPr="004028AB" w:rsidRDefault="00271E37">
            <w:pPr>
              <w:rPr>
                <w:b/>
                <w:bCs/>
              </w:rPr>
            </w:pPr>
            <w:r>
              <w:rPr>
                <w:rFonts w:cs="Arial"/>
                <w:color w:val="000000"/>
                <w:szCs w:val="16"/>
              </w:rPr>
              <w:t>(12,499)</w:t>
            </w:r>
          </w:p>
        </w:tc>
      </w:tr>
      <w:tr w:rsidR="00271E37" w:rsidRPr="004955F2" w14:paraId="6C2FEBD7" w14:textId="77777777">
        <w:tc>
          <w:tcPr>
            <w:tcW w:w="2835" w:type="dxa"/>
            <w:tcBorders>
              <w:bottom w:val="single" w:sz="4" w:space="0" w:color="000000" w:themeColor="text1"/>
            </w:tcBorders>
          </w:tcPr>
          <w:p w14:paraId="37D79DF6" w14:textId="77777777" w:rsidR="00271E37" w:rsidRPr="00673DD0" w:rsidRDefault="00271E37">
            <w:pPr>
              <w:jc w:val="left"/>
            </w:pPr>
            <w:r w:rsidRPr="00673DD0">
              <w:t>Effect of movements in foreign exchange</w:t>
            </w:r>
          </w:p>
        </w:tc>
        <w:tc>
          <w:tcPr>
            <w:tcW w:w="1134" w:type="dxa"/>
            <w:tcBorders>
              <w:bottom w:val="single" w:sz="4" w:space="0" w:color="000000" w:themeColor="text1"/>
            </w:tcBorders>
            <w:vAlign w:val="center"/>
          </w:tcPr>
          <w:p w14:paraId="65D3A827" w14:textId="77777777" w:rsidR="00271E37" w:rsidRPr="004028AB" w:rsidRDefault="00271E37">
            <w:pPr>
              <w:rPr>
                <w:b/>
                <w:bCs/>
              </w:rPr>
            </w:pPr>
            <w:r>
              <w:rPr>
                <w:rFonts w:cs="Arial"/>
                <w:color w:val="000000"/>
                <w:szCs w:val="16"/>
              </w:rPr>
              <w:t>(122)</w:t>
            </w:r>
          </w:p>
        </w:tc>
        <w:tc>
          <w:tcPr>
            <w:tcW w:w="1134" w:type="dxa"/>
            <w:tcBorders>
              <w:bottom w:val="single" w:sz="4" w:space="0" w:color="000000" w:themeColor="text1"/>
            </w:tcBorders>
            <w:vAlign w:val="center"/>
          </w:tcPr>
          <w:p w14:paraId="03E6CC71" w14:textId="77777777" w:rsidR="00271E37" w:rsidRPr="004028AB" w:rsidRDefault="00271E37">
            <w:pPr>
              <w:rPr>
                <w:b/>
                <w:bCs/>
              </w:rPr>
            </w:pPr>
            <w:r>
              <w:rPr>
                <w:rFonts w:cs="Arial"/>
                <w:color w:val="000000"/>
                <w:szCs w:val="16"/>
              </w:rPr>
              <w:t>(76)</w:t>
            </w:r>
          </w:p>
        </w:tc>
        <w:tc>
          <w:tcPr>
            <w:tcW w:w="1134" w:type="dxa"/>
            <w:tcBorders>
              <w:bottom w:val="single" w:sz="4" w:space="0" w:color="000000" w:themeColor="text1"/>
            </w:tcBorders>
            <w:vAlign w:val="center"/>
          </w:tcPr>
          <w:p w14:paraId="483DD096" w14:textId="77777777" w:rsidR="00271E37" w:rsidRPr="004028AB" w:rsidRDefault="00271E37">
            <w:pPr>
              <w:rPr>
                <w:b/>
                <w:bCs/>
              </w:rPr>
            </w:pPr>
            <w:r>
              <w:rPr>
                <w:rFonts w:cs="Arial"/>
                <w:color w:val="000000"/>
                <w:szCs w:val="16"/>
              </w:rPr>
              <w:t>(787)</w:t>
            </w:r>
          </w:p>
        </w:tc>
        <w:tc>
          <w:tcPr>
            <w:tcW w:w="1134" w:type="dxa"/>
            <w:tcBorders>
              <w:bottom w:val="single" w:sz="4" w:space="0" w:color="000000" w:themeColor="text1"/>
            </w:tcBorders>
            <w:vAlign w:val="center"/>
          </w:tcPr>
          <w:p w14:paraId="0677D38D" w14:textId="77777777" w:rsidR="00271E37" w:rsidRPr="004028AB" w:rsidRDefault="00271E37">
            <w:pPr>
              <w:rPr>
                <w:b/>
                <w:bCs/>
              </w:rPr>
            </w:pPr>
            <w:r>
              <w:rPr>
                <w:rFonts w:cs="Arial"/>
                <w:color w:val="000000"/>
                <w:szCs w:val="16"/>
              </w:rPr>
              <w:t xml:space="preserve">63 </w:t>
            </w:r>
          </w:p>
        </w:tc>
        <w:tc>
          <w:tcPr>
            <w:tcW w:w="1134" w:type="dxa"/>
            <w:tcBorders>
              <w:bottom w:val="single" w:sz="4" w:space="0" w:color="000000" w:themeColor="text1"/>
            </w:tcBorders>
            <w:vAlign w:val="center"/>
          </w:tcPr>
          <w:p w14:paraId="3DFB7F85" w14:textId="77777777" w:rsidR="00271E37" w:rsidRPr="004028AB" w:rsidRDefault="00271E37">
            <w:pPr>
              <w:rPr>
                <w:b/>
                <w:bCs/>
              </w:rPr>
            </w:pPr>
            <w:r>
              <w:rPr>
                <w:rFonts w:cs="Arial"/>
                <w:color w:val="000000"/>
                <w:szCs w:val="16"/>
              </w:rPr>
              <w:t xml:space="preserve">48 </w:t>
            </w:r>
          </w:p>
        </w:tc>
        <w:tc>
          <w:tcPr>
            <w:tcW w:w="1134" w:type="dxa"/>
            <w:tcBorders>
              <w:bottom w:val="single" w:sz="4" w:space="0" w:color="000000" w:themeColor="text1"/>
            </w:tcBorders>
            <w:vAlign w:val="center"/>
          </w:tcPr>
          <w:p w14:paraId="7457ED1A" w14:textId="77777777" w:rsidR="00271E37" w:rsidRPr="004028AB" w:rsidRDefault="00271E37">
            <w:pPr>
              <w:rPr>
                <w:b/>
                <w:bCs/>
              </w:rPr>
            </w:pPr>
            <w:r>
              <w:rPr>
                <w:rFonts w:cs="Arial"/>
                <w:color w:val="000000"/>
                <w:szCs w:val="16"/>
              </w:rPr>
              <w:t>(874)</w:t>
            </w:r>
          </w:p>
        </w:tc>
      </w:tr>
      <w:tr w:rsidR="00271E37" w:rsidRPr="004955F2" w14:paraId="30CB6BB9" w14:textId="77777777">
        <w:tc>
          <w:tcPr>
            <w:tcW w:w="2835" w:type="dxa"/>
            <w:tcBorders>
              <w:top w:val="single" w:sz="4" w:space="0" w:color="000000" w:themeColor="text1"/>
              <w:bottom w:val="single" w:sz="4" w:space="0" w:color="000000" w:themeColor="text1"/>
            </w:tcBorders>
          </w:tcPr>
          <w:p w14:paraId="05777871" w14:textId="77777777" w:rsidR="00271E37" w:rsidRPr="00673DD0" w:rsidRDefault="00271E37">
            <w:pPr>
              <w:jc w:val="left"/>
              <w:rPr>
                <w:b/>
                <w:bCs/>
              </w:rPr>
            </w:pPr>
            <w:r w:rsidRPr="00673DD0">
              <w:rPr>
                <w:b/>
                <w:bCs/>
              </w:rPr>
              <w:t>Balance at 31 March 202</w:t>
            </w:r>
            <w:r>
              <w:rPr>
                <w:b/>
                <w:bCs/>
              </w:rPr>
              <w:t>6</w:t>
            </w:r>
          </w:p>
        </w:tc>
        <w:tc>
          <w:tcPr>
            <w:tcW w:w="1134" w:type="dxa"/>
            <w:tcBorders>
              <w:top w:val="single" w:sz="4" w:space="0" w:color="000000" w:themeColor="text1"/>
              <w:bottom w:val="single" w:sz="4" w:space="0" w:color="000000" w:themeColor="text1"/>
            </w:tcBorders>
            <w:vAlign w:val="center"/>
          </w:tcPr>
          <w:p w14:paraId="535438BA" w14:textId="77777777" w:rsidR="00271E37" w:rsidRPr="00673DD0" w:rsidRDefault="00271E37">
            <w:pPr>
              <w:rPr>
                <w:b/>
                <w:bCs/>
              </w:rPr>
            </w:pPr>
            <w:r>
              <w:rPr>
                <w:rFonts w:cs="Arial"/>
                <w:b/>
                <w:bCs/>
                <w:color w:val="000000"/>
                <w:szCs w:val="16"/>
              </w:rPr>
              <w:t xml:space="preserve">16,758 </w:t>
            </w:r>
          </w:p>
        </w:tc>
        <w:tc>
          <w:tcPr>
            <w:tcW w:w="1134" w:type="dxa"/>
            <w:tcBorders>
              <w:top w:val="single" w:sz="4" w:space="0" w:color="000000" w:themeColor="text1"/>
              <w:bottom w:val="single" w:sz="4" w:space="0" w:color="000000" w:themeColor="text1"/>
            </w:tcBorders>
            <w:vAlign w:val="center"/>
          </w:tcPr>
          <w:p w14:paraId="611121D1" w14:textId="77777777" w:rsidR="00271E37" w:rsidRPr="00673DD0" w:rsidRDefault="00271E37">
            <w:pPr>
              <w:rPr>
                <w:b/>
                <w:bCs/>
              </w:rPr>
            </w:pPr>
            <w:r>
              <w:rPr>
                <w:rFonts w:cs="Arial"/>
                <w:b/>
                <w:bCs/>
                <w:color w:val="000000"/>
                <w:szCs w:val="16"/>
              </w:rPr>
              <w:t xml:space="preserve">490 </w:t>
            </w:r>
          </w:p>
        </w:tc>
        <w:tc>
          <w:tcPr>
            <w:tcW w:w="1134" w:type="dxa"/>
            <w:tcBorders>
              <w:top w:val="single" w:sz="4" w:space="0" w:color="000000" w:themeColor="text1"/>
              <w:bottom w:val="single" w:sz="4" w:space="0" w:color="000000" w:themeColor="text1"/>
            </w:tcBorders>
            <w:vAlign w:val="center"/>
          </w:tcPr>
          <w:p w14:paraId="694B3E7E" w14:textId="77777777" w:rsidR="00271E37" w:rsidRPr="00673DD0" w:rsidRDefault="00271E37">
            <w:pPr>
              <w:rPr>
                <w:b/>
                <w:bCs/>
              </w:rPr>
            </w:pPr>
            <w:r>
              <w:rPr>
                <w:rFonts w:cs="Arial"/>
                <w:b/>
                <w:bCs/>
                <w:color w:val="000000"/>
                <w:szCs w:val="16"/>
              </w:rPr>
              <w:t xml:space="preserve">38,540 </w:t>
            </w:r>
          </w:p>
        </w:tc>
        <w:tc>
          <w:tcPr>
            <w:tcW w:w="1134" w:type="dxa"/>
            <w:tcBorders>
              <w:top w:val="single" w:sz="4" w:space="0" w:color="000000" w:themeColor="text1"/>
              <w:bottom w:val="single" w:sz="4" w:space="0" w:color="000000" w:themeColor="text1"/>
            </w:tcBorders>
            <w:vAlign w:val="center"/>
          </w:tcPr>
          <w:p w14:paraId="06A95360" w14:textId="77777777" w:rsidR="00271E37" w:rsidRPr="00673DD0" w:rsidRDefault="00271E37">
            <w:pPr>
              <w:rPr>
                <w:b/>
                <w:bCs/>
              </w:rPr>
            </w:pPr>
            <w:r>
              <w:rPr>
                <w:rFonts w:cs="Arial"/>
                <w:b/>
                <w:bCs/>
                <w:color w:val="000000"/>
                <w:szCs w:val="16"/>
              </w:rPr>
              <w:t xml:space="preserve">3,753 </w:t>
            </w:r>
          </w:p>
        </w:tc>
        <w:tc>
          <w:tcPr>
            <w:tcW w:w="1134" w:type="dxa"/>
            <w:tcBorders>
              <w:top w:val="single" w:sz="4" w:space="0" w:color="000000" w:themeColor="text1"/>
              <w:bottom w:val="single" w:sz="4" w:space="0" w:color="000000" w:themeColor="text1"/>
            </w:tcBorders>
            <w:vAlign w:val="center"/>
          </w:tcPr>
          <w:p w14:paraId="28F0370F" w14:textId="77777777" w:rsidR="00271E37" w:rsidRPr="00673DD0" w:rsidRDefault="00271E37">
            <w:pPr>
              <w:rPr>
                <w:b/>
                <w:bCs/>
              </w:rPr>
            </w:pPr>
            <w:r>
              <w:rPr>
                <w:rFonts w:cs="Arial"/>
                <w:b/>
                <w:bCs/>
                <w:color w:val="000000"/>
                <w:szCs w:val="16"/>
              </w:rPr>
              <w:t xml:space="preserve">1,035 </w:t>
            </w:r>
          </w:p>
        </w:tc>
        <w:tc>
          <w:tcPr>
            <w:tcW w:w="1134" w:type="dxa"/>
            <w:tcBorders>
              <w:top w:val="single" w:sz="4" w:space="0" w:color="000000" w:themeColor="text1"/>
              <w:bottom w:val="single" w:sz="4" w:space="0" w:color="000000" w:themeColor="text1"/>
            </w:tcBorders>
            <w:vAlign w:val="center"/>
          </w:tcPr>
          <w:p w14:paraId="227D023C" w14:textId="77777777" w:rsidR="00271E37" w:rsidRPr="00673DD0" w:rsidRDefault="00271E37">
            <w:pPr>
              <w:rPr>
                <w:b/>
                <w:bCs/>
              </w:rPr>
            </w:pPr>
            <w:r>
              <w:rPr>
                <w:rFonts w:cs="Arial"/>
                <w:b/>
                <w:bCs/>
                <w:color w:val="000000"/>
                <w:szCs w:val="16"/>
              </w:rPr>
              <w:t xml:space="preserve">60,576 </w:t>
            </w:r>
          </w:p>
        </w:tc>
      </w:tr>
      <w:tr w:rsidR="00271E37" w:rsidRPr="004955F2" w14:paraId="1B4BFE71" w14:textId="77777777" w:rsidTr="758B4CAE">
        <w:tc>
          <w:tcPr>
            <w:tcW w:w="2835" w:type="dxa"/>
            <w:tcBorders>
              <w:top w:val="single" w:sz="4" w:space="0" w:color="000000" w:themeColor="text1"/>
            </w:tcBorders>
          </w:tcPr>
          <w:p w14:paraId="06F06D54" w14:textId="77777777" w:rsidR="00271E37" w:rsidRPr="00673DD0" w:rsidRDefault="00271E37" w:rsidP="000923EA">
            <w:pPr>
              <w:jc w:val="left"/>
              <w:rPr>
                <w:b/>
                <w:bCs/>
              </w:rPr>
            </w:pPr>
            <w:r w:rsidRPr="00673DD0">
              <w:rPr>
                <w:b/>
                <w:bCs/>
              </w:rPr>
              <w:t>Depreciation and impairment</w:t>
            </w:r>
          </w:p>
        </w:tc>
        <w:tc>
          <w:tcPr>
            <w:tcW w:w="1134" w:type="dxa"/>
            <w:tcBorders>
              <w:top w:val="single" w:sz="4" w:space="0" w:color="000000" w:themeColor="text1"/>
            </w:tcBorders>
          </w:tcPr>
          <w:p w14:paraId="509EF02E" w14:textId="77777777" w:rsidR="00271E37" w:rsidRPr="00673DD0" w:rsidRDefault="00271E37" w:rsidP="000923EA"/>
        </w:tc>
        <w:tc>
          <w:tcPr>
            <w:tcW w:w="1134" w:type="dxa"/>
            <w:tcBorders>
              <w:top w:val="single" w:sz="4" w:space="0" w:color="000000" w:themeColor="text1"/>
            </w:tcBorders>
          </w:tcPr>
          <w:p w14:paraId="7C70E52E" w14:textId="77777777" w:rsidR="00271E37" w:rsidRPr="00673DD0" w:rsidRDefault="00271E37" w:rsidP="000923EA"/>
        </w:tc>
        <w:tc>
          <w:tcPr>
            <w:tcW w:w="1134" w:type="dxa"/>
            <w:tcBorders>
              <w:top w:val="single" w:sz="4" w:space="0" w:color="000000" w:themeColor="text1"/>
            </w:tcBorders>
          </w:tcPr>
          <w:p w14:paraId="12151910" w14:textId="77777777" w:rsidR="00271E37" w:rsidRPr="00673DD0" w:rsidRDefault="00271E37" w:rsidP="000923EA"/>
        </w:tc>
        <w:tc>
          <w:tcPr>
            <w:tcW w:w="1134" w:type="dxa"/>
            <w:tcBorders>
              <w:top w:val="single" w:sz="4" w:space="0" w:color="000000" w:themeColor="text1"/>
            </w:tcBorders>
          </w:tcPr>
          <w:p w14:paraId="4E6F3E53" w14:textId="77777777" w:rsidR="00271E37" w:rsidRPr="00673DD0" w:rsidRDefault="00271E37" w:rsidP="000923EA"/>
        </w:tc>
        <w:tc>
          <w:tcPr>
            <w:tcW w:w="1134" w:type="dxa"/>
            <w:tcBorders>
              <w:top w:val="single" w:sz="4" w:space="0" w:color="000000" w:themeColor="text1"/>
            </w:tcBorders>
          </w:tcPr>
          <w:p w14:paraId="1CB6C2E2" w14:textId="77777777" w:rsidR="00271E37" w:rsidRPr="00673DD0" w:rsidRDefault="00271E37" w:rsidP="000923EA"/>
        </w:tc>
        <w:tc>
          <w:tcPr>
            <w:tcW w:w="1134" w:type="dxa"/>
            <w:tcBorders>
              <w:top w:val="single" w:sz="4" w:space="0" w:color="000000" w:themeColor="text1"/>
            </w:tcBorders>
          </w:tcPr>
          <w:p w14:paraId="2A5F0B94" w14:textId="77777777" w:rsidR="00271E37" w:rsidRPr="00673DD0" w:rsidRDefault="00271E37" w:rsidP="000923EA"/>
        </w:tc>
      </w:tr>
      <w:tr w:rsidR="00271E37" w:rsidRPr="004955F2" w14:paraId="6FC2DBF0" w14:textId="77777777">
        <w:tc>
          <w:tcPr>
            <w:tcW w:w="2835" w:type="dxa"/>
          </w:tcPr>
          <w:p w14:paraId="4D6CE814" w14:textId="77777777" w:rsidR="00271E37" w:rsidRPr="00673DD0" w:rsidRDefault="00271E37">
            <w:pPr>
              <w:jc w:val="left"/>
            </w:pPr>
            <w:r w:rsidRPr="00673DD0">
              <w:t>Balance at 1 April 202</w:t>
            </w:r>
            <w:r>
              <w:t>4</w:t>
            </w:r>
          </w:p>
        </w:tc>
        <w:tc>
          <w:tcPr>
            <w:tcW w:w="1134" w:type="dxa"/>
            <w:vAlign w:val="center"/>
          </w:tcPr>
          <w:p w14:paraId="6610157D" w14:textId="77777777" w:rsidR="00271E37" w:rsidRPr="00673DD0" w:rsidRDefault="00271E37">
            <w:r>
              <w:rPr>
                <w:rFonts w:cs="Arial"/>
                <w:color w:val="000000"/>
                <w:szCs w:val="16"/>
              </w:rPr>
              <w:t>(17,495)</w:t>
            </w:r>
          </w:p>
        </w:tc>
        <w:tc>
          <w:tcPr>
            <w:tcW w:w="1134" w:type="dxa"/>
            <w:vAlign w:val="center"/>
          </w:tcPr>
          <w:p w14:paraId="12154E87" w14:textId="77777777" w:rsidR="00271E37" w:rsidRPr="00673DD0" w:rsidRDefault="00271E37">
            <w:r>
              <w:rPr>
                <w:rFonts w:cs="Arial"/>
                <w:color w:val="000000"/>
                <w:szCs w:val="16"/>
              </w:rPr>
              <w:t>(4,094)</w:t>
            </w:r>
          </w:p>
        </w:tc>
        <w:tc>
          <w:tcPr>
            <w:tcW w:w="1134" w:type="dxa"/>
            <w:vAlign w:val="center"/>
          </w:tcPr>
          <w:p w14:paraId="56725D05" w14:textId="77777777" w:rsidR="00271E37" w:rsidRPr="00673DD0" w:rsidRDefault="00271E37">
            <w:r>
              <w:rPr>
                <w:rFonts w:cs="Arial"/>
                <w:color w:val="000000"/>
                <w:szCs w:val="16"/>
              </w:rPr>
              <w:t>(62,027)</w:t>
            </w:r>
          </w:p>
        </w:tc>
        <w:tc>
          <w:tcPr>
            <w:tcW w:w="1134" w:type="dxa"/>
            <w:vAlign w:val="center"/>
          </w:tcPr>
          <w:p w14:paraId="7C6769B2" w14:textId="77777777" w:rsidR="00271E37" w:rsidRPr="00673DD0" w:rsidRDefault="00271E37">
            <w:r>
              <w:rPr>
                <w:rFonts w:cs="Arial"/>
                <w:color w:val="000000"/>
                <w:szCs w:val="16"/>
              </w:rPr>
              <w:t>(4,039)</w:t>
            </w:r>
          </w:p>
        </w:tc>
        <w:tc>
          <w:tcPr>
            <w:tcW w:w="1134" w:type="dxa"/>
            <w:vAlign w:val="center"/>
          </w:tcPr>
          <w:p w14:paraId="264ECC8C" w14:textId="77777777" w:rsidR="00271E37" w:rsidRPr="00673DD0" w:rsidRDefault="00271E37">
            <w:r>
              <w:rPr>
                <w:rFonts w:cs="Arial"/>
                <w:color w:val="000000"/>
                <w:szCs w:val="16"/>
              </w:rPr>
              <w:t>(1,439)</w:t>
            </w:r>
          </w:p>
        </w:tc>
        <w:tc>
          <w:tcPr>
            <w:tcW w:w="1134" w:type="dxa"/>
            <w:vAlign w:val="center"/>
          </w:tcPr>
          <w:p w14:paraId="3809EC81" w14:textId="77777777" w:rsidR="00271E37" w:rsidRPr="00673DD0" w:rsidRDefault="00271E37">
            <w:r>
              <w:rPr>
                <w:rFonts w:cs="Arial"/>
                <w:color w:val="000000"/>
                <w:szCs w:val="16"/>
              </w:rPr>
              <w:t>(89,094)</w:t>
            </w:r>
          </w:p>
        </w:tc>
      </w:tr>
      <w:tr w:rsidR="00271E37" w:rsidRPr="004955F2" w14:paraId="4DD437FF" w14:textId="77777777">
        <w:tc>
          <w:tcPr>
            <w:tcW w:w="2835" w:type="dxa"/>
          </w:tcPr>
          <w:p w14:paraId="217C868B" w14:textId="77777777" w:rsidR="00271E37" w:rsidRPr="00673DD0" w:rsidRDefault="00271E37">
            <w:pPr>
              <w:jc w:val="left"/>
            </w:pPr>
            <w:r w:rsidRPr="00673DD0">
              <w:t>Depreciation charge for the year</w:t>
            </w:r>
          </w:p>
        </w:tc>
        <w:tc>
          <w:tcPr>
            <w:tcW w:w="1134" w:type="dxa"/>
            <w:vAlign w:val="center"/>
          </w:tcPr>
          <w:p w14:paraId="41423BD1" w14:textId="77777777" w:rsidR="00271E37" w:rsidRPr="00917260" w:rsidRDefault="00271E37">
            <w:r>
              <w:rPr>
                <w:rFonts w:cs="Arial"/>
                <w:color w:val="000000"/>
                <w:szCs w:val="16"/>
              </w:rPr>
              <w:t>(1,318)</w:t>
            </w:r>
          </w:p>
        </w:tc>
        <w:tc>
          <w:tcPr>
            <w:tcW w:w="1134" w:type="dxa"/>
            <w:vAlign w:val="center"/>
          </w:tcPr>
          <w:p w14:paraId="24FD990B" w14:textId="77777777" w:rsidR="00271E37" w:rsidRPr="00917260" w:rsidRDefault="00271E37">
            <w:r>
              <w:rPr>
                <w:rFonts w:cs="Arial"/>
                <w:color w:val="000000"/>
                <w:szCs w:val="16"/>
              </w:rPr>
              <w:t>(168)</w:t>
            </w:r>
          </w:p>
        </w:tc>
        <w:tc>
          <w:tcPr>
            <w:tcW w:w="1134" w:type="dxa"/>
            <w:vAlign w:val="center"/>
          </w:tcPr>
          <w:p w14:paraId="2FE505DA" w14:textId="77777777" w:rsidR="00271E37" w:rsidRPr="00917260" w:rsidRDefault="00271E37">
            <w:r>
              <w:rPr>
                <w:rFonts w:cs="Arial"/>
                <w:color w:val="000000"/>
                <w:szCs w:val="16"/>
              </w:rPr>
              <w:t>(6,427)</w:t>
            </w:r>
          </w:p>
        </w:tc>
        <w:tc>
          <w:tcPr>
            <w:tcW w:w="1134" w:type="dxa"/>
            <w:vAlign w:val="center"/>
          </w:tcPr>
          <w:p w14:paraId="001E4149" w14:textId="77777777" w:rsidR="00271E37" w:rsidRPr="00917260" w:rsidRDefault="00271E37">
            <w:r>
              <w:rPr>
                <w:rFonts w:cs="Arial"/>
                <w:color w:val="000000"/>
                <w:szCs w:val="16"/>
              </w:rPr>
              <w:t>(335)</w:t>
            </w:r>
          </w:p>
        </w:tc>
        <w:tc>
          <w:tcPr>
            <w:tcW w:w="1134" w:type="dxa"/>
            <w:vAlign w:val="center"/>
          </w:tcPr>
          <w:p w14:paraId="23BB2CC4" w14:textId="77777777" w:rsidR="00271E37" w:rsidRPr="00917260" w:rsidRDefault="00271E37">
            <w:r>
              <w:rPr>
                <w:rFonts w:cs="Arial"/>
                <w:color w:val="000000"/>
                <w:szCs w:val="16"/>
              </w:rPr>
              <w:t>(128)</w:t>
            </w:r>
          </w:p>
        </w:tc>
        <w:tc>
          <w:tcPr>
            <w:tcW w:w="1134" w:type="dxa"/>
            <w:vAlign w:val="center"/>
          </w:tcPr>
          <w:p w14:paraId="5EB12B3A" w14:textId="77777777" w:rsidR="00271E37" w:rsidRPr="00917260" w:rsidRDefault="00271E37">
            <w:r>
              <w:rPr>
                <w:rFonts w:cs="Arial"/>
                <w:color w:val="000000"/>
                <w:szCs w:val="16"/>
              </w:rPr>
              <w:t>(8,376)</w:t>
            </w:r>
          </w:p>
        </w:tc>
      </w:tr>
      <w:tr w:rsidR="00271E37" w:rsidRPr="004955F2" w14:paraId="02A23433" w14:textId="77777777">
        <w:tc>
          <w:tcPr>
            <w:tcW w:w="2835" w:type="dxa"/>
          </w:tcPr>
          <w:p w14:paraId="61750900" w14:textId="77777777" w:rsidR="00271E37" w:rsidRPr="00673DD0" w:rsidRDefault="00271E37">
            <w:pPr>
              <w:jc w:val="left"/>
            </w:pPr>
            <w:r>
              <w:t>Impairments</w:t>
            </w:r>
          </w:p>
        </w:tc>
        <w:tc>
          <w:tcPr>
            <w:tcW w:w="1134" w:type="dxa"/>
            <w:vAlign w:val="center"/>
          </w:tcPr>
          <w:p w14:paraId="61E73D42" w14:textId="77777777" w:rsidR="00271E37" w:rsidRPr="00917260" w:rsidRDefault="00271E37">
            <w:r>
              <w:rPr>
                <w:rFonts w:cs="Arial"/>
                <w:color w:val="000000"/>
                <w:szCs w:val="16"/>
              </w:rPr>
              <w:t xml:space="preserve"> - </w:t>
            </w:r>
          </w:p>
        </w:tc>
        <w:tc>
          <w:tcPr>
            <w:tcW w:w="1134" w:type="dxa"/>
            <w:vAlign w:val="center"/>
          </w:tcPr>
          <w:p w14:paraId="7F25FB44" w14:textId="77777777" w:rsidR="00271E37" w:rsidRPr="00917260" w:rsidRDefault="00271E37">
            <w:r>
              <w:rPr>
                <w:rFonts w:cs="Arial"/>
                <w:color w:val="000000"/>
                <w:szCs w:val="16"/>
              </w:rPr>
              <w:t xml:space="preserve"> - </w:t>
            </w:r>
          </w:p>
        </w:tc>
        <w:tc>
          <w:tcPr>
            <w:tcW w:w="1134" w:type="dxa"/>
            <w:vAlign w:val="center"/>
          </w:tcPr>
          <w:p w14:paraId="6F256E4A" w14:textId="77777777" w:rsidR="00271E37" w:rsidRPr="00917260" w:rsidRDefault="00271E37">
            <w:r>
              <w:rPr>
                <w:rFonts w:cs="Arial"/>
                <w:color w:val="000000"/>
                <w:szCs w:val="16"/>
              </w:rPr>
              <w:t>(3,502)</w:t>
            </w:r>
          </w:p>
        </w:tc>
        <w:tc>
          <w:tcPr>
            <w:tcW w:w="1134" w:type="dxa"/>
            <w:vAlign w:val="center"/>
          </w:tcPr>
          <w:p w14:paraId="0A050033" w14:textId="77777777" w:rsidR="00271E37" w:rsidRPr="00917260" w:rsidRDefault="00271E37">
            <w:r>
              <w:rPr>
                <w:rFonts w:cs="Arial"/>
                <w:color w:val="000000"/>
                <w:szCs w:val="16"/>
              </w:rPr>
              <w:t xml:space="preserve"> - </w:t>
            </w:r>
          </w:p>
        </w:tc>
        <w:tc>
          <w:tcPr>
            <w:tcW w:w="1134" w:type="dxa"/>
            <w:vAlign w:val="center"/>
          </w:tcPr>
          <w:p w14:paraId="7CE56CFB" w14:textId="77777777" w:rsidR="00271E37" w:rsidRPr="00917260" w:rsidRDefault="00271E37">
            <w:r>
              <w:rPr>
                <w:rFonts w:cs="Arial"/>
                <w:color w:val="000000"/>
                <w:szCs w:val="16"/>
              </w:rPr>
              <w:t xml:space="preserve"> - </w:t>
            </w:r>
          </w:p>
        </w:tc>
        <w:tc>
          <w:tcPr>
            <w:tcW w:w="1134" w:type="dxa"/>
            <w:vAlign w:val="center"/>
          </w:tcPr>
          <w:p w14:paraId="0892CBD4" w14:textId="77777777" w:rsidR="00271E37" w:rsidRPr="00917260" w:rsidRDefault="00271E37">
            <w:r>
              <w:rPr>
                <w:rFonts w:cs="Arial"/>
                <w:color w:val="000000"/>
                <w:szCs w:val="16"/>
              </w:rPr>
              <w:t>(3,502)</w:t>
            </w:r>
          </w:p>
        </w:tc>
      </w:tr>
      <w:tr w:rsidR="00271E37" w:rsidRPr="004955F2" w14:paraId="245AB7D7" w14:textId="77777777">
        <w:tc>
          <w:tcPr>
            <w:tcW w:w="2835" w:type="dxa"/>
          </w:tcPr>
          <w:p w14:paraId="23B93423" w14:textId="77777777" w:rsidR="00271E37" w:rsidRPr="00673DD0" w:rsidRDefault="00271E37">
            <w:pPr>
              <w:jc w:val="left"/>
            </w:pPr>
            <w:r w:rsidRPr="00673DD0">
              <w:t>Transfer to assets held for sale</w:t>
            </w:r>
          </w:p>
        </w:tc>
        <w:tc>
          <w:tcPr>
            <w:tcW w:w="1134" w:type="dxa"/>
            <w:vAlign w:val="center"/>
          </w:tcPr>
          <w:p w14:paraId="1311F19F" w14:textId="77777777" w:rsidR="00271E37" w:rsidRPr="00917260" w:rsidRDefault="00271E37">
            <w:r>
              <w:rPr>
                <w:rFonts w:cs="Arial"/>
                <w:color w:val="000000"/>
                <w:szCs w:val="16"/>
              </w:rPr>
              <w:t xml:space="preserve">534 </w:t>
            </w:r>
          </w:p>
        </w:tc>
        <w:tc>
          <w:tcPr>
            <w:tcW w:w="1134" w:type="dxa"/>
            <w:vAlign w:val="center"/>
          </w:tcPr>
          <w:p w14:paraId="326F0F25" w14:textId="77777777" w:rsidR="00271E37" w:rsidRPr="00917260" w:rsidRDefault="00271E37">
            <w:r>
              <w:rPr>
                <w:rFonts w:cs="Arial"/>
                <w:color w:val="000000"/>
                <w:szCs w:val="16"/>
              </w:rPr>
              <w:t xml:space="preserve">1,241 </w:t>
            </w:r>
          </w:p>
        </w:tc>
        <w:tc>
          <w:tcPr>
            <w:tcW w:w="1134" w:type="dxa"/>
            <w:vAlign w:val="center"/>
          </w:tcPr>
          <w:p w14:paraId="69A4C2A0" w14:textId="77777777" w:rsidR="00271E37" w:rsidRPr="00917260" w:rsidRDefault="00271E37">
            <w:r>
              <w:rPr>
                <w:rFonts w:cs="Arial"/>
                <w:color w:val="000000"/>
                <w:szCs w:val="16"/>
              </w:rPr>
              <w:t xml:space="preserve">9,293 </w:t>
            </w:r>
          </w:p>
        </w:tc>
        <w:tc>
          <w:tcPr>
            <w:tcW w:w="1134" w:type="dxa"/>
            <w:vAlign w:val="center"/>
          </w:tcPr>
          <w:p w14:paraId="70CB5933" w14:textId="77777777" w:rsidR="00271E37" w:rsidRPr="00917260" w:rsidRDefault="00271E37">
            <w:r>
              <w:rPr>
                <w:rFonts w:cs="Arial"/>
                <w:color w:val="000000"/>
                <w:szCs w:val="16"/>
              </w:rPr>
              <w:t xml:space="preserve">587 </w:t>
            </w:r>
          </w:p>
        </w:tc>
        <w:tc>
          <w:tcPr>
            <w:tcW w:w="1134" w:type="dxa"/>
            <w:vAlign w:val="center"/>
          </w:tcPr>
          <w:p w14:paraId="4429FB01" w14:textId="77777777" w:rsidR="00271E37" w:rsidRPr="00917260" w:rsidRDefault="00271E37">
            <w:r>
              <w:rPr>
                <w:rFonts w:cs="Arial"/>
                <w:color w:val="000000"/>
                <w:szCs w:val="16"/>
              </w:rPr>
              <w:t xml:space="preserve">148 </w:t>
            </w:r>
          </w:p>
        </w:tc>
        <w:tc>
          <w:tcPr>
            <w:tcW w:w="1134" w:type="dxa"/>
            <w:vAlign w:val="center"/>
          </w:tcPr>
          <w:p w14:paraId="198F2A69" w14:textId="77777777" w:rsidR="00271E37" w:rsidRPr="00917260" w:rsidRDefault="00271E37">
            <w:r>
              <w:rPr>
                <w:rFonts w:cs="Arial"/>
                <w:color w:val="000000"/>
                <w:szCs w:val="16"/>
              </w:rPr>
              <w:t xml:space="preserve">11,803 </w:t>
            </w:r>
          </w:p>
        </w:tc>
      </w:tr>
      <w:tr w:rsidR="00271E37" w:rsidRPr="004955F2" w14:paraId="385822A4" w14:textId="77777777">
        <w:tc>
          <w:tcPr>
            <w:tcW w:w="2835" w:type="dxa"/>
          </w:tcPr>
          <w:p w14:paraId="474B87B3" w14:textId="77777777" w:rsidR="00271E37" w:rsidRPr="00673DD0" w:rsidRDefault="00271E37">
            <w:pPr>
              <w:jc w:val="left"/>
            </w:pPr>
            <w:r w:rsidRPr="00673DD0">
              <w:t>Disposals</w:t>
            </w:r>
          </w:p>
        </w:tc>
        <w:tc>
          <w:tcPr>
            <w:tcW w:w="1134" w:type="dxa"/>
            <w:vAlign w:val="center"/>
          </w:tcPr>
          <w:p w14:paraId="37A1BAA4" w14:textId="77777777" w:rsidR="00271E37" w:rsidRPr="00917260" w:rsidRDefault="00271E37">
            <w:r>
              <w:rPr>
                <w:rFonts w:cs="Arial"/>
                <w:color w:val="000000"/>
                <w:szCs w:val="16"/>
              </w:rPr>
              <w:t xml:space="preserve">534 </w:t>
            </w:r>
          </w:p>
        </w:tc>
        <w:tc>
          <w:tcPr>
            <w:tcW w:w="1134" w:type="dxa"/>
            <w:vAlign w:val="center"/>
          </w:tcPr>
          <w:p w14:paraId="5281EC89" w14:textId="77777777" w:rsidR="00271E37" w:rsidRPr="00917260" w:rsidRDefault="00271E37">
            <w:r>
              <w:rPr>
                <w:rFonts w:cs="Arial"/>
                <w:color w:val="000000"/>
                <w:szCs w:val="16"/>
              </w:rPr>
              <w:t xml:space="preserve">524 </w:t>
            </w:r>
          </w:p>
        </w:tc>
        <w:tc>
          <w:tcPr>
            <w:tcW w:w="1134" w:type="dxa"/>
            <w:vAlign w:val="center"/>
          </w:tcPr>
          <w:p w14:paraId="5D5C1E22" w14:textId="77777777" w:rsidR="00271E37" w:rsidRPr="00917260" w:rsidRDefault="00271E37">
            <w:r>
              <w:rPr>
                <w:rFonts w:cs="Arial"/>
                <w:color w:val="000000"/>
                <w:szCs w:val="16"/>
              </w:rPr>
              <w:t xml:space="preserve">1,392 </w:t>
            </w:r>
          </w:p>
        </w:tc>
        <w:tc>
          <w:tcPr>
            <w:tcW w:w="1134" w:type="dxa"/>
            <w:vAlign w:val="center"/>
          </w:tcPr>
          <w:p w14:paraId="31FCDA71" w14:textId="77777777" w:rsidR="00271E37" w:rsidRPr="00917260" w:rsidRDefault="00271E37">
            <w:r>
              <w:rPr>
                <w:rFonts w:cs="Arial"/>
                <w:color w:val="000000"/>
                <w:szCs w:val="16"/>
              </w:rPr>
              <w:t xml:space="preserve">281 </w:t>
            </w:r>
          </w:p>
        </w:tc>
        <w:tc>
          <w:tcPr>
            <w:tcW w:w="1134" w:type="dxa"/>
            <w:vAlign w:val="center"/>
          </w:tcPr>
          <w:p w14:paraId="4C54DD98" w14:textId="77777777" w:rsidR="00271E37" w:rsidRPr="00917260" w:rsidRDefault="00271E37">
            <w:r>
              <w:rPr>
                <w:rFonts w:cs="Arial"/>
                <w:color w:val="000000"/>
                <w:szCs w:val="16"/>
              </w:rPr>
              <w:t xml:space="preserve">130 </w:t>
            </w:r>
          </w:p>
        </w:tc>
        <w:tc>
          <w:tcPr>
            <w:tcW w:w="1134" w:type="dxa"/>
            <w:vAlign w:val="center"/>
          </w:tcPr>
          <w:p w14:paraId="6EC5E110" w14:textId="77777777" w:rsidR="00271E37" w:rsidRPr="00917260" w:rsidRDefault="00271E37">
            <w:r>
              <w:rPr>
                <w:rFonts w:cs="Arial"/>
                <w:color w:val="000000"/>
                <w:szCs w:val="16"/>
              </w:rPr>
              <w:t xml:space="preserve">2,861 </w:t>
            </w:r>
          </w:p>
        </w:tc>
      </w:tr>
      <w:tr w:rsidR="00271E37" w:rsidRPr="004955F2" w14:paraId="7FB706CB" w14:textId="77777777">
        <w:tc>
          <w:tcPr>
            <w:tcW w:w="2835" w:type="dxa"/>
            <w:tcBorders>
              <w:bottom w:val="single" w:sz="4" w:space="0" w:color="000000" w:themeColor="text1"/>
            </w:tcBorders>
          </w:tcPr>
          <w:p w14:paraId="2835C2EC" w14:textId="77777777" w:rsidR="00271E37" w:rsidRPr="00673DD0" w:rsidRDefault="00271E37">
            <w:pPr>
              <w:jc w:val="left"/>
            </w:pPr>
            <w:r w:rsidRPr="00673DD0">
              <w:t>Effect of movements in foreign exchange</w:t>
            </w:r>
          </w:p>
        </w:tc>
        <w:tc>
          <w:tcPr>
            <w:tcW w:w="1134" w:type="dxa"/>
            <w:tcBorders>
              <w:bottom w:val="single" w:sz="4" w:space="0" w:color="000000" w:themeColor="text1"/>
            </w:tcBorders>
            <w:vAlign w:val="center"/>
          </w:tcPr>
          <w:p w14:paraId="3183AD4E" w14:textId="77777777" w:rsidR="00271E37" w:rsidRPr="00917260" w:rsidRDefault="00271E37">
            <w:r>
              <w:rPr>
                <w:rFonts w:cs="Arial"/>
                <w:color w:val="000000"/>
                <w:szCs w:val="16"/>
              </w:rPr>
              <w:t xml:space="preserve">311 </w:t>
            </w:r>
          </w:p>
        </w:tc>
        <w:tc>
          <w:tcPr>
            <w:tcW w:w="1134" w:type="dxa"/>
            <w:tcBorders>
              <w:bottom w:val="single" w:sz="4" w:space="0" w:color="000000" w:themeColor="text1"/>
            </w:tcBorders>
            <w:vAlign w:val="center"/>
          </w:tcPr>
          <w:p w14:paraId="239C4D73" w14:textId="77777777" w:rsidR="00271E37" w:rsidRPr="00917260" w:rsidRDefault="00271E37">
            <w:r>
              <w:rPr>
                <w:rFonts w:cs="Arial"/>
                <w:color w:val="000000"/>
                <w:szCs w:val="16"/>
              </w:rPr>
              <w:t xml:space="preserve">79 </w:t>
            </w:r>
          </w:p>
        </w:tc>
        <w:tc>
          <w:tcPr>
            <w:tcW w:w="1134" w:type="dxa"/>
            <w:tcBorders>
              <w:bottom w:val="single" w:sz="4" w:space="0" w:color="000000" w:themeColor="text1"/>
            </w:tcBorders>
            <w:vAlign w:val="center"/>
          </w:tcPr>
          <w:p w14:paraId="3E53EC86" w14:textId="77777777" w:rsidR="00271E37" w:rsidRPr="00917260" w:rsidRDefault="00271E37">
            <w:r>
              <w:rPr>
                <w:rFonts w:cs="Arial"/>
                <w:color w:val="000000"/>
                <w:szCs w:val="16"/>
              </w:rPr>
              <w:t xml:space="preserve">969 </w:t>
            </w:r>
          </w:p>
        </w:tc>
        <w:tc>
          <w:tcPr>
            <w:tcW w:w="1134" w:type="dxa"/>
            <w:tcBorders>
              <w:bottom w:val="single" w:sz="4" w:space="0" w:color="000000" w:themeColor="text1"/>
            </w:tcBorders>
            <w:vAlign w:val="center"/>
          </w:tcPr>
          <w:p w14:paraId="34A5AFEA" w14:textId="77777777" w:rsidR="00271E37" w:rsidRPr="00917260" w:rsidRDefault="00271E37">
            <w:r>
              <w:rPr>
                <w:rFonts w:cs="Arial"/>
                <w:color w:val="000000"/>
                <w:szCs w:val="16"/>
              </w:rPr>
              <w:t xml:space="preserve">16 </w:t>
            </w:r>
          </w:p>
        </w:tc>
        <w:tc>
          <w:tcPr>
            <w:tcW w:w="1134" w:type="dxa"/>
            <w:tcBorders>
              <w:bottom w:val="single" w:sz="4" w:space="0" w:color="000000" w:themeColor="text1"/>
            </w:tcBorders>
            <w:vAlign w:val="center"/>
          </w:tcPr>
          <w:p w14:paraId="535A78AD" w14:textId="77777777" w:rsidR="00271E37" w:rsidRPr="00917260" w:rsidRDefault="00271E37">
            <w:r>
              <w:rPr>
                <w:rFonts w:cs="Arial"/>
                <w:color w:val="000000"/>
                <w:szCs w:val="16"/>
              </w:rPr>
              <w:t xml:space="preserve">43 </w:t>
            </w:r>
          </w:p>
        </w:tc>
        <w:tc>
          <w:tcPr>
            <w:tcW w:w="1134" w:type="dxa"/>
            <w:tcBorders>
              <w:bottom w:val="single" w:sz="4" w:space="0" w:color="000000" w:themeColor="text1"/>
            </w:tcBorders>
            <w:vAlign w:val="center"/>
          </w:tcPr>
          <w:p w14:paraId="50D4686D" w14:textId="77777777" w:rsidR="00271E37" w:rsidRPr="00917260" w:rsidRDefault="00271E37">
            <w:r>
              <w:rPr>
                <w:rFonts w:cs="Arial"/>
                <w:color w:val="000000"/>
                <w:szCs w:val="16"/>
              </w:rPr>
              <w:t xml:space="preserve">1,418 </w:t>
            </w:r>
          </w:p>
        </w:tc>
      </w:tr>
      <w:tr w:rsidR="00271E37" w:rsidRPr="004955F2" w14:paraId="344BA692" w14:textId="77777777">
        <w:tc>
          <w:tcPr>
            <w:tcW w:w="2835" w:type="dxa"/>
            <w:tcBorders>
              <w:top w:val="single" w:sz="4" w:space="0" w:color="000000" w:themeColor="text1"/>
            </w:tcBorders>
          </w:tcPr>
          <w:p w14:paraId="2B8C9AD9" w14:textId="77777777" w:rsidR="00271E37" w:rsidRPr="00673DD0" w:rsidRDefault="00271E37">
            <w:pPr>
              <w:jc w:val="left"/>
            </w:pPr>
            <w:r w:rsidRPr="00673DD0">
              <w:t>Balance at 31 March 202</w:t>
            </w:r>
            <w:r>
              <w:t>5</w:t>
            </w:r>
          </w:p>
        </w:tc>
        <w:tc>
          <w:tcPr>
            <w:tcW w:w="1134" w:type="dxa"/>
            <w:tcBorders>
              <w:top w:val="single" w:sz="4" w:space="0" w:color="000000" w:themeColor="text1"/>
            </w:tcBorders>
            <w:vAlign w:val="center"/>
          </w:tcPr>
          <w:p w14:paraId="4C1D4F79" w14:textId="77777777" w:rsidR="00271E37" w:rsidRPr="00917260" w:rsidRDefault="00271E37">
            <w:r>
              <w:rPr>
                <w:rFonts w:cs="Arial"/>
                <w:color w:val="000000"/>
                <w:szCs w:val="16"/>
              </w:rPr>
              <w:t>(17,434)</w:t>
            </w:r>
          </w:p>
        </w:tc>
        <w:tc>
          <w:tcPr>
            <w:tcW w:w="1134" w:type="dxa"/>
            <w:tcBorders>
              <w:top w:val="single" w:sz="4" w:space="0" w:color="000000" w:themeColor="text1"/>
            </w:tcBorders>
            <w:vAlign w:val="center"/>
          </w:tcPr>
          <w:p w14:paraId="1B7EAA3A" w14:textId="77777777" w:rsidR="00271E37" w:rsidRPr="00917260" w:rsidRDefault="00271E37">
            <w:r>
              <w:rPr>
                <w:rFonts w:cs="Arial"/>
                <w:color w:val="000000"/>
                <w:szCs w:val="16"/>
              </w:rPr>
              <w:t>(2,418)</w:t>
            </w:r>
          </w:p>
        </w:tc>
        <w:tc>
          <w:tcPr>
            <w:tcW w:w="1134" w:type="dxa"/>
            <w:tcBorders>
              <w:top w:val="single" w:sz="4" w:space="0" w:color="000000" w:themeColor="text1"/>
            </w:tcBorders>
            <w:vAlign w:val="center"/>
          </w:tcPr>
          <w:p w14:paraId="655541AB" w14:textId="77777777" w:rsidR="00271E37" w:rsidRPr="00917260" w:rsidRDefault="00271E37">
            <w:r>
              <w:rPr>
                <w:rFonts w:cs="Arial"/>
                <w:color w:val="000000"/>
                <w:szCs w:val="16"/>
              </w:rPr>
              <w:t>(60,302)</w:t>
            </w:r>
          </w:p>
        </w:tc>
        <w:tc>
          <w:tcPr>
            <w:tcW w:w="1134" w:type="dxa"/>
            <w:tcBorders>
              <w:top w:val="single" w:sz="4" w:space="0" w:color="000000" w:themeColor="text1"/>
            </w:tcBorders>
            <w:vAlign w:val="center"/>
          </w:tcPr>
          <w:p w14:paraId="12C52BB8" w14:textId="77777777" w:rsidR="00271E37" w:rsidRPr="00917260" w:rsidRDefault="00271E37">
            <w:r>
              <w:rPr>
                <w:rFonts w:cs="Arial"/>
                <w:color w:val="000000"/>
                <w:szCs w:val="16"/>
              </w:rPr>
              <w:t>(3,490)</w:t>
            </w:r>
          </w:p>
        </w:tc>
        <w:tc>
          <w:tcPr>
            <w:tcW w:w="1134" w:type="dxa"/>
            <w:tcBorders>
              <w:top w:val="single" w:sz="4" w:space="0" w:color="000000" w:themeColor="text1"/>
            </w:tcBorders>
            <w:vAlign w:val="center"/>
          </w:tcPr>
          <w:p w14:paraId="312AE938" w14:textId="77777777" w:rsidR="00271E37" w:rsidRPr="00917260" w:rsidRDefault="00271E37">
            <w:r>
              <w:rPr>
                <w:rFonts w:cs="Arial"/>
                <w:color w:val="000000"/>
                <w:szCs w:val="16"/>
              </w:rPr>
              <w:t>(1,246)</w:t>
            </w:r>
          </w:p>
        </w:tc>
        <w:tc>
          <w:tcPr>
            <w:tcW w:w="1134" w:type="dxa"/>
            <w:tcBorders>
              <w:top w:val="single" w:sz="4" w:space="0" w:color="000000" w:themeColor="text1"/>
            </w:tcBorders>
            <w:vAlign w:val="center"/>
          </w:tcPr>
          <w:p w14:paraId="5641C5BC" w14:textId="77777777" w:rsidR="00271E37" w:rsidRPr="00917260" w:rsidRDefault="00271E37">
            <w:r>
              <w:rPr>
                <w:rFonts w:cs="Arial"/>
                <w:color w:val="000000"/>
                <w:szCs w:val="16"/>
              </w:rPr>
              <w:t>(84,890)</w:t>
            </w:r>
          </w:p>
        </w:tc>
      </w:tr>
      <w:tr w:rsidR="00271E37" w:rsidRPr="004955F2" w14:paraId="7C0643C9" w14:textId="77777777">
        <w:tc>
          <w:tcPr>
            <w:tcW w:w="2835" w:type="dxa"/>
          </w:tcPr>
          <w:p w14:paraId="554210BF" w14:textId="77777777" w:rsidR="00271E37" w:rsidRPr="00673DD0" w:rsidRDefault="00271E37">
            <w:pPr>
              <w:jc w:val="left"/>
            </w:pPr>
            <w:r w:rsidRPr="00673DD0">
              <w:t>Depreciation charge for the year</w:t>
            </w:r>
          </w:p>
        </w:tc>
        <w:tc>
          <w:tcPr>
            <w:tcW w:w="1134" w:type="dxa"/>
            <w:vAlign w:val="center"/>
          </w:tcPr>
          <w:p w14:paraId="628943D4" w14:textId="77777777" w:rsidR="00271E37" w:rsidRPr="004028AB" w:rsidRDefault="00271E37">
            <w:pPr>
              <w:rPr>
                <w:b/>
                <w:bCs/>
              </w:rPr>
            </w:pPr>
            <w:r>
              <w:rPr>
                <w:rFonts w:cs="Arial"/>
                <w:color w:val="000000"/>
                <w:szCs w:val="16"/>
              </w:rPr>
              <w:t>(774)</w:t>
            </w:r>
          </w:p>
        </w:tc>
        <w:tc>
          <w:tcPr>
            <w:tcW w:w="1134" w:type="dxa"/>
            <w:vAlign w:val="center"/>
          </w:tcPr>
          <w:p w14:paraId="46FC110E" w14:textId="77777777" w:rsidR="00271E37" w:rsidRPr="004028AB" w:rsidRDefault="00271E37">
            <w:pPr>
              <w:rPr>
                <w:b/>
                <w:bCs/>
              </w:rPr>
            </w:pPr>
            <w:r>
              <w:rPr>
                <w:rFonts w:cs="Arial"/>
                <w:color w:val="000000"/>
                <w:szCs w:val="16"/>
              </w:rPr>
              <w:t>(66)</w:t>
            </w:r>
          </w:p>
        </w:tc>
        <w:tc>
          <w:tcPr>
            <w:tcW w:w="1134" w:type="dxa"/>
            <w:vAlign w:val="center"/>
          </w:tcPr>
          <w:p w14:paraId="4F271549" w14:textId="77777777" w:rsidR="00271E37" w:rsidRPr="004028AB" w:rsidRDefault="00271E37">
            <w:pPr>
              <w:rPr>
                <w:b/>
                <w:bCs/>
              </w:rPr>
            </w:pPr>
            <w:r>
              <w:rPr>
                <w:rFonts w:cs="Arial"/>
                <w:color w:val="000000"/>
                <w:szCs w:val="16"/>
              </w:rPr>
              <w:t>(2,876)</w:t>
            </w:r>
          </w:p>
        </w:tc>
        <w:tc>
          <w:tcPr>
            <w:tcW w:w="1134" w:type="dxa"/>
            <w:vAlign w:val="center"/>
          </w:tcPr>
          <w:p w14:paraId="29686B23" w14:textId="77777777" w:rsidR="00271E37" w:rsidRPr="004028AB" w:rsidRDefault="00271E37">
            <w:pPr>
              <w:rPr>
                <w:b/>
                <w:bCs/>
              </w:rPr>
            </w:pPr>
            <w:r>
              <w:rPr>
                <w:rFonts w:cs="Arial"/>
                <w:color w:val="000000"/>
                <w:szCs w:val="16"/>
              </w:rPr>
              <w:t>(281)</w:t>
            </w:r>
          </w:p>
        </w:tc>
        <w:tc>
          <w:tcPr>
            <w:tcW w:w="1134" w:type="dxa"/>
            <w:vAlign w:val="center"/>
          </w:tcPr>
          <w:p w14:paraId="25E2DA7C" w14:textId="77777777" w:rsidR="00271E37" w:rsidRPr="004028AB" w:rsidRDefault="00271E37">
            <w:pPr>
              <w:rPr>
                <w:b/>
                <w:bCs/>
              </w:rPr>
            </w:pPr>
            <w:r>
              <w:rPr>
                <w:rFonts w:cs="Arial"/>
                <w:color w:val="000000"/>
                <w:szCs w:val="16"/>
              </w:rPr>
              <w:t>(137)</w:t>
            </w:r>
          </w:p>
        </w:tc>
        <w:tc>
          <w:tcPr>
            <w:tcW w:w="1134" w:type="dxa"/>
            <w:vAlign w:val="center"/>
          </w:tcPr>
          <w:p w14:paraId="0AE48671" w14:textId="77777777" w:rsidR="00271E37" w:rsidRPr="004028AB" w:rsidRDefault="00271E37">
            <w:pPr>
              <w:rPr>
                <w:b/>
                <w:bCs/>
              </w:rPr>
            </w:pPr>
            <w:r>
              <w:rPr>
                <w:rFonts w:cs="Arial"/>
                <w:color w:val="000000"/>
                <w:szCs w:val="16"/>
              </w:rPr>
              <w:t>(4,134)</w:t>
            </w:r>
          </w:p>
        </w:tc>
      </w:tr>
      <w:tr w:rsidR="00271E37" w:rsidRPr="004955F2" w14:paraId="6DEB83E8" w14:textId="77777777">
        <w:tc>
          <w:tcPr>
            <w:tcW w:w="2835" w:type="dxa"/>
          </w:tcPr>
          <w:p w14:paraId="176372B4" w14:textId="77777777" w:rsidR="00271E37" w:rsidRPr="00673DD0" w:rsidRDefault="00271E37">
            <w:pPr>
              <w:jc w:val="left"/>
            </w:pPr>
            <w:r>
              <w:t>Impairments</w:t>
            </w:r>
          </w:p>
        </w:tc>
        <w:tc>
          <w:tcPr>
            <w:tcW w:w="1134" w:type="dxa"/>
            <w:vAlign w:val="center"/>
          </w:tcPr>
          <w:p w14:paraId="5D342075" w14:textId="77777777" w:rsidR="00271E37" w:rsidRPr="004028AB" w:rsidRDefault="00271E37">
            <w:pPr>
              <w:rPr>
                <w:b/>
                <w:bCs/>
              </w:rPr>
            </w:pPr>
            <w:r>
              <w:rPr>
                <w:rFonts w:cs="Arial"/>
                <w:color w:val="000000"/>
                <w:szCs w:val="16"/>
              </w:rPr>
              <w:t xml:space="preserve"> - </w:t>
            </w:r>
          </w:p>
        </w:tc>
        <w:tc>
          <w:tcPr>
            <w:tcW w:w="1134" w:type="dxa"/>
            <w:vAlign w:val="center"/>
          </w:tcPr>
          <w:p w14:paraId="33CE03C5" w14:textId="77777777" w:rsidR="00271E37" w:rsidRPr="004028AB" w:rsidRDefault="00271E37">
            <w:pPr>
              <w:rPr>
                <w:b/>
                <w:bCs/>
              </w:rPr>
            </w:pPr>
            <w:r>
              <w:rPr>
                <w:rFonts w:cs="Arial"/>
                <w:color w:val="000000"/>
                <w:szCs w:val="16"/>
              </w:rPr>
              <w:t xml:space="preserve"> - </w:t>
            </w:r>
          </w:p>
        </w:tc>
        <w:tc>
          <w:tcPr>
            <w:tcW w:w="1134" w:type="dxa"/>
            <w:vAlign w:val="center"/>
          </w:tcPr>
          <w:p w14:paraId="01735930" w14:textId="77777777" w:rsidR="00271E37" w:rsidRPr="004028AB" w:rsidRDefault="00271E37">
            <w:pPr>
              <w:rPr>
                <w:b/>
                <w:bCs/>
              </w:rPr>
            </w:pPr>
            <w:r>
              <w:rPr>
                <w:rFonts w:cs="Arial"/>
                <w:color w:val="000000"/>
                <w:szCs w:val="16"/>
              </w:rPr>
              <w:t>(1,504)</w:t>
            </w:r>
          </w:p>
        </w:tc>
        <w:tc>
          <w:tcPr>
            <w:tcW w:w="1134" w:type="dxa"/>
            <w:vAlign w:val="center"/>
          </w:tcPr>
          <w:p w14:paraId="413137E4" w14:textId="77777777" w:rsidR="00271E37" w:rsidRPr="004028AB" w:rsidRDefault="00271E37">
            <w:pPr>
              <w:rPr>
                <w:b/>
                <w:bCs/>
              </w:rPr>
            </w:pPr>
            <w:r>
              <w:rPr>
                <w:rFonts w:cs="Arial"/>
                <w:color w:val="000000"/>
                <w:szCs w:val="16"/>
              </w:rPr>
              <w:t xml:space="preserve"> - </w:t>
            </w:r>
          </w:p>
        </w:tc>
        <w:tc>
          <w:tcPr>
            <w:tcW w:w="1134" w:type="dxa"/>
            <w:vAlign w:val="center"/>
          </w:tcPr>
          <w:p w14:paraId="1839FB2D" w14:textId="77777777" w:rsidR="00271E37" w:rsidRPr="004028AB" w:rsidRDefault="00271E37">
            <w:pPr>
              <w:rPr>
                <w:b/>
                <w:bCs/>
              </w:rPr>
            </w:pPr>
            <w:r>
              <w:rPr>
                <w:rFonts w:cs="Arial"/>
                <w:color w:val="000000"/>
                <w:szCs w:val="16"/>
              </w:rPr>
              <w:t xml:space="preserve"> - </w:t>
            </w:r>
          </w:p>
        </w:tc>
        <w:tc>
          <w:tcPr>
            <w:tcW w:w="1134" w:type="dxa"/>
            <w:vAlign w:val="center"/>
          </w:tcPr>
          <w:p w14:paraId="0365A805" w14:textId="77777777" w:rsidR="00271E37" w:rsidRPr="004028AB" w:rsidRDefault="00271E37">
            <w:pPr>
              <w:rPr>
                <w:b/>
                <w:bCs/>
              </w:rPr>
            </w:pPr>
            <w:r>
              <w:rPr>
                <w:rFonts w:cs="Arial"/>
                <w:color w:val="000000"/>
                <w:szCs w:val="16"/>
              </w:rPr>
              <w:t>(1,504)</w:t>
            </w:r>
          </w:p>
        </w:tc>
      </w:tr>
      <w:tr w:rsidR="00271E37" w:rsidRPr="004955F2" w14:paraId="6D14ABC5" w14:textId="77777777">
        <w:tc>
          <w:tcPr>
            <w:tcW w:w="2835" w:type="dxa"/>
          </w:tcPr>
          <w:p w14:paraId="7F304F0B" w14:textId="77777777" w:rsidR="00271E37" w:rsidRPr="00673DD0" w:rsidRDefault="00271E37">
            <w:pPr>
              <w:jc w:val="left"/>
            </w:pPr>
            <w:r w:rsidRPr="00673DD0">
              <w:t xml:space="preserve">Transfer </w:t>
            </w:r>
            <w:r>
              <w:t>from intangible assets</w:t>
            </w:r>
          </w:p>
        </w:tc>
        <w:tc>
          <w:tcPr>
            <w:tcW w:w="1134" w:type="dxa"/>
            <w:vAlign w:val="center"/>
          </w:tcPr>
          <w:p w14:paraId="7B554B42" w14:textId="77777777" w:rsidR="00271E37" w:rsidRPr="004028AB" w:rsidRDefault="00271E37">
            <w:pPr>
              <w:rPr>
                <w:b/>
                <w:bCs/>
              </w:rPr>
            </w:pPr>
            <w:r>
              <w:rPr>
                <w:rFonts w:cs="Arial"/>
                <w:color w:val="000000"/>
                <w:szCs w:val="16"/>
              </w:rPr>
              <w:t xml:space="preserve"> - </w:t>
            </w:r>
          </w:p>
        </w:tc>
        <w:tc>
          <w:tcPr>
            <w:tcW w:w="1134" w:type="dxa"/>
            <w:vAlign w:val="center"/>
          </w:tcPr>
          <w:p w14:paraId="12352355" w14:textId="77777777" w:rsidR="00271E37" w:rsidRPr="004028AB" w:rsidRDefault="00271E37">
            <w:pPr>
              <w:rPr>
                <w:b/>
                <w:bCs/>
              </w:rPr>
            </w:pPr>
            <w:r>
              <w:rPr>
                <w:rFonts w:cs="Arial"/>
                <w:color w:val="000000"/>
                <w:szCs w:val="16"/>
              </w:rPr>
              <w:t xml:space="preserve"> - </w:t>
            </w:r>
          </w:p>
        </w:tc>
        <w:tc>
          <w:tcPr>
            <w:tcW w:w="1134" w:type="dxa"/>
            <w:vAlign w:val="center"/>
          </w:tcPr>
          <w:p w14:paraId="1B992D34" w14:textId="77777777" w:rsidR="00271E37" w:rsidRPr="004028AB" w:rsidRDefault="00271E37">
            <w:pPr>
              <w:rPr>
                <w:b/>
                <w:bCs/>
              </w:rPr>
            </w:pPr>
            <w:r>
              <w:rPr>
                <w:rFonts w:cs="Arial"/>
                <w:color w:val="000000"/>
                <w:szCs w:val="16"/>
              </w:rPr>
              <w:t xml:space="preserve"> - </w:t>
            </w:r>
          </w:p>
        </w:tc>
        <w:tc>
          <w:tcPr>
            <w:tcW w:w="1134" w:type="dxa"/>
            <w:vAlign w:val="center"/>
          </w:tcPr>
          <w:p w14:paraId="5E67D5A4" w14:textId="77777777" w:rsidR="00271E37" w:rsidRPr="004028AB" w:rsidRDefault="00271E37">
            <w:pPr>
              <w:rPr>
                <w:b/>
                <w:bCs/>
              </w:rPr>
            </w:pPr>
            <w:r>
              <w:rPr>
                <w:rFonts w:cs="Arial"/>
                <w:color w:val="000000"/>
                <w:szCs w:val="16"/>
              </w:rPr>
              <w:t>(114)</w:t>
            </w:r>
          </w:p>
        </w:tc>
        <w:tc>
          <w:tcPr>
            <w:tcW w:w="1134" w:type="dxa"/>
            <w:vAlign w:val="center"/>
          </w:tcPr>
          <w:p w14:paraId="507BE5CB" w14:textId="77777777" w:rsidR="00271E37" w:rsidRPr="004028AB" w:rsidRDefault="00271E37">
            <w:pPr>
              <w:rPr>
                <w:b/>
                <w:bCs/>
              </w:rPr>
            </w:pPr>
            <w:r>
              <w:rPr>
                <w:rFonts w:cs="Arial"/>
                <w:color w:val="000000"/>
                <w:szCs w:val="16"/>
              </w:rPr>
              <w:t xml:space="preserve"> - </w:t>
            </w:r>
          </w:p>
        </w:tc>
        <w:tc>
          <w:tcPr>
            <w:tcW w:w="1134" w:type="dxa"/>
            <w:vAlign w:val="center"/>
          </w:tcPr>
          <w:p w14:paraId="3C2B8832" w14:textId="77777777" w:rsidR="00271E37" w:rsidRPr="004028AB" w:rsidRDefault="00271E37">
            <w:pPr>
              <w:rPr>
                <w:b/>
                <w:bCs/>
              </w:rPr>
            </w:pPr>
            <w:r>
              <w:rPr>
                <w:rFonts w:cs="Arial"/>
                <w:color w:val="000000"/>
                <w:szCs w:val="16"/>
              </w:rPr>
              <w:t>(114)</w:t>
            </w:r>
          </w:p>
        </w:tc>
      </w:tr>
      <w:tr w:rsidR="00271E37" w:rsidRPr="00AC3B11" w14:paraId="3AC34FEB" w14:textId="77777777">
        <w:tc>
          <w:tcPr>
            <w:tcW w:w="2835" w:type="dxa"/>
          </w:tcPr>
          <w:p w14:paraId="4D0E9AF4" w14:textId="77777777" w:rsidR="00271E37" w:rsidRPr="00673DD0" w:rsidRDefault="00271E37">
            <w:pPr>
              <w:jc w:val="left"/>
            </w:pPr>
            <w:r w:rsidRPr="00673DD0">
              <w:t>Disposals</w:t>
            </w:r>
          </w:p>
        </w:tc>
        <w:tc>
          <w:tcPr>
            <w:tcW w:w="1134" w:type="dxa"/>
            <w:vAlign w:val="center"/>
          </w:tcPr>
          <w:p w14:paraId="445B5C2E" w14:textId="77777777" w:rsidR="00271E37" w:rsidRPr="004028AB" w:rsidRDefault="00271E37">
            <w:pPr>
              <w:rPr>
                <w:b/>
                <w:bCs/>
              </w:rPr>
            </w:pPr>
            <w:r>
              <w:rPr>
                <w:rFonts w:cs="Arial"/>
                <w:color w:val="000000"/>
                <w:szCs w:val="16"/>
              </w:rPr>
              <w:t xml:space="preserve">532 </w:t>
            </w:r>
          </w:p>
        </w:tc>
        <w:tc>
          <w:tcPr>
            <w:tcW w:w="1134" w:type="dxa"/>
            <w:vAlign w:val="center"/>
          </w:tcPr>
          <w:p w14:paraId="7FEC2CDF" w14:textId="77777777" w:rsidR="00271E37" w:rsidRPr="004028AB" w:rsidRDefault="00271E37">
            <w:pPr>
              <w:rPr>
                <w:b/>
                <w:bCs/>
              </w:rPr>
            </w:pPr>
            <w:r>
              <w:rPr>
                <w:rFonts w:cs="Arial"/>
                <w:color w:val="000000"/>
                <w:szCs w:val="16"/>
              </w:rPr>
              <w:t xml:space="preserve">149 </w:t>
            </w:r>
          </w:p>
        </w:tc>
        <w:tc>
          <w:tcPr>
            <w:tcW w:w="1134" w:type="dxa"/>
            <w:vAlign w:val="center"/>
          </w:tcPr>
          <w:p w14:paraId="228250E3" w14:textId="77777777" w:rsidR="00271E37" w:rsidRPr="004028AB" w:rsidRDefault="00271E37">
            <w:pPr>
              <w:rPr>
                <w:b/>
                <w:bCs/>
              </w:rPr>
            </w:pPr>
            <w:r>
              <w:rPr>
                <w:rFonts w:cs="Arial"/>
                <w:color w:val="000000"/>
                <w:szCs w:val="16"/>
              </w:rPr>
              <w:t xml:space="preserve">10,198 </w:t>
            </w:r>
          </w:p>
        </w:tc>
        <w:tc>
          <w:tcPr>
            <w:tcW w:w="1134" w:type="dxa"/>
            <w:vAlign w:val="center"/>
          </w:tcPr>
          <w:p w14:paraId="7C65E143" w14:textId="77777777" w:rsidR="00271E37" w:rsidRPr="004028AB" w:rsidRDefault="00271E37">
            <w:pPr>
              <w:rPr>
                <w:b/>
                <w:bCs/>
              </w:rPr>
            </w:pPr>
            <w:r>
              <w:rPr>
                <w:rFonts w:cs="Arial"/>
                <w:color w:val="000000"/>
                <w:szCs w:val="16"/>
              </w:rPr>
              <w:t xml:space="preserve">1,135 </w:t>
            </w:r>
          </w:p>
        </w:tc>
        <w:tc>
          <w:tcPr>
            <w:tcW w:w="1134" w:type="dxa"/>
            <w:vAlign w:val="center"/>
          </w:tcPr>
          <w:p w14:paraId="6B7FCE82" w14:textId="77777777" w:rsidR="00271E37" w:rsidRPr="004028AB" w:rsidRDefault="00271E37">
            <w:pPr>
              <w:rPr>
                <w:b/>
                <w:bCs/>
              </w:rPr>
            </w:pPr>
            <w:r>
              <w:rPr>
                <w:rFonts w:cs="Arial"/>
                <w:color w:val="000000"/>
                <w:szCs w:val="16"/>
              </w:rPr>
              <w:t xml:space="preserve">437 </w:t>
            </w:r>
          </w:p>
        </w:tc>
        <w:tc>
          <w:tcPr>
            <w:tcW w:w="1134" w:type="dxa"/>
            <w:vAlign w:val="center"/>
          </w:tcPr>
          <w:p w14:paraId="21224525" w14:textId="77777777" w:rsidR="00271E37" w:rsidRPr="004028AB" w:rsidRDefault="00271E37">
            <w:pPr>
              <w:rPr>
                <w:b/>
                <w:bCs/>
              </w:rPr>
            </w:pPr>
            <w:r>
              <w:rPr>
                <w:rFonts w:cs="Arial"/>
                <w:color w:val="000000"/>
                <w:szCs w:val="16"/>
              </w:rPr>
              <w:t xml:space="preserve">12,451 </w:t>
            </w:r>
          </w:p>
        </w:tc>
      </w:tr>
      <w:tr w:rsidR="00271E37" w:rsidRPr="004955F2" w14:paraId="34679220" w14:textId="77777777">
        <w:tc>
          <w:tcPr>
            <w:tcW w:w="2835" w:type="dxa"/>
            <w:vAlign w:val="bottom"/>
          </w:tcPr>
          <w:p w14:paraId="71DDBC0A" w14:textId="77777777" w:rsidR="00271E37" w:rsidRPr="00673DD0" w:rsidRDefault="00271E37">
            <w:pPr>
              <w:jc w:val="left"/>
            </w:pPr>
            <w:r w:rsidRPr="006448A5">
              <w:t>Derecognition on disposal of division</w:t>
            </w:r>
          </w:p>
        </w:tc>
        <w:tc>
          <w:tcPr>
            <w:tcW w:w="1134" w:type="dxa"/>
            <w:vAlign w:val="center"/>
          </w:tcPr>
          <w:p w14:paraId="6283CB62" w14:textId="77777777" w:rsidR="00271E37" w:rsidRPr="004028AB" w:rsidRDefault="00271E37">
            <w:pPr>
              <w:rPr>
                <w:b/>
                <w:bCs/>
              </w:rPr>
            </w:pPr>
            <w:r>
              <w:rPr>
                <w:rFonts w:cs="Arial"/>
                <w:color w:val="000000"/>
                <w:szCs w:val="16"/>
              </w:rPr>
              <w:t xml:space="preserve">6,693 </w:t>
            </w:r>
          </w:p>
        </w:tc>
        <w:tc>
          <w:tcPr>
            <w:tcW w:w="1134" w:type="dxa"/>
            <w:vAlign w:val="center"/>
          </w:tcPr>
          <w:p w14:paraId="751E6343" w14:textId="77777777" w:rsidR="00271E37" w:rsidRPr="004028AB" w:rsidRDefault="00271E37">
            <w:pPr>
              <w:rPr>
                <w:b/>
                <w:bCs/>
              </w:rPr>
            </w:pPr>
            <w:r>
              <w:rPr>
                <w:rFonts w:cs="Arial"/>
                <w:color w:val="000000"/>
                <w:szCs w:val="16"/>
              </w:rPr>
              <w:t xml:space="preserve">1,883 </w:t>
            </w:r>
          </w:p>
        </w:tc>
        <w:tc>
          <w:tcPr>
            <w:tcW w:w="1134" w:type="dxa"/>
            <w:vAlign w:val="center"/>
          </w:tcPr>
          <w:p w14:paraId="29D2FA6D" w14:textId="77777777" w:rsidR="00271E37" w:rsidRPr="004028AB" w:rsidRDefault="00271E37">
            <w:pPr>
              <w:rPr>
                <w:b/>
                <w:bCs/>
              </w:rPr>
            </w:pPr>
            <w:r>
              <w:rPr>
                <w:rFonts w:cs="Arial"/>
                <w:color w:val="000000"/>
                <w:szCs w:val="16"/>
              </w:rPr>
              <w:t xml:space="preserve">25,724 </w:t>
            </w:r>
          </w:p>
        </w:tc>
        <w:tc>
          <w:tcPr>
            <w:tcW w:w="1134" w:type="dxa"/>
            <w:vAlign w:val="center"/>
          </w:tcPr>
          <w:p w14:paraId="1DDDEF75" w14:textId="77777777" w:rsidR="00271E37" w:rsidRPr="004028AB" w:rsidRDefault="00271E37">
            <w:pPr>
              <w:rPr>
                <w:b/>
                <w:bCs/>
              </w:rPr>
            </w:pPr>
            <w:r>
              <w:rPr>
                <w:rFonts w:cs="Arial"/>
                <w:color w:val="000000"/>
                <w:szCs w:val="16"/>
              </w:rPr>
              <w:t>(3)</w:t>
            </w:r>
          </w:p>
        </w:tc>
        <w:tc>
          <w:tcPr>
            <w:tcW w:w="1134" w:type="dxa"/>
            <w:vAlign w:val="center"/>
          </w:tcPr>
          <w:p w14:paraId="66381665" w14:textId="77777777" w:rsidR="00271E37" w:rsidRPr="004028AB" w:rsidRDefault="00271E37">
            <w:pPr>
              <w:rPr>
                <w:b/>
                <w:bCs/>
              </w:rPr>
            </w:pPr>
            <w:r>
              <w:rPr>
                <w:rFonts w:cs="Arial"/>
                <w:color w:val="000000"/>
                <w:szCs w:val="16"/>
              </w:rPr>
              <w:t xml:space="preserve">191 </w:t>
            </w:r>
          </w:p>
        </w:tc>
        <w:tc>
          <w:tcPr>
            <w:tcW w:w="1134" w:type="dxa"/>
            <w:vAlign w:val="center"/>
          </w:tcPr>
          <w:p w14:paraId="10C0180E" w14:textId="77777777" w:rsidR="00271E37" w:rsidRPr="004028AB" w:rsidRDefault="00271E37">
            <w:pPr>
              <w:rPr>
                <w:b/>
                <w:bCs/>
              </w:rPr>
            </w:pPr>
            <w:r>
              <w:rPr>
                <w:rFonts w:cs="Arial"/>
                <w:color w:val="000000"/>
                <w:szCs w:val="16"/>
              </w:rPr>
              <w:t xml:space="preserve">34,488 </w:t>
            </w:r>
          </w:p>
        </w:tc>
      </w:tr>
      <w:tr w:rsidR="00271E37" w:rsidRPr="004955F2" w14:paraId="7ABD1C64" w14:textId="77777777">
        <w:tc>
          <w:tcPr>
            <w:tcW w:w="2835" w:type="dxa"/>
            <w:tcBorders>
              <w:bottom w:val="single" w:sz="4" w:space="0" w:color="000000" w:themeColor="text1"/>
            </w:tcBorders>
          </w:tcPr>
          <w:p w14:paraId="045DA295" w14:textId="77777777" w:rsidR="00271E37" w:rsidRPr="00673DD0" w:rsidRDefault="00271E37">
            <w:pPr>
              <w:jc w:val="left"/>
            </w:pPr>
            <w:r w:rsidRPr="00673DD0">
              <w:lastRenderedPageBreak/>
              <w:t>Effect of movements in foreign exchange</w:t>
            </w:r>
          </w:p>
        </w:tc>
        <w:tc>
          <w:tcPr>
            <w:tcW w:w="1134" w:type="dxa"/>
            <w:tcBorders>
              <w:bottom w:val="single" w:sz="4" w:space="0" w:color="000000" w:themeColor="text1"/>
            </w:tcBorders>
            <w:vAlign w:val="center"/>
          </w:tcPr>
          <w:p w14:paraId="1732D026" w14:textId="77777777" w:rsidR="00271E37" w:rsidRPr="004028AB" w:rsidRDefault="00271E37">
            <w:pPr>
              <w:rPr>
                <w:b/>
                <w:bCs/>
              </w:rPr>
            </w:pPr>
            <w:r>
              <w:rPr>
                <w:rFonts w:cs="Arial"/>
                <w:color w:val="000000"/>
                <w:szCs w:val="16"/>
              </w:rPr>
              <w:t xml:space="preserve">78 </w:t>
            </w:r>
          </w:p>
        </w:tc>
        <w:tc>
          <w:tcPr>
            <w:tcW w:w="1134" w:type="dxa"/>
            <w:tcBorders>
              <w:bottom w:val="single" w:sz="4" w:space="0" w:color="000000" w:themeColor="text1"/>
            </w:tcBorders>
            <w:vAlign w:val="center"/>
          </w:tcPr>
          <w:p w14:paraId="1368071E" w14:textId="77777777" w:rsidR="00271E37" w:rsidRPr="004028AB" w:rsidRDefault="00271E37">
            <w:pPr>
              <w:rPr>
                <w:b/>
                <w:bCs/>
              </w:rPr>
            </w:pPr>
            <w:r>
              <w:rPr>
                <w:rFonts w:cs="Arial"/>
                <w:color w:val="000000"/>
                <w:szCs w:val="16"/>
              </w:rPr>
              <w:t xml:space="preserve">75 </w:t>
            </w:r>
          </w:p>
        </w:tc>
        <w:tc>
          <w:tcPr>
            <w:tcW w:w="1134" w:type="dxa"/>
            <w:tcBorders>
              <w:bottom w:val="single" w:sz="4" w:space="0" w:color="000000" w:themeColor="text1"/>
            </w:tcBorders>
            <w:vAlign w:val="center"/>
          </w:tcPr>
          <w:p w14:paraId="18E5BE0D" w14:textId="77777777" w:rsidR="00271E37" w:rsidRPr="004028AB" w:rsidRDefault="00271E37">
            <w:pPr>
              <w:rPr>
                <w:b/>
                <w:bCs/>
              </w:rPr>
            </w:pPr>
            <w:r>
              <w:rPr>
                <w:rFonts w:cs="Arial"/>
                <w:color w:val="000000"/>
                <w:szCs w:val="16"/>
              </w:rPr>
              <w:t xml:space="preserve">636 </w:t>
            </w:r>
          </w:p>
        </w:tc>
        <w:tc>
          <w:tcPr>
            <w:tcW w:w="1134" w:type="dxa"/>
            <w:tcBorders>
              <w:bottom w:val="single" w:sz="4" w:space="0" w:color="000000" w:themeColor="text1"/>
            </w:tcBorders>
            <w:vAlign w:val="center"/>
          </w:tcPr>
          <w:p w14:paraId="40B8BC62" w14:textId="77777777" w:rsidR="00271E37" w:rsidRPr="004028AB" w:rsidRDefault="00271E37">
            <w:pPr>
              <w:rPr>
                <w:b/>
                <w:bCs/>
              </w:rPr>
            </w:pPr>
            <w:r>
              <w:rPr>
                <w:rFonts w:cs="Arial"/>
                <w:color w:val="000000"/>
                <w:szCs w:val="16"/>
              </w:rPr>
              <w:t>(51)</w:t>
            </w:r>
          </w:p>
        </w:tc>
        <w:tc>
          <w:tcPr>
            <w:tcW w:w="1134" w:type="dxa"/>
            <w:tcBorders>
              <w:bottom w:val="single" w:sz="4" w:space="0" w:color="000000" w:themeColor="text1"/>
            </w:tcBorders>
            <w:vAlign w:val="center"/>
          </w:tcPr>
          <w:p w14:paraId="0A1FD645" w14:textId="77777777" w:rsidR="00271E37" w:rsidRPr="004028AB" w:rsidRDefault="00271E37">
            <w:pPr>
              <w:rPr>
                <w:b/>
                <w:bCs/>
              </w:rPr>
            </w:pPr>
            <w:r>
              <w:rPr>
                <w:rFonts w:cs="Arial"/>
                <w:color w:val="000000"/>
                <w:szCs w:val="16"/>
              </w:rPr>
              <w:t>(32)</w:t>
            </w:r>
          </w:p>
        </w:tc>
        <w:tc>
          <w:tcPr>
            <w:tcW w:w="1134" w:type="dxa"/>
            <w:tcBorders>
              <w:bottom w:val="single" w:sz="4" w:space="0" w:color="000000" w:themeColor="text1"/>
            </w:tcBorders>
            <w:vAlign w:val="center"/>
          </w:tcPr>
          <w:p w14:paraId="026BC04E" w14:textId="77777777" w:rsidR="00271E37" w:rsidRPr="004028AB" w:rsidRDefault="00271E37">
            <w:pPr>
              <w:rPr>
                <w:b/>
                <w:bCs/>
              </w:rPr>
            </w:pPr>
            <w:r>
              <w:rPr>
                <w:rFonts w:cs="Arial"/>
                <w:color w:val="000000"/>
                <w:szCs w:val="16"/>
              </w:rPr>
              <w:t xml:space="preserve">706 </w:t>
            </w:r>
          </w:p>
        </w:tc>
      </w:tr>
      <w:tr w:rsidR="00271E37" w:rsidRPr="004955F2" w14:paraId="5CD71A55" w14:textId="77777777">
        <w:tc>
          <w:tcPr>
            <w:tcW w:w="2835" w:type="dxa"/>
            <w:tcBorders>
              <w:top w:val="single" w:sz="4" w:space="0" w:color="000000" w:themeColor="text1"/>
              <w:bottom w:val="single" w:sz="4" w:space="0" w:color="000000" w:themeColor="text1"/>
            </w:tcBorders>
          </w:tcPr>
          <w:p w14:paraId="43F7210A" w14:textId="77777777" w:rsidR="00271E37" w:rsidRPr="00673DD0" w:rsidRDefault="00271E37">
            <w:pPr>
              <w:jc w:val="left"/>
              <w:rPr>
                <w:b/>
                <w:bCs/>
              </w:rPr>
            </w:pPr>
            <w:r w:rsidRPr="00673DD0">
              <w:rPr>
                <w:b/>
                <w:bCs/>
              </w:rPr>
              <w:t>Balance at 31 March 202</w:t>
            </w:r>
            <w:r>
              <w:rPr>
                <w:b/>
                <w:bCs/>
              </w:rPr>
              <w:t>6</w:t>
            </w:r>
          </w:p>
        </w:tc>
        <w:tc>
          <w:tcPr>
            <w:tcW w:w="1134" w:type="dxa"/>
            <w:tcBorders>
              <w:top w:val="single" w:sz="4" w:space="0" w:color="000000" w:themeColor="text1"/>
              <w:bottom w:val="single" w:sz="4" w:space="0" w:color="000000" w:themeColor="text1"/>
            </w:tcBorders>
            <w:vAlign w:val="center"/>
          </w:tcPr>
          <w:p w14:paraId="7ABB5F03" w14:textId="77777777" w:rsidR="00271E37" w:rsidRPr="004028AB" w:rsidRDefault="00271E37">
            <w:pPr>
              <w:rPr>
                <w:b/>
                <w:bCs/>
              </w:rPr>
            </w:pPr>
            <w:r>
              <w:rPr>
                <w:rFonts w:cs="Arial"/>
                <w:b/>
                <w:bCs/>
                <w:color w:val="000000"/>
                <w:szCs w:val="16"/>
              </w:rPr>
              <w:t>(10,905)</w:t>
            </w:r>
          </w:p>
        </w:tc>
        <w:tc>
          <w:tcPr>
            <w:tcW w:w="1134" w:type="dxa"/>
            <w:tcBorders>
              <w:top w:val="single" w:sz="4" w:space="0" w:color="000000" w:themeColor="text1"/>
              <w:bottom w:val="single" w:sz="4" w:space="0" w:color="000000" w:themeColor="text1"/>
            </w:tcBorders>
            <w:vAlign w:val="center"/>
          </w:tcPr>
          <w:p w14:paraId="0138E2E4" w14:textId="77777777" w:rsidR="00271E37" w:rsidRPr="004028AB" w:rsidRDefault="00271E37">
            <w:pPr>
              <w:rPr>
                <w:b/>
                <w:bCs/>
              </w:rPr>
            </w:pPr>
            <w:r>
              <w:rPr>
                <w:rFonts w:cs="Arial"/>
                <w:b/>
                <w:bCs/>
                <w:color w:val="000000"/>
                <w:szCs w:val="16"/>
              </w:rPr>
              <w:t>(377)</w:t>
            </w:r>
          </w:p>
        </w:tc>
        <w:tc>
          <w:tcPr>
            <w:tcW w:w="1134" w:type="dxa"/>
            <w:tcBorders>
              <w:top w:val="single" w:sz="4" w:space="0" w:color="000000" w:themeColor="text1"/>
              <w:bottom w:val="single" w:sz="4" w:space="0" w:color="000000" w:themeColor="text1"/>
            </w:tcBorders>
            <w:vAlign w:val="center"/>
          </w:tcPr>
          <w:p w14:paraId="7E64EE69" w14:textId="77777777" w:rsidR="00271E37" w:rsidRPr="004028AB" w:rsidRDefault="00271E37">
            <w:pPr>
              <w:rPr>
                <w:b/>
                <w:bCs/>
              </w:rPr>
            </w:pPr>
            <w:r>
              <w:rPr>
                <w:rFonts w:cs="Arial"/>
                <w:b/>
                <w:bCs/>
                <w:color w:val="000000"/>
                <w:szCs w:val="16"/>
              </w:rPr>
              <w:t>(28,124)</w:t>
            </w:r>
          </w:p>
        </w:tc>
        <w:tc>
          <w:tcPr>
            <w:tcW w:w="1134" w:type="dxa"/>
            <w:tcBorders>
              <w:top w:val="single" w:sz="4" w:space="0" w:color="000000" w:themeColor="text1"/>
              <w:bottom w:val="single" w:sz="4" w:space="0" w:color="000000" w:themeColor="text1"/>
            </w:tcBorders>
            <w:vAlign w:val="center"/>
          </w:tcPr>
          <w:p w14:paraId="011B2B16" w14:textId="77777777" w:rsidR="00271E37" w:rsidRPr="004028AB" w:rsidRDefault="00271E37">
            <w:pPr>
              <w:rPr>
                <w:b/>
                <w:bCs/>
              </w:rPr>
            </w:pPr>
            <w:r>
              <w:rPr>
                <w:rFonts w:cs="Arial"/>
                <w:b/>
                <w:bCs/>
                <w:color w:val="000000"/>
                <w:szCs w:val="16"/>
              </w:rPr>
              <w:t>(2,804)</w:t>
            </w:r>
          </w:p>
        </w:tc>
        <w:tc>
          <w:tcPr>
            <w:tcW w:w="1134" w:type="dxa"/>
            <w:tcBorders>
              <w:top w:val="single" w:sz="4" w:space="0" w:color="000000" w:themeColor="text1"/>
              <w:bottom w:val="single" w:sz="4" w:space="0" w:color="000000" w:themeColor="text1"/>
            </w:tcBorders>
            <w:vAlign w:val="center"/>
          </w:tcPr>
          <w:p w14:paraId="0A508A17" w14:textId="77777777" w:rsidR="00271E37" w:rsidRPr="004028AB" w:rsidRDefault="00271E37">
            <w:pPr>
              <w:rPr>
                <w:b/>
                <w:bCs/>
              </w:rPr>
            </w:pPr>
            <w:r>
              <w:rPr>
                <w:rFonts w:cs="Arial"/>
                <w:b/>
                <w:bCs/>
                <w:color w:val="000000"/>
                <w:szCs w:val="16"/>
              </w:rPr>
              <w:t>(787)</w:t>
            </w:r>
          </w:p>
        </w:tc>
        <w:tc>
          <w:tcPr>
            <w:tcW w:w="1134" w:type="dxa"/>
            <w:tcBorders>
              <w:top w:val="single" w:sz="4" w:space="0" w:color="000000" w:themeColor="text1"/>
              <w:bottom w:val="single" w:sz="4" w:space="0" w:color="000000" w:themeColor="text1"/>
            </w:tcBorders>
            <w:vAlign w:val="center"/>
          </w:tcPr>
          <w:p w14:paraId="4ECE5671" w14:textId="77777777" w:rsidR="00271E37" w:rsidRPr="004028AB" w:rsidRDefault="00271E37">
            <w:pPr>
              <w:rPr>
                <w:b/>
                <w:bCs/>
              </w:rPr>
            </w:pPr>
            <w:r>
              <w:rPr>
                <w:rFonts w:cs="Arial"/>
                <w:b/>
                <w:bCs/>
                <w:color w:val="000000"/>
                <w:szCs w:val="16"/>
              </w:rPr>
              <w:t>(42,997)</w:t>
            </w:r>
          </w:p>
        </w:tc>
      </w:tr>
      <w:tr w:rsidR="00271E37" w:rsidRPr="004955F2" w14:paraId="580D40D0" w14:textId="77777777">
        <w:tc>
          <w:tcPr>
            <w:tcW w:w="2835" w:type="dxa"/>
            <w:tcBorders>
              <w:top w:val="single" w:sz="4" w:space="0" w:color="000000" w:themeColor="text1"/>
              <w:bottom w:val="single" w:sz="4" w:space="0" w:color="000000" w:themeColor="text1"/>
            </w:tcBorders>
          </w:tcPr>
          <w:p w14:paraId="431A18FA" w14:textId="77777777" w:rsidR="00271E37" w:rsidRPr="00673DD0" w:rsidRDefault="00271E37">
            <w:pPr>
              <w:jc w:val="left"/>
              <w:rPr>
                <w:b/>
                <w:bCs/>
              </w:rPr>
            </w:pPr>
            <w:r w:rsidRPr="00673DD0">
              <w:rPr>
                <w:b/>
                <w:bCs/>
              </w:rPr>
              <w:t>Net book value</w:t>
            </w:r>
          </w:p>
        </w:tc>
        <w:tc>
          <w:tcPr>
            <w:tcW w:w="1134" w:type="dxa"/>
            <w:tcBorders>
              <w:top w:val="single" w:sz="4" w:space="0" w:color="000000" w:themeColor="text1"/>
              <w:bottom w:val="single" w:sz="4" w:space="0" w:color="000000" w:themeColor="text1"/>
            </w:tcBorders>
            <w:vAlign w:val="center"/>
          </w:tcPr>
          <w:p w14:paraId="5B3D1073" w14:textId="77777777" w:rsidR="00271E37" w:rsidRPr="00673DD0" w:rsidRDefault="00271E37">
            <w:pPr>
              <w:rPr>
                <w:b/>
                <w:bCs/>
              </w:rPr>
            </w:pPr>
            <w:r>
              <w:rPr>
                <w:rFonts w:cs="Arial"/>
                <w:b/>
                <w:bCs/>
                <w:color w:val="000000"/>
                <w:szCs w:val="16"/>
              </w:rPr>
              <w:t> </w:t>
            </w:r>
          </w:p>
        </w:tc>
        <w:tc>
          <w:tcPr>
            <w:tcW w:w="1134" w:type="dxa"/>
            <w:tcBorders>
              <w:top w:val="single" w:sz="4" w:space="0" w:color="000000" w:themeColor="text1"/>
              <w:bottom w:val="single" w:sz="4" w:space="0" w:color="000000" w:themeColor="text1"/>
            </w:tcBorders>
            <w:vAlign w:val="center"/>
          </w:tcPr>
          <w:p w14:paraId="50ACFF9E" w14:textId="77777777" w:rsidR="00271E37" w:rsidRPr="00673DD0" w:rsidRDefault="00271E37">
            <w:pPr>
              <w:rPr>
                <w:b/>
                <w:bCs/>
              </w:rPr>
            </w:pPr>
            <w:r>
              <w:rPr>
                <w:rFonts w:cs="Arial"/>
                <w:b/>
                <w:bCs/>
                <w:color w:val="000000"/>
                <w:szCs w:val="16"/>
              </w:rPr>
              <w:t> </w:t>
            </w:r>
          </w:p>
        </w:tc>
        <w:tc>
          <w:tcPr>
            <w:tcW w:w="1134" w:type="dxa"/>
            <w:tcBorders>
              <w:top w:val="single" w:sz="4" w:space="0" w:color="000000" w:themeColor="text1"/>
              <w:bottom w:val="single" w:sz="4" w:space="0" w:color="000000" w:themeColor="text1"/>
            </w:tcBorders>
            <w:vAlign w:val="center"/>
          </w:tcPr>
          <w:p w14:paraId="17D72332" w14:textId="77777777" w:rsidR="00271E37" w:rsidRPr="00673DD0" w:rsidRDefault="00271E37">
            <w:pPr>
              <w:rPr>
                <w:b/>
                <w:bCs/>
              </w:rPr>
            </w:pPr>
            <w:r>
              <w:rPr>
                <w:rFonts w:cs="Arial"/>
                <w:b/>
                <w:bCs/>
                <w:color w:val="000000"/>
                <w:szCs w:val="16"/>
              </w:rPr>
              <w:t> </w:t>
            </w:r>
          </w:p>
        </w:tc>
        <w:tc>
          <w:tcPr>
            <w:tcW w:w="1134" w:type="dxa"/>
            <w:tcBorders>
              <w:top w:val="single" w:sz="4" w:space="0" w:color="000000" w:themeColor="text1"/>
              <w:bottom w:val="single" w:sz="4" w:space="0" w:color="000000" w:themeColor="text1"/>
            </w:tcBorders>
            <w:vAlign w:val="center"/>
          </w:tcPr>
          <w:p w14:paraId="336E03FD" w14:textId="77777777" w:rsidR="00271E37" w:rsidRPr="00673DD0" w:rsidRDefault="00271E37">
            <w:pPr>
              <w:rPr>
                <w:b/>
                <w:bCs/>
              </w:rPr>
            </w:pPr>
            <w:r>
              <w:rPr>
                <w:rFonts w:cs="Arial"/>
                <w:b/>
                <w:bCs/>
                <w:color w:val="000000"/>
                <w:szCs w:val="16"/>
              </w:rPr>
              <w:t> </w:t>
            </w:r>
          </w:p>
        </w:tc>
        <w:tc>
          <w:tcPr>
            <w:tcW w:w="1134" w:type="dxa"/>
            <w:tcBorders>
              <w:top w:val="single" w:sz="4" w:space="0" w:color="000000" w:themeColor="text1"/>
              <w:bottom w:val="single" w:sz="4" w:space="0" w:color="000000" w:themeColor="text1"/>
            </w:tcBorders>
            <w:vAlign w:val="center"/>
          </w:tcPr>
          <w:p w14:paraId="1E9BDE0C" w14:textId="77777777" w:rsidR="00271E37" w:rsidRPr="00673DD0" w:rsidRDefault="00271E37">
            <w:pPr>
              <w:rPr>
                <w:b/>
                <w:bCs/>
              </w:rPr>
            </w:pPr>
            <w:r>
              <w:rPr>
                <w:rFonts w:cs="Arial"/>
                <w:b/>
                <w:bCs/>
                <w:color w:val="000000"/>
                <w:szCs w:val="16"/>
              </w:rPr>
              <w:t> </w:t>
            </w:r>
          </w:p>
        </w:tc>
        <w:tc>
          <w:tcPr>
            <w:tcW w:w="1134" w:type="dxa"/>
            <w:tcBorders>
              <w:top w:val="single" w:sz="4" w:space="0" w:color="000000" w:themeColor="text1"/>
              <w:bottom w:val="single" w:sz="4" w:space="0" w:color="000000" w:themeColor="text1"/>
            </w:tcBorders>
            <w:vAlign w:val="center"/>
          </w:tcPr>
          <w:p w14:paraId="5CA243BB" w14:textId="77777777" w:rsidR="00271E37" w:rsidRPr="00673DD0" w:rsidRDefault="00271E37">
            <w:pPr>
              <w:rPr>
                <w:b/>
                <w:bCs/>
              </w:rPr>
            </w:pPr>
            <w:r>
              <w:rPr>
                <w:rFonts w:cs="Arial"/>
                <w:b/>
                <w:bCs/>
                <w:color w:val="000000"/>
                <w:szCs w:val="16"/>
              </w:rPr>
              <w:t> </w:t>
            </w:r>
          </w:p>
        </w:tc>
      </w:tr>
      <w:tr w:rsidR="00271E37" w:rsidRPr="004955F2" w14:paraId="3A0A6FBA" w14:textId="77777777">
        <w:tc>
          <w:tcPr>
            <w:tcW w:w="2835" w:type="dxa"/>
            <w:tcBorders>
              <w:top w:val="single" w:sz="4" w:space="0" w:color="000000" w:themeColor="text1"/>
              <w:bottom w:val="single" w:sz="4" w:space="0" w:color="000000" w:themeColor="text1"/>
            </w:tcBorders>
          </w:tcPr>
          <w:p w14:paraId="0F7C4A46" w14:textId="648E79E0" w:rsidR="00271E37" w:rsidRPr="00104B2A" w:rsidRDefault="00271E37">
            <w:pPr>
              <w:jc w:val="left"/>
            </w:pPr>
            <w:r w:rsidRPr="00104B2A">
              <w:t>At 31 March 202</w:t>
            </w:r>
            <w:r w:rsidR="001E1087" w:rsidRPr="00104B2A">
              <w:t>5</w:t>
            </w:r>
          </w:p>
        </w:tc>
        <w:tc>
          <w:tcPr>
            <w:tcW w:w="1134" w:type="dxa"/>
            <w:tcBorders>
              <w:top w:val="single" w:sz="4" w:space="0" w:color="000000" w:themeColor="text1"/>
              <w:bottom w:val="single" w:sz="4" w:space="0" w:color="000000" w:themeColor="text1"/>
            </w:tcBorders>
            <w:vAlign w:val="center"/>
          </w:tcPr>
          <w:p w14:paraId="2E3A29AF" w14:textId="77777777" w:rsidR="00271E37" w:rsidRPr="00104B2A" w:rsidRDefault="00271E37">
            <w:r>
              <w:rPr>
                <w:rFonts w:cs="Arial"/>
                <w:color w:val="000000"/>
                <w:szCs w:val="16"/>
              </w:rPr>
              <w:t xml:space="preserve">12,756 </w:t>
            </w:r>
          </w:p>
        </w:tc>
        <w:tc>
          <w:tcPr>
            <w:tcW w:w="1134" w:type="dxa"/>
            <w:tcBorders>
              <w:top w:val="single" w:sz="4" w:space="0" w:color="000000" w:themeColor="text1"/>
              <w:bottom w:val="single" w:sz="4" w:space="0" w:color="000000" w:themeColor="text1"/>
            </w:tcBorders>
            <w:vAlign w:val="center"/>
          </w:tcPr>
          <w:p w14:paraId="085DF8A4" w14:textId="77777777" w:rsidR="00271E37" w:rsidRPr="00104B2A" w:rsidRDefault="00271E37">
            <w:r>
              <w:rPr>
                <w:rFonts w:cs="Arial"/>
                <w:color w:val="000000"/>
                <w:szCs w:val="16"/>
              </w:rPr>
              <w:t xml:space="preserve">191 </w:t>
            </w:r>
          </w:p>
        </w:tc>
        <w:tc>
          <w:tcPr>
            <w:tcW w:w="1134" w:type="dxa"/>
            <w:tcBorders>
              <w:top w:val="single" w:sz="4" w:space="0" w:color="000000" w:themeColor="text1"/>
              <w:bottom w:val="single" w:sz="4" w:space="0" w:color="000000" w:themeColor="text1"/>
            </w:tcBorders>
            <w:vAlign w:val="center"/>
          </w:tcPr>
          <w:p w14:paraId="18186BCB" w14:textId="77777777" w:rsidR="00271E37" w:rsidRPr="00104B2A" w:rsidRDefault="00271E37">
            <w:r>
              <w:rPr>
                <w:rFonts w:cs="Arial"/>
                <w:color w:val="000000"/>
                <w:szCs w:val="16"/>
              </w:rPr>
              <w:t xml:space="preserve">26,745 </w:t>
            </w:r>
          </w:p>
        </w:tc>
        <w:tc>
          <w:tcPr>
            <w:tcW w:w="1134" w:type="dxa"/>
            <w:tcBorders>
              <w:top w:val="single" w:sz="4" w:space="0" w:color="000000" w:themeColor="text1"/>
              <w:bottom w:val="single" w:sz="4" w:space="0" w:color="000000" w:themeColor="text1"/>
            </w:tcBorders>
            <w:vAlign w:val="center"/>
          </w:tcPr>
          <w:p w14:paraId="7BEC17C5" w14:textId="77777777" w:rsidR="00271E37" w:rsidRPr="00104B2A" w:rsidRDefault="00271E37">
            <w:r>
              <w:rPr>
                <w:rFonts w:cs="Arial"/>
                <w:color w:val="000000"/>
                <w:szCs w:val="16"/>
              </w:rPr>
              <w:t xml:space="preserve">1,385 </w:t>
            </w:r>
          </w:p>
        </w:tc>
        <w:tc>
          <w:tcPr>
            <w:tcW w:w="1134" w:type="dxa"/>
            <w:tcBorders>
              <w:top w:val="single" w:sz="4" w:space="0" w:color="000000" w:themeColor="text1"/>
              <w:bottom w:val="single" w:sz="4" w:space="0" w:color="000000" w:themeColor="text1"/>
            </w:tcBorders>
            <w:vAlign w:val="center"/>
          </w:tcPr>
          <w:p w14:paraId="2B58D648" w14:textId="77777777" w:rsidR="00271E37" w:rsidRPr="00104B2A" w:rsidRDefault="00271E37">
            <w:r>
              <w:rPr>
                <w:rFonts w:cs="Arial"/>
                <w:color w:val="000000"/>
                <w:szCs w:val="16"/>
              </w:rPr>
              <w:t xml:space="preserve">330 </w:t>
            </w:r>
          </w:p>
        </w:tc>
        <w:tc>
          <w:tcPr>
            <w:tcW w:w="1134" w:type="dxa"/>
            <w:tcBorders>
              <w:top w:val="single" w:sz="4" w:space="0" w:color="000000" w:themeColor="text1"/>
              <w:bottom w:val="single" w:sz="4" w:space="0" w:color="000000" w:themeColor="text1"/>
            </w:tcBorders>
            <w:vAlign w:val="center"/>
          </w:tcPr>
          <w:p w14:paraId="0A21496C" w14:textId="77777777" w:rsidR="00271E37" w:rsidRPr="00104B2A" w:rsidRDefault="00271E37">
            <w:r>
              <w:rPr>
                <w:rFonts w:cs="Arial"/>
                <w:color w:val="000000"/>
                <w:szCs w:val="16"/>
              </w:rPr>
              <w:t xml:space="preserve">41,407 </w:t>
            </w:r>
          </w:p>
        </w:tc>
      </w:tr>
      <w:tr w:rsidR="00271E37" w:rsidRPr="00104B2A" w14:paraId="03CA3AAA" w14:textId="77777777">
        <w:tc>
          <w:tcPr>
            <w:tcW w:w="2835" w:type="dxa"/>
            <w:tcBorders>
              <w:top w:val="single" w:sz="4" w:space="0" w:color="000000" w:themeColor="text1"/>
            </w:tcBorders>
          </w:tcPr>
          <w:p w14:paraId="3D6D14F4" w14:textId="48E6762B" w:rsidR="00271E37" w:rsidRPr="00104B2A" w:rsidRDefault="00271E37">
            <w:pPr>
              <w:jc w:val="left"/>
              <w:rPr>
                <w:b/>
              </w:rPr>
            </w:pPr>
            <w:r w:rsidRPr="00104B2A">
              <w:rPr>
                <w:b/>
              </w:rPr>
              <w:t>At 31 March 202</w:t>
            </w:r>
            <w:r w:rsidR="001E1087" w:rsidRPr="00104B2A">
              <w:rPr>
                <w:b/>
              </w:rPr>
              <w:t>6</w:t>
            </w:r>
          </w:p>
        </w:tc>
        <w:tc>
          <w:tcPr>
            <w:tcW w:w="1134" w:type="dxa"/>
            <w:tcBorders>
              <w:top w:val="single" w:sz="4" w:space="0" w:color="000000" w:themeColor="text1"/>
            </w:tcBorders>
            <w:vAlign w:val="center"/>
          </w:tcPr>
          <w:p w14:paraId="1CC99B13" w14:textId="77777777" w:rsidR="00271E37" w:rsidRPr="00104B2A" w:rsidRDefault="00271E37">
            <w:pPr>
              <w:rPr>
                <w:b/>
              </w:rPr>
            </w:pPr>
            <w:r>
              <w:rPr>
                <w:rFonts w:cs="Arial"/>
                <w:b/>
                <w:bCs/>
                <w:color w:val="000000"/>
                <w:szCs w:val="16"/>
              </w:rPr>
              <w:t xml:space="preserve">5,853 </w:t>
            </w:r>
          </w:p>
        </w:tc>
        <w:tc>
          <w:tcPr>
            <w:tcW w:w="1134" w:type="dxa"/>
            <w:tcBorders>
              <w:top w:val="single" w:sz="4" w:space="0" w:color="000000" w:themeColor="text1"/>
            </w:tcBorders>
            <w:vAlign w:val="center"/>
          </w:tcPr>
          <w:p w14:paraId="7D4EF7D9" w14:textId="77777777" w:rsidR="00271E37" w:rsidRPr="00104B2A" w:rsidRDefault="00271E37">
            <w:pPr>
              <w:rPr>
                <w:b/>
              </w:rPr>
            </w:pPr>
            <w:r>
              <w:rPr>
                <w:rFonts w:cs="Arial"/>
                <w:b/>
                <w:bCs/>
                <w:color w:val="000000"/>
                <w:szCs w:val="16"/>
              </w:rPr>
              <w:t xml:space="preserve">113 </w:t>
            </w:r>
          </w:p>
        </w:tc>
        <w:tc>
          <w:tcPr>
            <w:tcW w:w="1134" w:type="dxa"/>
            <w:tcBorders>
              <w:top w:val="single" w:sz="4" w:space="0" w:color="000000" w:themeColor="text1"/>
            </w:tcBorders>
            <w:vAlign w:val="center"/>
          </w:tcPr>
          <w:p w14:paraId="598738C4" w14:textId="77777777" w:rsidR="00271E37" w:rsidRPr="00104B2A" w:rsidRDefault="00271E37">
            <w:pPr>
              <w:rPr>
                <w:b/>
              </w:rPr>
            </w:pPr>
            <w:r>
              <w:rPr>
                <w:rFonts w:cs="Arial"/>
                <w:b/>
                <w:bCs/>
                <w:color w:val="000000"/>
                <w:szCs w:val="16"/>
              </w:rPr>
              <w:t xml:space="preserve">10,416 </w:t>
            </w:r>
          </w:p>
        </w:tc>
        <w:tc>
          <w:tcPr>
            <w:tcW w:w="1134" w:type="dxa"/>
            <w:tcBorders>
              <w:top w:val="single" w:sz="4" w:space="0" w:color="000000" w:themeColor="text1"/>
            </w:tcBorders>
            <w:vAlign w:val="center"/>
          </w:tcPr>
          <w:p w14:paraId="339997A3" w14:textId="77777777" w:rsidR="00271E37" w:rsidRPr="00104B2A" w:rsidRDefault="00271E37">
            <w:pPr>
              <w:rPr>
                <w:b/>
              </w:rPr>
            </w:pPr>
            <w:r>
              <w:rPr>
                <w:rFonts w:cs="Arial"/>
                <w:b/>
                <w:bCs/>
                <w:color w:val="000000"/>
                <w:szCs w:val="16"/>
              </w:rPr>
              <w:t xml:space="preserve">949 </w:t>
            </w:r>
          </w:p>
        </w:tc>
        <w:tc>
          <w:tcPr>
            <w:tcW w:w="1134" w:type="dxa"/>
            <w:tcBorders>
              <w:top w:val="single" w:sz="4" w:space="0" w:color="000000" w:themeColor="text1"/>
            </w:tcBorders>
            <w:vAlign w:val="center"/>
          </w:tcPr>
          <w:p w14:paraId="265B194A" w14:textId="77777777" w:rsidR="00271E37" w:rsidRPr="00104B2A" w:rsidRDefault="00271E37">
            <w:pPr>
              <w:rPr>
                <w:b/>
              </w:rPr>
            </w:pPr>
            <w:r>
              <w:rPr>
                <w:rFonts w:cs="Arial"/>
                <w:b/>
                <w:bCs/>
                <w:color w:val="000000"/>
                <w:szCs w:val="16"/>
              </w:rPr>
              <w:t xml:space="preserve">248 </w:t>
            </w:r>
          </w:p>
        </w:tc>
        <w:tc>
          <w:tcPr>
            <w:tcW w:w="1134" w:type="dxa"/>
            <w:tcBorders>
              <w:top w:val="single" w:sz="4" w:space="0" w:color="000000" w:themeColor="text1"/>
            </w:tcBorders>
            <w:vAlign w:val="center"/>
          </w:tcPr>
          <w:p w14:paraId="0FE5F3E4" w14:textId="77777777" w:rsidR="00271E37" w:rsidRPr="00104B2A" w:rsidRDefault="00271E37">
            <w:pPr>
              <w:rPr>
                <w:b/>
              </w:rPr>
            </w:pPr>
            <w:r>
              <w:rPr>
                <w:rFonts w:cs="Arial"/>
                <w:b/>
                <w:bCs/>
                <w:color w:val="000000"/>
                <w:szCs w:val="16"/>
              </w:rPr>
              <w:t xml:space="preserve">17,579 </w:t>
            </w:r>
          </w:p>
        </w:tc>
      </w:tr>
      <w:bookmarkEnd w:id="46"/>
    </w:tbl>
    <w:p w14:paraId="00392E27" w14:textId="77777777" w:rsidR="00271E37" w:rsidRDefault="00271E37" w:rsidP="002E39D4"/>
    <w:p w14:paraId="72AD9B89" w14:textId="77777777" w:rsidR="00991539" w:rsidRPr="00991539" w:rsidRDefault="00271E37" w:rsidP="00991539">
      <w:r w:rsidRPr="00F911E9">
        <w:t xml:space="preserve">In FY2026, two properties previously classified as assets held for sale were disposed of: a property in Berwick, Pennsylvania (DG Americas), with </w:t>
      </w:r>
      <w:r>
        <w:t xml:space="preserve">a </w:t>
      </w:r>
      <w:r w:rsidRPr="00F911E9">
        <w:t xml:space="preserve">net book value of £1.3 million, and a property in Hirwaun, Wales (DG International), with </w:t>
      </w:r>
      <w:r>
        <w:t xml:space="preserve">a </w:t>
      </w:r>
      <w:r w:rsidRPr="00F911E9">
        <w:t>net book value of £0.</w:t>
      </w:r>
      <w:r>
        <w:t>1</w:t>
      </w:r>
      <w:r w:rsidRPr="00F911E9">
        <w:t xml:space="preserve"> million</w:t>
      </w:r>
      <w:r>
        <w:t>.</w:t>
      </w:r>
      <w:r w:rsidR="00067C50">
        <w:t xml:space="preserve"> </w:t>
      </w:r>
      <w:r w:rsidR="00991539" w:rsidRPr="00991539">
        <w:t>The disposals resulted in a profit of £0.6 million on the Berwick property and £3.0 million on the Hirwaun property.</w:t>
      </w:r>
    </w:p>
    <w:p w14:paraId="69842FE9" w14:textId="77777777" w:rsidR="00271E37" w:rsidRDefault="00271E37"/>
    <w:p w14:paraId="0F2EF7EE" w14:textId="77777777" w:rsidR="00271E37" w:rsidRDefault="00271E37">
      <w:r w:rsidRPr="008B1D89">
        <w:t>Depreciation is charged to cost of sales, selling costs or administration costs within the income statement depending on the department to which the assets relate.</w:t>
      </w:r>
    </w:p>
    <w:p w14:paraId="17EA29B9" w14:textId="77777777" w:rsidR="00271E37" w:rsidRDefault="00271E37"/>
    <w:p w14:paraId="0D4F63E5" w14:textId="6ACA6CB9" w:rsidR="00271E37" w:rsidRDefault="00271E37">
      <w:r w:rsidRPr="0053037B">
        <w:t>No fixed assets creditors were included in Other financial liabilities (note 18) (2025</w:t>
      </w:r>
      <w:r w:rsidR="007F6D17">
        <w:t>:</w:t>
      </w:r>
      <w:r>
        <w:t xml:space="preserve"> £nil</w:t>
      </w:r>
      <w:r w:rsidRPr="0053037B">
        <w:t>) as at the end of the financial year.</w:t>
      </w:r>
    </w:p>
    <w:p w14:paraId="39B7F8D2" w14:textId="77777777" w:rsidR="00271E37" w:rsidRDefault="00271E37"/>
    <w:p w14:paraId="61D165B5" w14:textId="77777777" w:rsidR="00271E37" w:rsidRDefault="00271E37" w:rsidP="166FA107">
      <w:pPr>
        <w:rPr>
          <w:b/>
          <w:bCs/>
          <w:i/>
          <w:iCs/>
        </w:rPr>
      </w:pPr>
      <w:r w:rsidRPr="00B2593E">
        <w:rPr>
          <w:b/>
          <w:bCs/>
          <w:i/>
          <w:iCs/>
        </w:rPr>
        <w:t>Impairment</w:t>
      </w:r>
    </w:p>
    <w:p w14:paraId="3937AD4B" w14:textId="77777777" w:rsidR="00271E37" w:rsidRDefault="00271E37" w:rsidP="166FA107"/>
    <w:p w14:paraId="13817CDD" w14:textId="557260DC" w:rsidR="007B4244" w:rsidRPr="007B4244" w:rsidRDefault="007B4244" w:rsidP="007B4244">
      <w:r w:rsidRPr="007B4244">
        <w:t>The £1.5 million impairment charge relates to the write-down of assets in DG Europe. This reflects the reassessment of certain machinery where recoverable amounts are estimated to be below carrying value due to diminished expected economic benefits.</w:t>
      </w:r>
    </w:p>
    <w:p w14:paraId="1CCA9A49" w14:textId="77777777" w:rsidR="00271E37" w:rsidRPr="00B8452B" w:rsidRDefault="00271E37" w:rsidP="002E39D4"/>
    <w:p w14:paraId="238D97DF" w14:textId="77777777" w:rsidR="00271E37" w:rsidRPr="00FF54BA" w:rsidRDefault="00271E37" w:rsidP="002E39D4">
      <w:pPr>
        <w:rPr>
          <w:b/>
          <w:bCs/>
          <w:i/>
          <w:iCs/>
        </w:rPr>
      </w:pPr>
      <w:r w:rsidRPr="00FF54BA">
        <w:rPr>
          <w:b/>
          <w:bCs/>
          <w:i/>
          <w:iCs/>
        </w:rPr>
        <w:t>Security</w:t>
      </w:r>
    </w:p>
    <w:p w14:paraId="0A080614" w14:textId="6FAD7592" w:rsidR="00271E37" w:rsidRPr="00D142E7" w:rsidRDefault="00271E37">
      <w:r w:rsidRPr="00D142E7">
        <w:t xml:space="preserve">Certain fixed assets of the Company are subject to fixed charges under the Group’s </w:t>
      </w:r>
      <w:r w:rsidR="003A1F16">
        <w:t>R</w:t>
      </w:r>
      <w:r w:rsidRPr="00D142E7">
        <w:t xml:space="preserve">eceivables </w:t>
      </w:r>
      <w:r w:rsidR="003A1F16">
        <w:t>F</w:t>
      </w:r>
      <w:r w:rsidRPr="00D142E7">
        <w:t>inance facility. These charges are granted in favour of a security agent acting on behalf of the lenders as part of a wider security package supporting the facility.</w:t>
      </w:r>
    </w:p>
    <w:p w14:paraId="70DDEC5A" w14:textId="77777777" w:rsidR="00271E37" w:rsidRDefault="00271E37" w:rsidP="002E39D4">
      <w:r w:rsidRPr="00D142E7">
        <w:t>(see note 15 for further details).</w:t>
      </w:r>
    </w:p>
    <w:p w14:paraId="0CC136A7" w14:textId="77777777" w:rsidR="00271E37" w:rsidRDefault="00271E37"/>
    <w:p w14:paraId="6B5A652E" w14:textId="77777777" w:rsidR="00271E37" w:rsidRPr="00452155" w:rsidRDefault="00271E37">
      <w:pPr>
        <w:pStyle w:val="Heading2"/>
      </w:pPr>
      <w:r w:rsidRPr="00452155">
        <w:t>9 Intangible assets</w:t>
      </w:r>
    </w:p>
    <w:tbl>
      <w:tblPr>
        <w:tblStyle w:val="tableDUL"/>
        <w:tblW w:w="9639" w:type="dxa"/>
        <w:tblLayout w:type="fixed"/>
        <w:tblLook w:val="04A0" w:firstRow="1" w:lastRow="0" w:firstColumn="1" w:lastColumn="0" w:noHBand="0" w:noVBand="1"/>
      </w:tblPr>
      <w:tblGrid>
        <w:gridCol w:w="3849"/>
        <w:gridCol w:w="965"/>
        <w:gridCol w:w="965"/>
        <w:gridCol w:w="965"/>
        <w:gridCol w:w="965"/>
        <w:gridCol w:w="965"/>
        <w:gridCol w:w="965"/>
      </w:tblGrid>
      <w:tr w:rsidR="00271E37" w:rsidRPr="00A71833" w14:paraId="48A4613D" w14:textId="77777777" w:rsidTr="000923EA">
        <w:trPr>
          <w:trHeight w:hRule="exact" w:val="20"/>
        </w:trPr>
        <w:tc>
          <w:tcPr>
            <w:tcW w:w="3849" w:type="dxa"/>
            <w:tcBorders>
              <w:top w:val="nil"/>
              <w:left w:val="nil"/>
              <w:bottom w:val="nil"/>
              <w:right w:val="nil"/>
            </w:tcBorders>
          </w:tcPr>
          <w:p w14:paraId="05E87E9D" w14:textId="77777777" w:rsidR="00271E37" w:rsidRDefault="00271E37">
            <w:pPr>
              <w:rPr>
                <w:sz w:val="2"/>
              </w:rPr>
            </w:pPr>
            <w:bookmarkStart w:id="47" w:name="_6a38358e_6f4c_4b0a_b0ef_adfffa376774"/>
            <w:bookmarkStart w:id="48" w:name="_57bc99f6_b79f_4eb3_9b3c_d3e24352300c"/>
            <w:bookmarkEnd w:id="47"/>
          </w:p>
        </w:tc>
        <w:tc>
          <w:tcPr>
            <w:tcW w:w="965" w:type="dxa"/>
            <w:tcBorders>
              <w:top w:val="nil"/>
              <w:left w:val="nil"/>
              <w:bottom w:val="nil"/>
              <w:right w:val="nil"/>
            </w:tcBorders>
          </w:tcPr>
          <w:p w14:paraId="434E0BE6" w14:textId="77777777" w:rsidR="00271E37" w:rsidRPr="00A71833" w:rsidRDefault="00271E37" w:rsidP="000923EA"/>
          <w:p w14:paraId="242B5F9B" w14:textId="77777777" w:rsidR="00271E37" w:rsidRDefault="00271E37">
            <w:pPr>
              <w:rPr>
                <w:sz w:val="2"/>
              </w:rPr>
            </w:pPr>
          </w:p>
        </w:tc>
        <w:tc>
          <w:tcPr>
            <w:tcW w:w="965" w:type="dxa"/>
            <w:tcBorders>
              <w:top w:val="nil"/>
              <w:left w:val="nil"/>
              <w:bottom w:val="nil"/>
              <w:right w:val="nil"/>
            </w:tcBorders>
          </w:tcPr>
          <w:p w14:paraId="2EFF8A1D" w14:textId="77777777" w:rsidR="00271E37" w:rsidRDefault="00271E37">
            <w:pPr>
              <w:rPr>
                <w:sz w:val="2"/>
              </w:rPr>
            </w:pPr>
          </w:p>
        </w:tc>
        <w:tc>
          <w:tcPr>
            <w:tcW w:w="965" w:type="dxa"/>
            <w:tcBorders>
              <w:top w:val="nil"/>
              <w:left w:val="nil"/>
              <w:bottom w:val="nil"/>
              <w:right w:val="nil"/>
            </w:tcBorders>
          </w:tcPr>
          <w:p w14:paraId="1C6234FB" w14:textId="77777777" w:rsidR="00271E37" w:rsidRPr="00A71833" w:rsidRDefault="00271E37" w:rsidP="000923EA"/>
          <w:p w14:paraId="7E974EBB" w14:textId="77777777" w:rsidR="00271E37" w:rsidRDefault="00271E37">
            <w:pPr>
              <w:rPr>
                <w:sz w:val="2"/>
              </w:rPr>
            </w:pPr>
          </w:p>
        </w:tc>
        <w:tc>
          <w:tcPr>
            <w:tcW w:w="965" w:type="dxa"/>
            <w:tcBorders>
              <w:top w:val="nil"/>
              <w:left w:val="nil"/>
              <w:bottom w:val="nil"/>
              <w:right w:val="nil"/>
            </w:tcBorders>
          </w:tcPr>
          <w:p w14:paraId="0DB45C10" w14:textId="77777777" w:rsidR="00271E37" w:rsidRDefault="00271E37">
            <w:pPr>
              <w:rPr>
                <w:sz w:val="2"/>
              </w:rPr>
            </w:pPr>
          </w:p>
        </w:tc>
        <w:tc>
          <w:tcPr>
            <w:tcW w:w="965" w:type="dxa"/>
            <w:tcBorders>
              <w:top w:val="nil"/>
              <w:left w:val="nil"/>
              <w:bottom w:val="nil"/>
              <w:right w:val="nil"/>
            </w:tcBorders>
          </w:tcPr>
          <w:p w14:paraId="5B3C9CAA" w14:textId="77777777" w:rsidR="00271E37" w:rsidRDefault="00271E37">
            <w:pPr>
              <w:rPr>
                <w:sz w:val="2"/>
              </w:rPr>
            </w:pPr>
          </w:p>
        </w:tc>
        <w:tc>
          <w:tcPr>
            <w:tcW w:w="965" w:type="dxa"/>
            <w:tcBorders>
              <w:top w:val="nil"/>
              <w:left w:val="nil"/>
              <w:bottom w:val="nil"/>
              <w:right w:val="nil"/>
            </w:tcBorders>
          </w:tcPr>
          <w:p w14:paraId="3F531135" w14:textId="77777777" w:rsidR="00271E37" w:rsidRDefault="00271E37" w:rsidP="000923EA"/>
          <w:p w14:paraId="70C7E3DC" w14:textId="77777777" w:rsidR="00271E37" w:rsidRPr="00A71833" w:rsidRDefault="00271E37" w:rsidP="000923EA"/>
          <w:p w14:paraId="3F7D654F" w14:textId="77777777" w:rsidR="00271E37" w:rsidRDefault="00271E37">
            <w:pPr>
              <w:rPr>
                <w:sz w:val="2"/>
              </w:rPr>
            </w:pPr>
          </w:p>
        </w:tc>
      </w:tr>
      <w:tr w:rsidR="00271E37" w:rsidRPr="00A71833" w14:paraId="41F4052E" w14:textId="77777777">
        <w:tc>
          <w:tcPr>
            <w:tcW w:w="3849" w:type="dxa"/>
            <w:tcBorders>
              <w:bottom w:val="nil"/>
            </w:tcBorders>
          </w:tcPr>
          <w:p w14:paraId="65333D52" w14:textId="77777777" w:rsidR="00271E37" w:rsidRPr="00A71833" w:rsidRDefault="00271E37" w:rsidP="000923EA">
            <w:pPr>
              <w:jc w:val="left"/>
            </w:pPr>
          </w:p>
        </w:tc>
        <w:tc>
          <w:tcPr>
            <w:tcW w:w="965" w:type="dxa"/>
            <w:tcBorders>
              <w:bottom w:val="nil"/>
            </w:tcBorders>
          </w:tcPr>
          <w:p w14:paraId="79C45CA9" w14:textId="77777777" w:rsidR="00271E37" w:rsidRDefault="00271E37" w:rsidP="000923EA"/>
          <w:p w14:paraId="7D23B27B" w14:textId="77777777" w:rsidR="00271E37" w:rsidRPr="00A71833" w:rsidRDefault="00271E37">
            <w:r w:rsidRPr="00A71833">
              <w:t>Goodwil</w:t>
            </w:r>
            <w:r>
              <w:t>l</w:t>
            </w:r>
          </w:p>
        </w:tc>
        <w:tc>
          <w:tcPr>
            <w:tcW w:w="965" w:type="dxa"/>
            <w:tcBorders>
              <w:bottom w:val="nil"/>
            </w:tcBorders>
          </w:tcPr>
          <w:p w14:paraId="5D8318E2" w14:textId="77777777" w:rsidR="00271E37" w:rsidRPr="00A71833" w:rsidRDefault="00271E37">
            <w:r w:rsidRPr="00A71833">
              <w:t>Computer softwar</w:t>
            </w:r>
            <w:r>
              <w:t>e</w:t>
            </w:r>
          </w:p>
        </w:tc>
        <w:tc>
          <w:tcPr>
            <w:tcW w:w="965" w:type="dxa"/>
            <w:tcBorders>
              <w:bottom w:val="nil"/>
            </w:tcBorders>
          </w:tcPr>
          <w:p w14:paraId="095E8E37" w14:textId="77777777" w:rsidR="00271E37" w:rsidRDefault="00271E37" w:rsidP="000923EA"/>
          <w:p w14:paraId="0B828DFA" w14:textId="77777777" w:rsidR="00271E37" w:rsidRPr="00A71833" w:rsidRDefault="00271E37" w:rsidP="000923EA">
            <w:r w:rsidRPr="00A71833">
              <w:t>Trade name</w:t>
            </w:r>
            <w:r>
              <w:t>s</w:t>
            </w:r>
          </w:p>
        </w:tc>
        <w:tc>
          <w:tcPr>
            <w:tcW w:w="965" w:type="dxa"/>
            <w:tcBorders>
              <w:bottom w:val="nil"/>
            </w:tcBorders>
          </w:tcPr>
          <w:p w14:paraId="2A8D79ED" w14:textId="77777777" w:rsidR="00271E37" w:rsidRPr="00A71833" w:rsidRDefault="00271E37" w:rsidP="000923EA">
            <w:r w:rsidRPr="00A71833">
              <w:t>Customer relationship</w:t>
            </w:r>
            <w:r>
              <w:t>s</w:t>
            </w:r>
          </w:p>
        </w:tc>
        <w:tc>
          <w:tcPr>
            <w:tcW w:w="965" w:type="dxa"/>
            <w:tcBorders>
              <w:bottom w:val="nil"/>
            </w:tcBorders>
          </w:tcPr>
          <w:p w14:paraId="108B453A" w14:textId="77777777" w:rsidR="00271E37" w:rsidRPr="00A71833" w:rsidRDefault="00271E37" w:rsidP="000923EA">
            <w:r w:rsidRPr="00A71833">
              <w:t>Other intangible</w:t>
            </w:r>
            <w:r>
              <w:t>s</w:t>
            </w:r>
          </w:p>
        </w:tc>
        <w:tc>
          <w:tcPr>
            <w:tcW w:w="965" w:type="dxa"/>
            <w:tcBorders>
              <w:bottom w:val="nil"/>
            </w:tcBorders>
          </w:tcPr>
          <w:p w14:paraId="49EB8A87" w14:textId="77777777" w:rsidR="00271E37" w:rsidRDefault="00271E37" w:rsidP="000923EA"/>
          <w:p w14:paraId="6C2E2951" w14:textId="77777777" w:rsidR="00271E37" w:rsidRPr="00A71833" w:rsidRDefault="00271E37">
            <w:r w:rsidRPr="00A71833">
              <w:t xml:space="preserve">Total </w:t>
            </w:r>
          </w:p>
        </w:tc>
      </w:tr>
      <w:tr w:rsidR="00271E37" w:rsidRPr="00A71833" w14:paraId="2769D5CB" w14:textId="77777777" w:rsidTr="25050B4A">
        <w:tc>
          <w:tcPr>
            <w:tcW w:w="3849" w:type="dxa"/>
            <w:tcBorders>
              <w:bottom w:val="single" w:sz="4" w:space="0" w:color="000000" w:themeColor="text1"/>
            </w:tcBorders>
          </w:tcPr>
          <w:p w14:paraId="4977A02F" w14:textId="77777777" w:rsidR="00271E37" w:rsidRPr="00A71833" w:rsidRDefault="00271E37" w:rsidP="000923EA"/>
        </w:tc>
        <w:tc>
          <w:tcPr>
            <w:tcW w:w="965" w:type="dxa"/>
            <w:tcBorders>
              <w:bottom w:val="single" w:sz="4" w:space="0" w:color="000000" w:themeColor="text1"/>
            </w:tcBorders>
          </w:tcPr>
          <w:p w14:paraId="0D490930" w14:textId="77777777" w:rsidR="00271E37" w:rsidRDefault="00271E37" w:rsidP="000923EA">
            <w:r>
              <w:t>£000</w:t>
            </w:r>
          </w:p>
        </w:tc>
        <w:tc>
          <w:tcPr>
            <w:tcW w:w="965" w:type="dxa"/>
            <w:tcBorders>
              <w:bottom w:val="single" w:sz="4" w:space="0" w:color="000000" w:themeColor="text1"/>
            </w:tcBorders>
          </w:tcPr>
          <w:p w14:paraId="45F22F4F" w14:textId="77777777" w:rsidR="00271E37" w:rsidRPr="00A71833" w:rsidRDefault="00271E37" w:rsidP="000923EA">
            <w:r>
              <w:t>£000</w:t>
            </w:r>
          </w:p>
        </w:tc>
        <w:tc>
          <w:tcPr>
            <w:tcW w:w="965" w:type="dxa"/>
            <w:tcBorders>
              <w:bottom w:val="single" w:sz="4" w:space="0" w:color="000000" w:themeColor="text1"/>
            </w:tcBorders>
          </w:tcPr>
          <w:p w14:paraId="770DBE5D" w14:textId="77777777" w:rsidR="00271E37" w:rsidRDefault="00271E37" w:rsidP="000923EA">
            <w:r>
              <w:t>£000</w:t>
            </w:r>
          </w:p>
        </w:tc>
        <w:tc>
          <w:tcPr>
            <w:tcW w:w="965" w:type="dxa"/>
            <w:tcBorders>
              <w:bottom w:val="single" w:sz="4" w:space="0" w:color="000000" w:themeColor="text1"/>
            </w:tcBorders>
          </w:tcPr>
          <w:p w14:paraId="654CFFBA" w14:textId="77777777" w:rsidR="00271E37" w:rsidRPr="00A71833" w:rsidRDefault="00271E37" w:rsidP="000923EA">
            <w:r>
              <w:t>£000</w:t>
            </w:r>
          </w:p>
        </w:tc>
        <w:tc>
          <w:tcPr>
            <w:tcW w:w="965" w:type="dxa"/>
            <w:tcBorders>
              <w:bottom w:val="single" w:sz="4" w:space="0" w:color="000000" w:themeColor="text1"/>
            </w:tcBorders>
          </w:tcPr>
          <w:p w14:paraId="55FB6BD8" w14:textId="77777777" w:rsidR="00271E37" w:rsidRPr="00A71833" w:rsidRDefault="00271E37" w:rsidP="000923EA">
            <w:r>
              <w:t>£000</w:t>
            </w:r>
          </w:p>
        </w:tc>
        <w:tc>
          <w:tcPr>
            <w:tcW w:w="965" w:type="dxa"/>
            <w:tcBorders>
              <w:bottom w:val="single" w:sz="4" w:space="0" w:color="000000" w:themeColor="text1"/>
            </w:tcBorders>
          </w:tcPr>
          <w:p w14:paraId="29651F2D" w14:textId="77777777" w:rsidR="00271E37" w:rsidRDefault="00271E37" w:rsidP="000923EA">
            <w:r>
              <w:t>£000</w:t>
            </w:r>
          </w:p>
        </w:tc>
      </w:tr>
      <w:tr w:rsidR="00271E37" w:rsidRPr="006B42E0" w14:paraId="321D7C2B" w14:textId="77777777" w:rsidTr="25050B4A">
        <w:tc>
          <w:tcPr>
            <w:tcW w:w="3849" w:type="dxa"/>
            <w:tcBorders>
              <w:top w:val="single" w:sz="4" w:space="0" w:color="000000" w:themeColor="text1"/>
            </w:tcBorders>
          </w:tcPr>
          <w:p w14:paraId="223B9B6C" w14:textId="77777777" w:rsidR="00271E37" w:rsidRPr="00917260" w:rsidRDefault="00271E37" w:rsidP="000923EA">
            <w:pPr>
              <w:jc w:val="left"/>
              <w:rPr>
                <w:b/>
                <w:bCs/>
              </w:rPr>
            </w:pPr>
            <w:r w:rsidRPr="00917260">
              <w:rPr>
                <w:b/>
                <w:bCs/>
              </w:rPr>
              <w:t>Cost</w:t>
            </w:r>
          </w:p>
        </w:tc>
        <w:tc>
          <w:tcPr>
            <w:tcW w:w="965" w:type="dxa"/>
            <w:tcBorders>
              <w:top w:val="single" w:sz="4" w:space="0" w:color="000000" w:themeColor="text1"/>
            </w:tcBorders>
          </w:tcPr>
          <w:p w14:paraId="63C64D6F" w14:textId="77777777" w:rsidR="00271E37" w:rsidRPr="00917260" w:rsidRDefault="00271E37" w:rsidP="000923EA"/>
        </w:tc>
        <w:tc>
          <w:tcPr>
            <w:tcW w:w="965" w:type="dxa"/>
            <w:tcBorders>
              <w:top w:val="single" w:sz="4" w:space="0" w:color="000000" w:themeColor="text1"/>
            </w:tcBorders>
          </w:tcPr>
          <w:p w14:paraId="499574F0" w14:textId="77777777" w:rsidR="00271E37" w:rsidRPr="00917260" w:rsidRDefault="00271E37" w:rsidP="000923EA"/>
        </w:tc>
        <w:tc>
          <w:tcPr>
            <w:tcW w:w="965" w:type="dxa"/>
            <w:tcBorders>
              <w:top w:val="single" w:sz="4" w:space="0" w:color="000000" w:themeColor="text1"/>
            </w:tcBorders>
          </w:tcPr>
          <w:p w14:paraId="05B3FE52" w14:textId="77777777" w:rsidR="00271E37" w:rsidRPr="00917260" w:rsidRDefault="00271E37" w:rsidP="000923EA"/>
        </w:tc>
        <w:tc>
          <w:tcPr>
            <w:tcW w:w="965" w:type="dxa"/>
            <w:tcBorders>
              <w:top w:val="single" w:sz="4" w:space="0" w:color="000000" w:themeColor="text1"/>
            </w:tcBorders>
          </w:tcPr>
          <w:p w14:paraId="65304F2D" w14:textId="77777777" w:rsidR="00271E37" w:rsidRPr="00917260" w:rsidRDefault="00271E37" w:rsidP="000923EA"/>
        </w:tc>
        <w:tc>
          <w:tcPr>
            <w:tcW w:w="965" w:type="dxa"/>
            <w:tcBorders>
              <w:top w:val="single" w:sz="4" w:space="0" w:color="000000" w:themeColor="text1"/>
            </w:tcBorders>
          </w:tcPr>
          <w:p w14:paraId="095A64D1" w14:textId="77777777" w:rsidR="00271E37" w:rsidRPr="00917260" w:rsidRDefault="00271E37" w:rsidP="000923EA"/>
        </w:tc>
        <w:tc>
          <w:tcPr>
            <w:tcW w:w="965" w:type="dxa"/>
            <w:tcBorders>
              <w:top w:val="single" w:sz="4" w:space="0" w:color="000000" w:themeColor="text1"/>
            </w:tcBorders>
          </w:tcPr>
          <w:p w14:paraId="6BDA55E1" w14:textId="77777777" w:rsidR="00271E37" w:rsidRPr="00917260" w:rsidRDefault="00271E37" w:rsidP="000923EA"/>
        </w:tc>
      </w:tr>
      <w:tr w:rsidR="00271E37" w:rsidRPr="006B42E0" w14:paraId="0CD41DEC" w14:textId="77777777">
        <w:tc>
          <w:tcPr>
            <w:tcW w:w="3849" w:type="dxa"/>
            <w:tcBorders>
              <w:bottom w:val="nil"/>
            </w:tcBorders>
          </w:tcPr>
          <w:p w14:paraId="303158F6" w14:textId="77777777" w:rsidR="00271E37" w:rsidRPr="00917260" w:rsidRDefault="00271E37">
            <w:pPr>
              <w:jc w:val="left"/>
            </w:pPr>
            <w:r w:rsidRPr="00917260">
              <w:t xml:space="preserve">Balance at </w:t>
            </w:r>
            <w:r>
              <w:t>1 April</w:t>
            </w:r>
            <w:r w:rsidRPr="00917260">
              <w:t xml:space="preserve"> 202</w:t>
            </w:r>
            <w:r>
              <w:t>4</w:t>
            </w:r>
          </w:p>
        </w:tc>
        <w:tc>
          <w:tcPr>
            <w:tcW w:w="965" w:type="dxa"/>
            <w:tcBorders>
              <w:bottom w:val="nil"/>
            </w:tcBorders>
            <w:vAlign w:val="center"/>
          </w:tcPr>
          <w:p w14:paraId="702E98F3" w14:textId="77777777" w:rsidR="00271E37" w:rsidRPr="00917260" w:rsidRDefault="00271E37">
            <w:r>
              <w:rPr>
                <w:rFonts w:cs="Arial"/>
                <w:color w:val="000000"/>
                <w:szCs w:val="16"/>
              </w:rPr>
              <w:t xml:space="preserve">82,417 </w:t>
            </w:r>
          </w:p>
        </w:tc>
        <w:tc>
          <w:tcPr>
            <w:tcW w:w="965" w:type="dxa"/>
            <w:tcBorders>
              <w:bottom w:val="nil"/>
            </w:tcBorders>
            <w:vAlign w:val="center"/>
          </w:tcPr>
          <w:p w14:paraId="46AE9C56" w14:textId="77777777" w:rsidR="00271E37" w:rsidRPr="00917260" w:rsidRDefault="00271E37">
            <w:r>
              <w:rPr>
                <w:rFonts w:cs="Arial"/>
                <w:color w:val="000000"/>
                <w:szCs w:val="16"/>
              </w:rPr>
              <w:t xml:space="preserve">10,272 </w:t>
            </w:r>
          </w:p>
        </w:tc>
        <w:tc>
          <w:tcPr>
            <w:tcW w:w="965" w:type="dxa"/>
            <w:tcBorders>
              <w:bottom w:val="nil"/>
            </w:tcBorders>
            <w:vAlign w:val="center"/>
          </w:tcPr>
          <w:p w14:paraId="33B06509" w14:textId="77777777" w:rsidR="00271E37" w:rsidRPr="00917260" w:rsidRDefault="00271E37">
            <w:r>
              <w:rPr>
                <w:rFonts w:cs="Arial"/>
                <w:color w:val="000000"/>
                <w:szCs w:val="16"/>
              </w:rPr>
              <w:t xml:space="preserve">4,179 </w:t>
            </w:r>
          </w:p>
        </w:tc>
        <w:tc>
          <w:tcPr>
            <w:tcW w:w="965" w:type="dxa"/>
            <w:tcBorders>
              <w:bottom w:val="nil"/>
            </w:tcBorders>
            <w:vAlign w:val="center"/>
          </w:tcPr>
          <w:p w14:paraId="1120E34A" w14:textId="77777777" w:rsidR="00271E37" w:rsidRPr="00917260" w:rsidRDefault="00271E37">
            <w:r>
              <w:rPr>
                <w:rFonts w:cs="Arial"/>
                <w:color w:val="000000"/>
                <w:szCs w:val="16"/>
              </w:rPr>
              <w:t xml:space="preserve">19,010 </w:t>
            </w:r>
          </w:p>
        </w:tc>
        <w:tc>
          <w:tcPr>
            <w:tcW w:w="965" w:type="dxa"/>
            <w:tcBorders>
              <w:bottom w:val="nil"/>
            </w:tcBorders>
            <w:vAlign w:val="center"/>
          </w:tcPr>
          <w:p w14:paraId="35BC3944" w14:textId="77777777" w:rsidR="00271E37" w:rsidRPr="00917260" w:rsidRDefault="00271E37">
            <w:r>
              <w:rPr>
                <w:rFonts w:cs="Arial"/>
                <w:color w:val="000000"/>
                <w:szCs w:val="16"/>
              </w:rPr>
              <w:t xml:space="preserve">269 </w:t>
            </w:r>
          </w:p>
        </w:tc>
        <w:tc>
          <w:tcPr>
            <w:tcW w:w="965" w:type="dxa"/>
            <w:tcBorders>
              <w:bottom w:val="nil"/>
            </w:tcBorders>
            <w:vAlign w:val="center"/>
          </w:tcPr>
          <w:p w14:paraId="10EDC610" w14:textId="77777777" w:rsidR="00271E37" w:rsidRPr="00917260" w:rsidRDefault="00271E37">
            <w:r>
              <w:rPr>
                <w:rFonts w:cs="Arial"/>
                <w:color w:val="000000"/>
                <w:szCs w:val="16"/>
              </w:rPr>
              <w:t xml:space="preserve">116,147 </w:t>
            </w:r>
          </w:p>
        </w:tc>
      </w:tr>
      <w:tr w:rsidR="00271E37" w:rsidRPr="006B42E0" w14:paraId="2F1C8FA6" w14:textId="77777777">
        <w:tc>
          <w:tcPr>
            <w:tcW w:w="3849" w:type="dxa"/>
            <w:tcBorders>
              <w:top w:val="nil"/>
            </w:tcBorders>
          </w:tcPr>
          <w:p w14:paraId="408C8C80" w14:textId="77777777" w:rsidR="00271E37" w:rsidRPr="00917260" w:rsidRDefault="00271E37">
            <w:pPr>
              <w:jc w:val="left"/>
            </w:pPr>
            <w:r w:rsidRPr="00917260">
              <w:t>Additions</w:t>
            </w:r>
          </w:p>
        </w:tc>
        <w:tc>
          <w:tcPr>
            <w:tcW w:w="965" w:type="dxa"/>
            <w:tcBorders>
              <w:top w:val="nil"/>
            </w:tcBorders>
            <w:vAlign w:val="center"/>
          </w:tcPr>
          <w:p w14:paraId="6AF6D2F4" w14:textId="77777777" w:rsidR="00271E37" w:rsidRPr="00EE37A1" w:rsidRDefault="00271E37">
            <w:r>
              <w:rPr>
                <w:rFonts w:cs="Arial"/>
                <w:color w:val="000000"/>
                <w:szCs w:val="16"/>
              </w:rPr>
              <w:t xml:space="preserve"> - </w:t>
            </w:r>
          </w:p>
        </w:tc>
        <w:tc>
          <w:tcPr>
            <w:tcW w:w="965" w:type="dxa"/>
            <w:tcBorders>
              <w:top w:val="nil"/>
            </w:tcBorders>
            <w:vAlign w:val="center"/>
          </w:tcPr>
          <w:p w14:paraId="1A07CD49" w14:textId="77777777" w:rsidR="00271E37" w:rsidRPr="00EE37A1" w:rsidRDefault="00271E37">
            <w:r>
              <w:rPr>
                <w:rFonts w:cs="Arial"/>
                <w:color w:val="000000"/>
                <w:szCs w:val="16"/>
              </w:rPr>
              <w:t xml:space="preserve">486 </w:t>
            </w:r>
          </w:p>
        </w:tc>
        <w:tc>
          <w:tcPr>
            <w:tcW w:w="965" w:type="dxa"/>
            <w:tcBorders>
              <w:top w:val="nil"/>
            </w:tcBorders>
            <w:vAlign w:val="center"/>
          </w:tcPr>
          <w:p w14:paraId="385B19B3" w14:textId="77777777" w:rsidR="00271E37" w:rsidRPr="00EE37A1" w:rsidRDefault="00271E37">
            <w:r>
              <w:rPr>
                <w:rFonts w:cs="Arial"/>
                <w:color w:val="000000"/>
                <w:szCs w:val="16"/>
              </w:rPr>
              <w:t xml:space="preserve"> - </w:t>
            </w:r>
          </w:p>
        </w:tc>
        <w:tc>
          <w:tcPr>
            <w:tcW w:w="965" w:type="dxa"/>
            <w:tcBorders>
              <w:top w:val="nil"/>
            </w:tcBorders>
            <w:vAlign w:val="center"/>
          </w:tcPr>
          <w:p w14:paraId="19F5BA00" w14:textId="77777777" w:rsidR="00271E37" w:rsidRPr="00EE37A1" w:rsidRDefault="00271E37">
            <w:r>
              <w:rPr>
                <w:rFonts w:cs="Arial"/>
                <w:color w:val="000000"/>
                <w:szCs w:val="16"/>
              </w:rPr>
              <w:t xml:space="preserve"> - </w:t>
            </w:r>
          </w:p>
        </w:tc>
        <w:tc>
          <w:tcPr>
            <w:tcW w:w="965" w:type="dxa"/>
            <w:tcBorders>
              <w:top w:val="nil"/>
            </w:tcBorders>
            <w:vAlign w:val="center"/>
          </w:tcPr>
          <w:p w14:paraId="02ED60E7" w14:textId="77777777" w:rsidR="00271E37" w:rsidRPr="00EE37A1" w:rsidRDefault="00271E37">
            <w:r>
              <w:rPr>
                <w:rFonts w:cs="Arial"/>
                <w:color w:val="000000"/>
                <w:szCs w:val="16"/>
              </w:rPr>
              <w:t xml:space="preserve"> - </w:t>
            </w:r>
          </w:p>
        </w:tc>
        <w:tc>
          <w:tcPr>
            <w:tcW w:w="965" w:type="dxa"/>
            <w:tcBorders>
              <w:top w:val="nil"/>
            </w:tcBorders>
            <w:vAlign w:val="center"/>
          </w:tcPr>
          <w:p w14:paraId="67AB3BA8" w14:textId="77777777" w:rsidR="00271E37" w:rsidRPr="00EE37A1" w:rsidRDefault="00271E37">
            <w:r>
              <w:rPr>
                <w:rFonts w:cs="Arial"/>
                <w:color w:val="000000"/>
                <w:szCs w:val="16"/>
              </w:rPr>
              <w:t xml:space="preserve">486 </w:t>
            </w:r>
          </w:p>
        </w:tc>
      </w:tr>
      <w:tr w:rsidR="00271E37" w:rsidRPr="006B42E0" w14:paraId="3CD3A168" w14:textId="77777777">
        <w:tc>
          <w:tcPr>
            <w:tcW w:w="3849" w:type="dxa"/>
          </w:tcPr>
          <w:p w14:paraId="75BFA832" w14:textId="77777777" w:rsidR="00271E37" w:rsidRPr="00917260" w:rsidRDefault="00271E37">
            <w:pPr>
              <w:jc w:val="left"/>
            </w:pPr>
            <w:r>
              <w:t>Transfer from fixed assets</w:t>
            </w:r>
          </w:p>
        </w:tc>
        <w:tc>
          <w:tcPr>
            <w:tcW w:w="965" w:type="dxa"/>
            <w:vAlign w:val="center"/>
          </w:tcPr>
          <w:p w14:paraId="54A47EA6" w14:textId="77777777" w:rsidR="00271E37" w:rsidRPr="00EE37A1" w:rsidRDefault="00271E37">
            <w:r>
              <w:rPr>
                <w:rFonts w:cs="Arial"/>
                <w:color w:val="000000"/>
                <w:szCs w:val="16"/>
              </w:rPr>
              <w:t xml:space="preserve"> - </w:t>
            </w:r>
          </w:p>
        </w:tc>
        <w:tc>
          <w:tcPr>
            <w:tcW w:w="965" w:type="dxa"/>
            <w:vAlign w:val="center"/>
          </w:tcPr>
          <w:p w14:paraId="459B8324" w14:textId="77777777" w:rsidR="00271E37" w:rsidRPr="00EE37A1" w:rsidRDefault="00271E37">
            <w:r>
              <w:rPr>
                <w:rFonts w:cs="Arial"/>
                <w:color w:val="000000"/>
                <w:szCs w:val="16"/>
              </w:rPr>
              <w:t xml:space="preserve">360 </w:t>
            </w:r>
          </w:p>
        </w:tc>
        <w:tc>
          <w:tcPr>
            <w:tcW w:w="965" w:type="dxa"/>
            <w:vAlign w:val="center"/>
          </w:tcPr>
          <w:p w14:paraId="7A02D7F0" w14:textId="77777777" w:rsidR="00271E37" w:rsidRPr="00EE37A1" w:rsidRDefault="00271E37">
            <w:r>
              <w:rPr>
                <w:rFonts w:cs="Arial"/>
                <w:color w:val="000000"/>
                <w:szCs w:val="16"/>
              </w:rPr>
              <w:t xml:space="preserve"> - </w:t>
            </w:r>
          </w:p>
        </w:tc>
        <w:tc>
          <w:tcPr>
            <w:tcW w:w="965" w:type="dxa"/>
            <w:vAlign w:val="center"/>
          </w:tcPr>
          <w:p w14:paraId="5A23068D" w14:textId="77777777" w:rsidR="00271E37" w:rsidRPr="00EE37A1" w:rsidRDefault="00271E37">
            <w:r>
              <w:rPr>
                <w:rFonts w:cs="Arial"/>
                <w:color w:val="000000"/>
                <w:szCs w:val="16"/>
              </w:rPr>
              <w:t xml:space="preserve"> - </w:t>
            </w:r>
          </w:p>
        </w:tc>
        <w:tc>
          <w:tcPr>
            <w:tcW w:w="965" w:type="dxa"/>
            <w:vAlign w:val="center"/>
          </w:tcPr>
          <w:p w14:paraId="0CBF2C83" w14:textId="77777777" w:rsidR="00271E37" w:rsidRPr="00EE37A1" w:rsidRDefault="00271E37">
            <w:r>
              <w:rPr>
                <w:rFonts w:cs="Arial"/>
                <w:color w:val="000000"/>
                <w:szCs w:val="16"/>
              </w:rPr>
              <w:t xml:space="preserve"> - </w:t>
            </w:r>
          </w:p>
        </w:tc>
        <w:tc>
          <w:tcPr>
            <w:tcW w:w="965" w:type="dxa"/>
            <w:vAlign w:val="center"/>
          </w:tcPr>
          <w:p w14:paraId="1D1B568A" w14:textId="77777777" w:rsidR="00271E37" w:rsidRPr="00EE37A1" w:rsidRDefault="00271E37">
            <w:r>
              <w:rPr>
                <w:rFonts w:cs="Arial"/>
                <w:color w:val="000000"/>
                <w:szCs w:val="16"/>
              </w:rPr>
              <w:t xml:space="preserve">360 </w:t>
            </w:r>
          </w:p>
        </w:tc>
      </w:tr>
      <w:tr w:rsidR="00271E37" w:rsidRPr="006B42E0" w14:paraId="444F0455" w14:textId="77777777">
        <w:tc>
          <w:tcPr>
            <w:tcW w:w="3849" w:type="dxa"/>
          </w:tcPr>
          <w:p w14:paraId="1DE3F23E" w14:textId="77777777" w:rsidR="00271E37" w:rsidRPr="00917260" w:rsidRDefault="00271E37">
            <w:pPr>
              <w:jc w:val="left"/>
            </w:pPr>
            <w:r w:rsidRPr="00917260">
              <w:t xml:space="preserve">Disposals </w:t>
            </w:r>
          </w:p>
        </w:tc>
        <w:tc>
          <w:tcPr>
            <w:tcW w:w="965" w:type="dxa"/>
            <w:vAlign w:val="center"/>
          </w:tcPr>
          <w:p w14:paraId="4CD0F7BC" w14:textId="77777777" w:rsidR="00271E37" w:rsidRPr="00EE37A1" w:rsidRDefault="00271E37">
            <w:r>
              <w:rPr>
                <w:rFonts w:cs="Arial"/>
                <w:color w:val="000000"/>
                <w:szCs w:val="16"/>
              </w:rPr>
              <w:t xml:space="preserve"> - </w:t>
            </w:r>
          </w:p>
        </w:tc>
        <w:tc>
          <w:tcPr>
            <w:tcW w:w="965" w:type="dxa"/>
            <w:vAlign w:val="center"/>
          </w:tcPr>
          <w:p w14:paraId="07BCBE84" w14:textId="77777777" w:rsidR="00271E37" w:rsidRPr="00EE37A1" w:rsidRDefault="00271E37">
            <w:r>
              <w:rPr>
                <w:rFonts w:cs="Arial"/>
                <w:color w:val="000000"/>
                <w:szCs w:val="16"/>
              </w:rPr>
              <w:t>(552)</w:t>
            </w:r>
          </w:p>
        </w:tc>
        <w:tc>
          <w:tcPr>
            <w:tcW w:w="965" w:type="dxa"/>
            <w:vAlign w:val="center"/>
          </w:tcPr>
          <w:p w14:paraId="6EE591E9" w14:textId="77777777" w:rsidR="00271E37" w:rsidRPr="00EE37A1" w:rsidRDefault="00271E37">
            <w:r>
              <w:rPr>
                <w:rFonts w:cs="Arial"/>
                <w:color w:val="000000"/>
                <w:szCs w:val="16"/>
              </w:rPr>
              <w:t>(177)</w:t>
            </w:r>
          </w:p>
        </w:tc>
        <w:tc>
          <w:tcPr>
            <w:tcW w:w="965" w:type="dxa"/>
            <w:vAlign w:val="center"/>
          </w:tcPr>
          <w:p w14:paraId="781B8E2E" w14:textId="77777777" w:rsidR="00271E37" w:rsidRPr="00EE37A1" w:rsidRDefault="00271E37">
            <w:r>
              <w:rPr>
                <w:rFonts w:cs="Arial"/>
                <w:color w:val="000000"/>
                <w:szCs w:val="16"/>
              </w:rPr>
              <w:t>(640)</w:t>
            </w:r>
          </w:p>
        </w:tc>
        <w:tc>
          <w:tcPr>
            <w:tcW w:w="965" w:type="dxa"/>
            <w:vAlign w:val="center"/>
          </w:tcPr>
          <w:p w14:paraId="542A6256" w14:textId="77777777" w:rsidR="00271E37" w:rsidRPr="00EE37A1" w:rsidRDefault="00271E37">
            <w:r>
              <w:rPr>
                <w:rFonts w:cs="Arial"/>
                <w:color w:val="000000"/>
                <w:szCs w:val="16"/>
              </w:rPr>
              <w:t>(4)</w:t>
            </w:r>
          </w:p>
        </w:tc>
        <w:tc>
          <w:tcPr>
            <w:tcW w:w="965" w:type="dxa"/>
            <w:vAlign w:val="center"/>
          </w:tcPr>
          <w:p w14:paraId="790B5F2C" w14:textId="77777777" w:rsidR="00271E37" w:rsidRPr="00EE37A1" w:rsidRDefault="00271E37">
            <w:r>
              <w:rPr>
                <w:rFonts w:cs="Arial"/>
                <w:color w:val="000000"/>
                <w:szCs w:val="16"/>
              </w:rPr>
              <w:t>(1,373)</w:t>
            </w:r>
          </w:p>
        </w:tc>
      </w:tr>
      <w:tr w:rsidR="00271E37" w:rsidRPr="006B42E0" w14:paraId="75DCEF1E" w14:textId="77777777">
        <w:tc>
          <w:tcPr>
            <w:tcW w:w="3849" w:type="dxa"/>
            <w:tcBorders>
              <w:bottom w:val="single" w:sz="4" w:space="0" w:color="000000" w:themeColor="text1"/>
            </w:tcBorders>
          </w:tcPr>
          <w:p w14:paraId="266619B5" w14:textId="77777777" w:rsidR="00271E37" w:rsidRPr="00917260" w:rsidRDefault="00271E37">
            <w:pPr>
              <w:jc w:val="left"/>
            </w:pPr>
            <w:r w:rsidRPr="00917260">
              <w:t>Effect of movements in foreign exchange</w:t>
            </w:r>
          </w:p>
        </w:tc>
        <w:tc>
          <w:tcPr>
            <w:tcW w:w="965" w:type="dxa"/>
            <w:tcBorders>
              <w:bottom w:val="single" w:sz="4" w:space="0" w:color="000000" w:themeColor="text1"/>
            </w:tcBorders>
            <w:vAlign w:val="center"/>
          </w:tcPr>
          <w:p w14:paraId="35F4ECA7" w14:textId="77777777" w:rsidR="00271E37" w:rsidRPr="00EE37A1" w:rsidRDefault="00271E37">
            <w:r>
              <w:rPr>
                <w:rFonts w:cs="Arial"/>
                <w:color w:val="000000"/>
                <w:szCs w:val="16"/>
              </w:rPr>
              <w:t>(1,430)</w:t>
            </w:r>
          </w:p>
        </w:tc>
        <w:tc>
          <w:tcPr>
            <w:tcW w:w="965" w:type="dxa"/>
            <w:tcBorders>
              <w:bottom w:val="single" w:sz="4" w:space="0" w:color="000000" w:themeColor="text1"/>
            </w:tcBorders>
            <w:vAlign w:val="center"/>
          </w:tcPr>
          <w:p w14:paraId="1027897A" w14:textId="77777777" w:rsidR="00271E37" w:rsidRPr="00EE37A1" w:rsidRDefault="00271E37">
            <w:r>
              <w:rPr>
                <w:rFonts w:cs="Arial"/>
                <w:color w:val="000000"/>
                <w:szCs w:val="16"/>
              </w:rPr>
              <w:t>(227)</w:t>
            </w:r>
          </w:p>
        </w:tc>
        <w:tc>
          <w:tcPr>
            <w:tcW w:w="965" w:type="dxa"/>
            <w:tcBorders>
              <w:bottom w:val="single" w:sz="4" w:space="0" w:color="000000" w:themeColor="text1"/>
            </w:tcBorders>
            <w:vAlign w:val="center"/>
          </w:tcPr>
          <w:p w14:paraId="57D1D9BF" w14:textId="77777777" w:rsidR="00271E37" w:rsidRPr="00EE37A1" w:rsidRDefault="00271E37">
            <w:r>
              <w:rPr>
                <w:rFonts w:cs="Arial"/>
                <w:color w:val="000000"/>
                <w:szCs w:val="16"/>
              </w:rPr>
              <w:t>(101)</w:t>
            </w:r>
          </w:p>
        </w:tc>
        <w:tc>
          <w:tcPr>
            <w:tcW w:w="965" w:type="dxa"/>
            <w:tcBorders>
              <w:bottom w:val="single" w:sz="4" w:space="0" w:color="000000" w:themeColor="text1"/>
            </w:tcBorders>
            <w:vAlign w:val="center"/>
          </w:tcPr>
          <w:p w14:paraId="289B58B8" w14:textId="77777777" w:rsidR="00271E37" w:rsidRPr="00EE37A1" w:rsidRDefault="00271E37">
            <w:r>
              <w:rPr>
                <w:rFonts w:cs="Arial"/>
                <w:color w:val="000000"/>
                <w:szCs w:val="16"/>
              </w:rPr>
              <w:t>(455)</w:t>
            </w:r>
          </w:p>
        </w:tc>
        <w:tc>
          <w:tcPr>
            <w:tcW w:w="965" w:type="dxa"/>
            <w:tcBorders>
              <w:bottom w:val="single" w:sz="4" w:space="0" w:color="000000" w:themeColor="text1"/>
            </w:tcBorders>
            <w:vAlign w:val="center"/>
          </w:tcPr>
          <w:p w14:paraId="6AA746A2" w14:textId="77777777" w:rsidR="00271E37" w:rsidRPr="009D33C8" w:rsidRDefault="00271E37">
            <w:r w:rsidRPr="009D33C8">
              <w:rPr>
                <w:rFonts w:cs="Arial"/>
                <w:szCs w:val="16"/>
              </w:rPr>
              <w:t>(9)</w:t>
            </w:r>
          </w:p>
        </w:tc>
        <w:tc>
          <w:tcPr>
            <w:tcW w:w="965" w:type="dxa"/>
            <w:tcBorders>
              <w:bottom w:val="single" w:sz="4" w:space="0" w:color="000000" w:themeColor="text1"/>
            </w:tcBorders>
            <w:vAlign w:val="center"/>
          </w:tcPr>
          <w:p w14:paraId="2E4DB31B" w14:textId="77777777" w:rsidR="00271E37" w:rsidRPr="009D33C8" w:rsidRDefault="00271E37">
            <w:r w:rsidRPr="009D33C8">
              <w:rPr>
                <w:rFonts w:cs="Arial"/>
                <w:szCs w:val="16"/>
              </w:rPr>
              <w:t>(2,222)</w:t>
            </w:r>
          </w:p>
        </w:tc>
      </w:tr>
      <w:tr w:rsidR="00271E37" w:rsidRPr="006B42E0" w14:paraId="73407122" w14:textId="77777777">
        <w:tc>
          <w:tcPr>
            <w:tcW w:w="3849" w:type="dxa"/>
            <w:tcBorders>
              <w:top w:val="single" w:sz="4" w:space="0" w:color="000000" w:themeColor="text1"/>
            </w:tcBorders>
          </w:tcPr>
          <w:p w14:paraId="37CE49B6" w14:textId="77777777" w:rsidR="00271E37" w:rsidRPr="00917260" w:rsidRDefault="00271E37">
            <w:pPr>
              <w:jc w:val="left"/>
            </w:pPr>
            <w:r w:rsidRPr="00917260">
              <w:t>Balance at 31 March 202</w:t>
            </w:r>
            <w:r>
              <w:t>5</w:t>
            </w:r>
          </w:p>
        </w:tc>
        <w:tc>
          <w:tcPr>
            <w:tcW w:w="965" w:type="dxa"/>
            <w:tcBorders>
              <w:top w:val="single" w:sz="4" w:space="0" w:color="000000" w:themeColor="text1"/>
            </w:tcBorders>
            <w:vAlign w:val="center"/>
          </w:tcPr>
          <w:p w14:paraId="7FEE8FAC" w14:textId="77777777" w:rsidR="00271E37" w:rsidRPr="00EE37A1" w:rsidRDefault="00271E37">
            <w:r>
              <w:rPr>
                <w:rFonts w:cs="Arial"/>
                <w:color w:val="000000"/>
                <w:szCs w:val="16"/>
              </w:rPr>
              <w:t xml:space="preserve">80,987 </w:t>
            </w:r>
          </w:p>
        </w:tc>
        <w:tc>
          <w:tcPr>
            <w:tcW w:w="965" w:type="dxa"/>
            <w:tcBorders>
              <w:top w:val="single" w:sz="4" w:space="0" w:color="000000" w:themeColor="text1"/>
            </w:tcBorders>
            <w:vAlign w:val="center"/>
          </w:tcPr>
          <w:p w14:paraId="7E0AC167" w14:textId="77777777" w:rsidR="00271E37" w:rsidRPr="00EE37A1" w:rsidRDefault="00271E37">
            <w:r>
              <w:rPr>
                <w:rFonts w:cs="Arial"/>
                <w:color w:val="000000"/>
                <w:szCs w:val="16"/>
              </w:rPr>
              <w:t xml:space="preserve">10,339 </w:t>
            </w:r>
          </w:p>
        </w:tc>
        <w:tc>
          <w:tcPr>
            <w:tcW w:w="965" w:type="dxa"/>
            <w:tcBorders>
              <w:top w:val="single" w:sz="4" w:space="0" w:color="000000" w:themeColor="text1"/>
            </w:tcBorders>
            <w:vAlign w:val="center"/>
          </w:tcPr>
          <w:p w14:paraId="7DAA796F" w14:textId="77777777" w:rsidR="00271E37" w:rsidRPr="00EE37A1" w:rsidRDefault="00271E37">
            <w:r>
              <w:rPr>
                <w:rFonts w:cs="Arial"/>
                <w:color w:val="000000"/>
                <w:szCs w:val="16"/>
              </w:rPr>
              <w:t xml:space="preserve">3,901 </w:t>
            </w:r>
          </w:p>
        </w:tc>
        <w:tc>
          <w:tcPr>
            <w:tcW w:w="965" w:type="dxa"/>
            <w:tcBorders>
              <w:top w:val="single" w:sz="4" w:space="0" w:color="000000" w:themeColor="text1"/>
            </w:tcBorders>
            <w:vAlign w:val="center"/>
          </w:tcPr>
          <w:p w14:paraId="1001A29F" w14:textId="77777777" w:rsidR="00271E37" w:rsidRPr="00EE37A1" w:rsidRDefault="00271E37">
            <w:r>
              <w:rPr>
                <w:rFonts w:cs="Arial"/>
                <w:color w:val="000000"/>
                <w:szCs w:val="16"/>
              </w:rPr>
              <w:t xml:space="preserve">17,915 </w:t>
            </w:r>
          </w:p>
        </w:tc>
        <w:tc>
          <w:tcPr>
            <w:tcW w:w="965" w:type="dxa"/>
            <w:tcBorders>
              <w:top w:val="single" w:sz="4" w:space="0" w:color="000000" w:themeColor="text1"/>
            </w:tcBorders>
            <w:vAlign w:val="center"/>
          </w:tcPr>
          <w:p w14:paraId="29C854A7" w14:textId="77777777" w:rsidR="00271E37" w:rsidRPr="00EE37A1" w:rsidRDefault="00271E37">
            <w:r>
              <w:rPr>
                <w:rFonts w:cs="Arial"/>
                <w:color w:val="000000"/>
                <w:szCs w:val="16"/>
              </w:rPr>
              <w:t xml:space="preserve">256 </w:t>
            </w:r>
          </w:p>
        </w:tc>
        <w:tc>
          <w:tcPr>
            <w:tcW w:w="965" w:type="dxa"/>
            <w:tcBorders>
              <w:top w:val="single" w:sz="4" w:space="0" w:color="000000" w:themeColor="text1"/>
            </w:tcBorders>
            <w:vAlign w:val="center"/>
          </w:tcPr>
          <w:p w14:paraId="05644890" w14:textId="77777777" w:rsidR="00271E37" w:rsidRPr="00EE37A1" w:rsidRDefault="00271E37">
            <w:r>
              <w:rPr>
                <w:rFonts w:cs="Arial"/>
                <w:color w:val="000000"/>
                <w:szCs w:val="16"/>
              </w:rPr>
              <w:t xml:space="preserve">113,398 </w:t>
            </w:r>
          </w:p>
        </w:tc>
      </w:tr>
      <w:tr w:rsidR="00271E37" w:rsidRPr="006B42E0" w14:paraId="4A4199EC" w14:textId="77777777">
        <w:tc>
          <w:tcPr>
            <w:tcW w:w="3849" w:type="dxa"/>
          </w:tcPr>
          <w:p w14:paraId="0A4127BB" w14:textId="77777777" w:rsidR="00271E37" w:rsidRPr="00917260" w:rsidRDefault="00271E37">
            <w:pPr>
              <w:jc w:val="left"/>
            </w:pPr>
            <w:r w:rsidRPr="00917260">
              <w:t>Additions</w:t>
            </w:r>
          </w:p>
        </w:tc>
        <w:tc>
          <w:tcPr>
            <w:tcW w:w="965" w:type="dxa"/>
            <w:vAlign w:val="center"/>
          </w:tcPr>
          <w:p w14:paraId="009DE683"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44A0DE32" w14:textId="77777777" w:rsidR="00271E37" w:rsidRPr="00542354" w:rsidRDefault="00271E37">
            <w:pPr>
              <w:rPr>
                <w:b/>
                <w:bCs/>
              </w:rPr>
            </w:pPr>
            <w:r w:rsidRPr="00542354">
              <w:rPr>
                <w:rFonts w:cs="Arial"/>
                <w:b/>
                <w:bCs/>
                <w:color w:val="000000"/>
                <w:szCs w:val="16"/>
              </w:rPr>
              <w:t xml:space="preserve">196 </w:t>
            </w:r>
          </w:p>
        </w:tc>
        <w:tc>
          <w:tcPr>
            <w:tcW w:w="965" w:type="dxa"/>
            <w:vAlign w:val="center"/>
          </w:tcPr>
          <w:p w14:paraId="6A78FD41"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3E988ACB"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7D1161F6"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1EE820DE" w14:textId="77777777" w:rsidR="00271E37" w:rsidRPr="00542354" w:rsidRDefault="00271E37">
            <w:pPr>
              <w:rPr>
                <w:b/>
                <w:bCs/>
              </w:rPr>
            </w:pPr>
            <w:r w:rsidRPr="00542354">
              <w:rPr>
                <w:rFonts w:cs="Arial"/>
                <w:b/>
                <w:bCs/>
                <w:color w:val="000000"/>
                <w:szCs w:val="16"/>
              </w:rPr>
              <w:t xml:space="preserve">196 </w:t>
            </w:r>
          </w:p>
        </w:tc>
      </w:tr>
      <w:tr w:rsidR="00271E37" w:rsidRPr="006B42E0" w14:paraId="057BFBB3" w14:textId="77777777" w:rsidTr="00B931EC">
        <w:tc>
          <w:tcPr>
            <w:tcW w:w="3849" w:type="dxa"/>
            <w:tcBorders>
              <w:bottom w:val="nil"/>
            </w:tcBorders>
          </w:tcPr>
          <w:p w14:paraId="51BAD231" w14:textId="77777777" w:rsidR="00271E37" w:rsidRPr="00917260" w:rsidRDefault="00271E37">
            <w:pPr>
              <w:jc w:val="left"/>
            </w:pPr>
            <w:r>
              <w:t>Transferred to tangible fixed assets</w:t>
            </w:r>
          </w:p>
        </w:tc>
        <w:tc>
          <w:tcPr>
            <w:tcW w:w="965" w:type="dxa"/>
            <w:tcBorders>
              <w:bottom w:val="nil"/>
            </w:tcBorders>
            <w:vAlign w:val="center"/>
          </w:tcPr>
          <w:p w14:paraId="071E8B61" w14:textId="77777777" w:rsidR="00271E37" w:rsidRPr="00542354" w:rsidRDefault="00271E37">
            <w:pPr>
              <w:rPr>
                <w:b/>
                <w:bCs/>
              </w:rPr>
            </w:pPr>
            <w:r w:rsidRPr="00542354">
              <w:rPr>
                <w:rFonts w:cs="Arial"/>
                <w:b/>
                <w:bCs/>
                <w:color w:val="000000"/>
                <w:szCs w:val="16"/>
              </w:rPr>
              <w:t xml:space="preserve"> - </w:t>
            </w:r>
          </w:p>
        </w:tc>
        <w:tc>
          <w:tcPr>
            <w:tcW w:w="965" w:type="dxa"/>
            <w:tcBorders>
              <w:bottom w:val="nil"/>
            </w:tcBorders>
            <w:vAlign w:val="center"/>
          </w:tcPr>
          <w:p w14:paraId="39D5B918" w14:textId="77777777" w:rsidR="00271E37" w:rsidRPr="00542354" w:rsidRDefault="00271E37">
            <w:pPr>
              <w:rPr>
                <w:b/>
                <w:bCs/>
              </w:rPr>
            </w:pPr>
            <w:r w:rsidRPr="00542354">
              <w:rPr>
                <w:rFonts w:cs="Arial"/>
                <w:b/>
                <w:bCs/>
                <w:color w:val="000000"/>
                <w:szCs w:val="16"/>
              </w:rPr>
              <w:t>(114)</w:t>
            </w:r>
          </w:p>
        </w:tc>
        <w:tc>
          <w:tcPr>
            <w:tcW w:w="965" w:type="dxa"/>
            <w:tcBorders>
              <w:bottom w:val="nil"/>
            </w:tcBorders>
            <w:vAlign w:val="center"/>
          </w:tcPr>
          <w:p w14:paraId="572A91AD" w14:textId="77777777" w:rsidR="00271E37" w:rsidRPr="00542354" w:rsidRDefault="00271E37">
            <w:pPr>
              <w:rPr>
                <w:b/>
                <w:bCs/>
              </w:rPr>
            </w:pPr>
            <w:r w:rsidRPr="00542354">
              <w:rPr>
                <w:rFonts w:cs="Arial"/>
                <w:b/>
                <w:bCs/>
                <w:color w:val="000000"/>
                <w:szCs w:val="16"/>
              </w:rPr>
              <w:t xml:space="preserve"> - </w:t>
            </w:r>
          </w:p>
        </w:tc>
        <w:tc>
          <w:tcPr>
            <w:tcW w:w="965" w:type="dxa"/>
            <w:tcBorders>
              <w:bottom w:val="nil"/>
            </w:tcBorders>
            <w:vAlign w:val="center"/>
          </w:tcPr>
          <w:p w14:paraId="17239063" w14:textId="77777777" w:rsidR="00271E37" w:rsidRPr="00542354" w:rsidRDefault="00271E37">
            <w:pPr>
              <w:rPr>
                <w:b/>
                <w:bCs/>
              </w:rPr>
            </w:pPr>
            <w:r w:rsidRPr="00542354">
              <w:rPr>
                <w:rFonts w:cs="Arial"/>
                <w:b/>
                <w:bCs/>
                <w:color w:val="000000"/>
                <w:szCs w:val="16"/>
              </w:rPr>
              <w:t xml:space="preserve"> - </w:t>
            </w:r>
          </w:p>
        </w:tc>
        <w:tc>
          <w:tcPr>
            <w:tcW w:w="965" w:type="dxa"/>
            <w:tcBorders>
              <w:bottom w:val="nil"/>
            </w:tcBorders>
            <w:vAlign w:val="center"/>
          </w:tcPr>
          <w:p w14:paraId="4A66E714" w14:textId="77777777" w:rsidR="00271E37" w:rsidRPr="00542354" w:rsidRDefault="00271E37">
            <w:pPr>
              <w:rPr>
                <w:b/>
                <w:bCs/>
              </w:rPr>
            </w:pPr>
            <w:r w:rsidRPr="00542354">
              <w:rPr>
                <w:rFonts w:cs="Arial"/>
                <w:b/>
                <w:bCs/>
                <w:color w:val="000000"/>
                <w:szCs w:val="16"/>
              </w:rPr>
              <w:t xml:space="preserve"> - </w:t>
            </w:r>
          </w:p>
        </w:tc>
        <w:tc>
          <w:tcPr>
            <w:tcW w:w="965" w:type="dxa"/>
            <w:tcBorders>
              <w:bottom w:val="nil"/>
            </w:tcBorders>
            <w:vAlign w:val="center"/>
          </w:tcPr>
          <w:p w14:paraId="68BBBE2F" w14:textId="77777777" w:rsidR="00271E37" w:rsidRPr="00542354" w:rsidRDefault="00271E37">
            <w:pPr>
              <w:rPr>
                <w:b/>
                <w:bCs/>
              </w:rPr>
            </w:pPr>
            <w:r w:rsidRPr="00542354">
              <w:rPr>
                <w:rFonts w:cs="Arial"/>
                <w:b/>
                <w:bCs/>
                <w:color w:val="000000"/>
                <w:szCs w:val="16"/>
              </w:rPr>
              <w:t>(114)</w:t>
            </w:r>
          </w:p>
        </w:tc>
      </w:tr>
      <w:tr w:rsidR="00271E37" w:rsidRPr="006B42E0" w14:paraId="3E939347" w14:textId="77777777" w:rsidTr="00B931EC">
        <w:tc>
          <w:tcPr>
            <w:tcW w:w="3849" w:type="dxa"/>
            <w:tcBorders>
              <w:bottom w:val="single" w:sz="4" w:space="0" w:color="auto"/>
            </w:tcBorders>
          </w:tcPr>
          <w:p w14:paraId="0073C7B7" w14:textId="77777777" w:rsidR="00271E37" w:rsidRPr="00917260" w:rsidRDefault="00271E37">
            <w:pPr>
              <w:jc w:val="left"/>
            </w:pPr>
            <w:r>
              <w:t>Disposals</w:t>
            </w:r>
          </w:p>
        </w:tc>
        <w:tc>
          <w:tcPr>
            <w:tcW w:w="965" w:type="dxa"/>
            <w:tcBorders>
              <w:bottom w:val="single" w:sz="4" w:space="0" w:color="auto"/>
            </w:tcBorders>
            <w:vAlign w:val="center"/>
          </w:tcPr>
          <w:p w14:paraId="74C1681B" w14:textId="77777777" w:rsidR="00271E37" w:rsidRPr="00542354" w:rsidRDefault="00271E37">
            <w:pPr>
              <w:rPr>
                <w:b/>
                <w:bCs/>
              </w:rPr>
            </w:pPr>
            <w:r w:rsidRPr="00542354">
              <w:rPr>
                <w:rFonts w:cs="Arial"/>
                <w:b/>
                <w:bCs/>
                <w:color w:val="000000"/>
                <w:szCs w:val="16"/>
              </w:rPr>
              <w:t xml:space="preserve"> - </w:t>
            </w:r>
          </w:p>
        </w:tc>
        <w:tc>
          <w:tcPr>
            <w:tcW w:w="965" w:type="dxa"/>
            <w:tcBorders>
              <w:bottom w:val="single" w:sz="4" w:space="0" w:color="auto"/>
            </w:tcBorders>
            <w:vAlign w:val="center"/>
          </w:tcPr>
          <w:p w14:paraId="3AC3CF98" w14:textId="77777777" w:rsidR="00271E37" w:rsidRPr="00542354" w:rsidRDefault="00271E37">
            <w:pPr>
              <w:rPr>
                <w:b/>
                <w:bCs/>
              </w:rPr>
            </w:pPr>
            <w:r w:rsidRPr="00542354">
              <w:rPr>
                <w:rFonts w:cs="Arial"/>
                <w:b/>
                <w:bCs/>
                <w:color w:val="000000"/>
                <w:szCs w:val="16"/>
              </w:rPr>
              <w:t>(905)</w:t>
            </w:r>
          </w:p>
        </w:tc>
        <w:tc>
          <w:tcPr>
            <w:tcW w:w="965" w:type="dxa"/>
            <w:tcBorders>
              <w:bottom w:val="single" w:sz="4" w:space="0" w:color="auto"/>
            </w:tcBorders>
            <w:vAlign w:val="center"/>
          </w:tcPr>
          <w:p w14:paraId="04FFBBEF" w14:textId="77777777" w:rsidR="00271E37" w:rsidRPr="00542354" w:rsidRDefault="00271E37">
            <w:pPr>
              <w:rPr>
                <w:b/>
                <w:bCs/>
              </w:rPr>
            </w:pPr>
            <w:r w:rsidRPr="00542354">
              <w:rPr>
                <w:rFonts w:cs="Arial"/>
                <w:b/>
                <w:bCs/>
                <w:color w:val="000000"/>
                <w:szCs w:val="16"/>
              </w:rPr>
              <w:t>(1)</w:t>
            </w:r>
          </w:p>
        </w:tc>
        <w:tc>
          <w:tcPr>
            <w:tcW w:w="965" w:type="dxa"/>
            <w:tcBorders>
              <w:bottom w:val="single" w:sz="4" w:space="0" w:color="auto"/>
            </w:tcBorders>
            <w:vAlign w:val="center"/>
          </w:tcPr>
          <w:p w14:paraId="61D97EC3" w14:textId="77777777" w:rsidR="00271E37" w:rsidRPr="00542354" w:rsidRDefault="00271E37">
            <w:pPr>
              <w:rPr>
                <w:b/>
                <w:bCs/>
              </w:rPr>
            </w:pPr>
            <w:r w:rsidRPr="00542354">
              <w:rPr>
                <w:rFonts w:cs="Arial"/>
                <w:b/>
                <w:bCs/>
                <w:color w:val="000000"/>
                <w:szCs w:val="16"/>
              </w:rPr>
              <w:t xml:space="preserve"> - </w:t>
            </w:r>
          </w:p>
        </w:tc>
        <w:tc>
          <w:tcPr>
            <w:tcW w:w="965" w:type="dxa"/>
            <w:tcBorders>
              <w:bottom w:val="single" w:sz="4" w:space="0" w:color="auto"/>
            </w:tcBorders>
            <w:vAlign w:val="center"/>
          </w:tcPr>
          <w:p w14:paraId="6FE0EEDB" w14:textId="77777777" w:rsidR="00271E37" w:rsidRPr="00542354" w:rsidRDefault="00271E37">
            <w:pPr>
              <w:rPr>
                <w:b/>
                <w:bCs/>
              </w:rPr>
            </w:pPr>
            <w:r w:rsidRPr="00542354">
              <w:rPr>
                <w:rFonts w:cs="Arial"/>
                <w:b/>
                <w:bCs/>
                <w:color w:val="000000"/>
                <w:szCs w:val="16"/>
              </w:rPr>
              <w:t xml:space="preserve"> - </w:t>
            </w:r>
          </w:p>
        </w:tc>
        <w:tc>
          <w:tcPr>
            <w:tcW w:w="965" w:type="dxa"/>
            <w:tcBorders>
              <w:bottom w:val="single" w:sz="4" w:space="0" w:color="auto"/>
            </w:tcBorders>
            <w:vAlign w:val="center"/>
          </w:tcPr>
          <w:p w14:paraId="2338369B" w14:textId="77777777" w:rsidR="00271E37" w:rsidRPr="00542354" w:rsidRDefault="00271E37">
            <w:pPr>
              <w:rPr>
                <w:b/>
                <w:bCs/>
              </w:rPr>
            </w:pPr>
            <w:r w:rsidRPr="00542354">
              <w:rPr>
                <w:rFonts w:cs="Arial"/>
                <w:b/>
                <w:bCs/>
                <w:color w:val="000000"/>
                <w:szCs w:val="16"/>
              </w:rPr>
              <w:t>(906)</w:t>
            </w:r>
          </w:p>
        </w:tc>
      </w:tr>
      <w:tr w:rsidR="00271E37" w:rsidRPr="006B42E0" w14:paraId="3AF4E97D" w14:textId="77777777" w:rsidTr="00B931EC">
        <w:tc>
          <w:tcPr>
            <w:tcW w:w="3849" w:type="dxa"/>
            <w:tcBorders>
              <w:top w:val="single" w:sz="4" w:space="0" w:color="auto"/>
            </w:tcBorders>
          </w:tcPr>
          <w:p w14:paraId="3E85E2C2" w14:textId="77777777" w:rsidR="00271E37" w:rsidRPr="00917260" w:rsidRDefault="00271E37">
            <w:pPr>
              <w:jc w:val="left"/>
            </w:pPr>
            <w:r w:rsidRPr="00917260">
              <w:t>D</w:t>
            </w:r>
            <w:r>
              <w:t>erecognition on disposal of division</w:t>
            </w:r>
          </w:p>
        </w:tc>
        <w:tc>
          <w:tcPr>
            <w:tcW w:w="965" w:type="dxa"/>
            <w:tcBorders>
              <w:top w:val="single" w:sz="4" w:space="0" w:color="auto"/>
            </w:tcBorders>
            <w:vAlign w:val="center"/>
          </w:tcPr>
          <w:p w14:paraId="31590FC2" w14:textId="77777777" w:rsidR="00271E37" w:rsidRPr="00542354" w:rsidRDefault="00271E37">
            <w:pPr>
              <w:rPr>
                <w:b/>
                <w:bCs/>
              </w:rPr>
            </w:pPr>
            <w:r w:rsidRPr="00542354">
              <w:rPr>
                <w:rFonts w:cs="Arial"/>
                <w:b/>
                <w:bCs/>
                <w:color w:val="000000"/>
                <w:szCs w:val="16"/>
              </w:rPr>
              <w:t>(43,464)</w:t>
            </w:r>
          </w:p>
        </w:tc>
        <w:tc>
          <w:tcPr>
            <w:tcW w:w="965" w:type="dxa"/>
            <w:tcBorders>
              <w:top w:val="single" w:sz="4" w:space="0" w:color="auto"/>
            </w:tcBorders>
            <w:vAlign w:val="center"/>
          </w:tcPr>
          <w:p w14:paraId="40BE52CE" w14:textId="77777777" w:rsidR="00271E37" w:rsidRPr="00542354" w:rsidRDefault="00271E37">
            <w:pPr>
              <w:rPr>
                <w:b/>
                <w:bCs/>
              </w:rPr>
            </w:pPr>
            <w:r w:rsidRPr="00542354">
              <w:rPr>
                <w:rFonts w:cs="Arial"/>
                <w:b/>
                <w:bCs/>
                <w:color w:val="000000"/>
                <w:szCs w:val="16"/>
              </w:rPr>
              <w:t>(7,592)</w:t>
            </w:r>
          </w:p>
        </w:tc>
        <w:tc>
          <w:tcPr>
            <w:tcW w:w="965" w:type="dxa"/>
            <w:tcBorders>
              <w:top w:val="single" w:sz="4" w:space="0" w:color="auto"/>
            </w:tcBorders>
            <w:vAlign w:val="center"/>
          </w:tcPr>
          <w:p w14:paraId="607B6DB2" w14:textId="77777777" w:rsidR="00271E37" w:rsidRPr="00542354" w:rsidRDefault="00271E37">
            <w:pPr>
              <w:rPr>
                <w:b/>
                <w:bCs/>
              </w:rPr>
            </w:pPr>
            <w:r w:rsidRPr="00542354">
              <w:rPr>
                <w:rFonts w:cs="Arial"/>
                <w:b/>
                <w:bCs/>
                <w:color w:val="000000"/>
                <w:szCs w:val="16"/>
              </w:rPr>
              <w:t>(3,717)</w:t>
            </w:r>
          </w:p>
        </w:tc>
        <w:tc>
          <w:tcPr>
            <w:tcW w:w="965" w:type="dxa"/>
            <w:tcBorders>
              <w:top w:val="single" w:sz="4" w:space="0" w:color="auto"/>
            </w:tcBorders>
            <w:vAlign w:val="center"/>
          </w:tcPr>
          <w:p w14:paraId="7A2C1CBA" w14:textId="77777777" w:rsidR="00271E37" w:rsidRPr="00542354" w:rsidRDefault="00271E37">
            <w:pPr>
              <w:rPr>
                <w:b/>
                <w:bCs/>
              </w:rPr>
            </w:pPr>
            <w:r w:rsidRPr="00542354">
              <w:rPr>
                <w:rFonts w:cs="Arial"/>
                <w:b/>
                <w:bCs/>
                <w:color w:val="000000"/>
                <w:szCs w:val="16"/>
              </w:rPr>
              <w:t>(17,212)</w:t>
            </w:r>
          </w:p>
        </w:tc>
        <w:tc>
          <w:tcPr>
            <w:tcW w:w="965" w:type="dxa"/>
            <w:tcBorders>
              <w:top w:val="single" w:sz="4" w:space="0" w:color="auto"/>
            </w:tcBorders>
            <w:vAlign w:val="center"/>
          </w:tcPr>
          <w:p w14:paraId="09570E53" w14:textId="77777777" w:rsidR="00271E37" w:rsidRPr="00542354" w:rsidRDefault="00271E37">
            <w:pPr>
              <w:rPr>
                <w:b/>
                <w:bCs/>
              </w:rPr>
            </w:pPr>
            <w:r w:rsidRPr="00542354">
              <w:rPr>
                <w:rFonts w:cs="Arial"/>
                <w:b/>
                <w:bCs/>
                <w:color w:val="000000"/>
                <w:szCs w:val="16"/>
              </w:rPr>
              <w:t>(143)</w:t>
            </w:r>
          </w:p>
        </w:tc>
        <w:tc>
          <w:tcPr>
            <w:tcW w:w="965" w:type="dxa"/>
            <w:tcBorders>
              <w:top w:val="single" w:sz="4" w:space="0" w:color="auto"/>
            </w:tcBorders>
            <w:vAlign w:val="center"/>
          </w:tcPr>
          <w:p w14:paraId="6BCD3847" w14:textId="77777777" w:rsidR="00271E37" w:rsidRPr="00542354" w:rsidRDefault="00271E37">
            <w:pPr>
              <w:rPr>
                <w:b/>
                <w:bCs/>
              </w:rPr>
            </w:pPr>
            <w:r w:rsidRPr="00542354">
              <w:rPr>
                <w:rFonts w:cs="Arial"/>
                <w:b/>
                <w:bCs/>
                <w:color w:val="000000"/>
                <w:szCs w:val="16"/>
              </w:rPr>
              <w:t>(72,128)</w:t>
            </w:r>
          </w:p>
        </w:tc>
      </w:tr>
      <w:tr w:rsidR="00271E37" w:rsidRPr="006B42E0" w14:paraId="31C1AFBC" w14:textId="77777777">
        <w:tc>
          <w:tcPr>
            <w:tcW w:w="3849" w:type="dxa"/>
            <w:tcBorders>
              <w:bottom w:val="single" w:sz="4" w:space="0" w:color="000000" w:themeColor="text1"/>
            </w:tcBorders>
          </w:tcPr>
          <w:p w14:paraId="60AE3740" w14:textId="77777777" w:rsidR="00271E37" w:rsidRPr="00917260" w:rsidRDefault="00271E37">
            <w:pPr>
              <w:jc w:val="left"/>
            </w:pPr>
            <w:r w:rsidRPr="00917260">
              <w:t>Effect of movements in foreign exchange</w:t>
            </w:r>
          </w:p>
        </w:tc>
        <w:tc>
          <w:tcPr>
            <w:tcW w:w="965" w:type="dxa"/>
            <w:tcBorders>
              <w:bottom w:val="single" w:sz="4" w:space="0" w:color="000000" w:themeColor="text1"/>
            </w:tcBorders>
            <w:vAlign w:val="center"/>
          </w:tcPr>
          <w:p w14:paraId="168A8019" w14:textId="77777777" w:rsidR="00271E37" w:rsidRPr="00542354" w:rsidRDefault="00271E37">
            <w:pPr>
              <w:rPr>
                <w:b/>
                <w:bCs/>
              </w:rPr>
            </w:pPr>
            <w:r w:rsidRPr="00542354">
              <w:rPr>
                <w:rFonts w:cs="Arial"/>
                <w:b/>
                <w:bCs/>
                <w:color w:val="000000"/>
                <w:szCs w:val="16"/>
              </w:rPr>
              <w:t>(1,315)</w:t>
            </w:r>
          </w:p>
        </w:tc>
        <w:tc>
          <w:tcPr>
            <w:tcW w:w="965" w:type="dxa"/>
            <w:tcBorders>
              <w:bottom w:val="single" w:sz="4" w:space="0" w:color="000000" w:themeColor="text1"/>
            </w:tcBorders>
            <w:vAlign w:val="center"/>
          </w:tcPr>
          <w:p w14:paraId="5A60FD7F" w14:textId="77777777" w:rsidR="00271E37" w:rsidRPr="00542354" w:rsidRDefault="00271E37">
            <w:pPr>
              <w:rPr>
                <w:b/>
                <w:bCs/>
              </w:rPr>
            </w:pPr>
            <w:r w:rsidRPr="00542354">
              <w:rPr>
                <w:rFonts w:cs="Arial"/>
                <w:b/>
                <w:bCs/>
                <w:color w:val="000000"/>
                <w:szCs w:val="16"/>
              </w:rPr>
              <w:t>(259)</w:t>
            </w:r>
          </w:p>
        </w:tc>
        <w:tc>
          <w:tcPr>
            <w:tcW w:w="965" w:type="dxa"/>
            <w:tcBorders>
              <w:bottom w:val="single" w:sz="4" w:space="0" w:color="000000" w:themeColor="text1"/>
            </w:tcBorders>
            <w:vAlign w:val="center"/>
          </w:tcPr>
          <w:p w14:paraId="55E9D6BD" w14:textId="77777777" w:rsidR="00271E37" w:rsidRPr="00542354" w:rsidRDefault="00271E37">
            <w:pPr>
              <w:rPr>
                <w:b/>
                <w:bCs/>
              </w:rPr>
            </w:pPr>
            <w:r w:rsidRPr="00542354">
              <w:rPr>
                <w:rFonts w:cs="Arial"/>
                <w:b/>
                <w:bCs/>
                <w:color w:val="000000"/>
                <w:szCs w:val="16"/>
              </w:rPr>
              <w:t>(146)</w:t>
            </w:r>
          </w:p>
        </w:tc>
        <w:tc>
          <w:tcPr>
            <w:tcW w:w="965" w:type="dxa"/>
            <w:tcBorders>
              <w:bottom w:val="single" w:sz="4" w:space="0" w:color="000000" w:themeColor="text1"/>
            </w:tcBorders>
            <w:vAlign w:val="center"/>
          </w:tcPr>
          <w:p w14:paraId="06DFF631" w14:textId="77777777" w:rsidR="00271E37" w:rsidRPr="00542354" w:rsidRDefault="00271E37">
            <w:pPr>
              <w:rPr>
                <w:b/>
                <w:bCs/>
              </w:rPr>
            </w:pPr>
            <w:r w:rsidRPr="00542354">
              <w:rPr>
                <w:rFonts w:cs="Arial"/>
                <w:b/>
                <w:bCs/>
                <w:color w:val="000000"/>
                <w:szCs w:val="16"/>
              </w:rPr>
              <w:t>(684)</w:t>
            </w:r>
          </w:p>
        </w:tc>
        <w:tc>
          <w:tcPr>
            <w:tcW w:w="965" w:type="dxa"/>
            <w:tcBorders>
              <w:bottom w:val="single" w:sz="4" w:space="0" w:color="000000" w:themeColor="text1"/>
            </w:tcBorders>
            <w:vAlign w:val="center"/>
          </w:tcPr>
          <w:p w14:paraId="58F46DFF" w14:textId="77777777" w:rsidR="00271E37" w:rsidRPr="00542354" w:rsidRDefault="00271E37">
            <w:pPr>
              <w:rPr>
                <w:b/>
                <w:bCs/>
              </w:rPr>
            </w:pPr>
            <w:r w:rsidRPr="00542354">
              <w:rPr>
                <w:rFonts w:cs="Arial"/>
                <w:b/>
                <w:bCs/>
                <w:color w:val="000000"/>
                <w:szCs w:val="16"/>
              </w:rPr>
              <w:t>(1)</w:t>
            </w:r>
          </w:p>
        </w:tc>
        <w:tc>
          <w:tcPr>
            <w:tcW w:w="965" w:type="dxa"/>
            <w:tcBorders>
              <w:bottom w:val="single" w:sz="4" w:space="0" w:color="000000" w:themeColor="text1"/>
            </w:tcBorders>
            <w:vAlign w:val="center"/>
          </w:tcPr>
          <w:p w14:paraId="342CB251" w14:textId="77777777" w:rsidR="00271E37" w:rsidRPr="00542354" w:rsidRDefault="00271E37">
            <w:pPr>
              <w:rPr>
                <w:b/>
                <w:bCs/>
              </w:rPr>
            </w:pPr>
            <w:r w:rsidRPr="00542354">
              <w:rPr>
                <w:rFonts w:cs="Arial"/>
                <w:b/>
                <w:bCs/>
                <w:color w:val="000000"/>
                <w:szCs w:val="16"/>
              </w:rPr>
              <w:t>(2,405)</w:t>
            </w:r>
          </w:p>
        </w:tc>
      </w:tr>
      <w:tr w:rsidR="00271E37" w:rsidRPr="006B42E0" w14:paraId="5420175F" w14:textId="77777777">
        <w:tc>
          <w:tcPr>
            <w:tcW w:w="3849" w:type="dxa"/>
            <w:tcBorders>
              <w:top w:val="single" w:sz="4" w:space="0" w:color="000000" w:themeColor="text1"/>
              <w:bottom w:val="single" w:sz="4" w:space="0" w:color="000000" w:themeColor="text1"/>
            </w:tcBorders>
          </w:tcPr>
          <w:p w14:paraId="6E7F7EC2" w14:textId="77777777" w:rsidR="00271E37" w:rsidRPr="00917260" w:rsidRDefault="00271E37">
            <w:pPr>
              <w:jc w:val="left"/>
              <w:rPr>
                <w:b/>
                <w:bCs/>
              </w:rPr>
            </w:pPr>
            <w:r w:rsidRPr="00917260">
              <w:rPr>
                <w:b/>
                <w:bCs/>
              </w:rPr>
              <w:t>Balance at 31 March 202</w:t>
            </w:r>
            <w:r>
              <w:rPr>
                <w:b/>
                <w:bCs/>
              </w:rPr>
              <w:t>6</w:t>
            </w:r>
          </w:p>
        </w:tc>
        <w:tc>
          <w:tcPr>
            <w:tcW w:w="965" w:type="dxa"/>
            <w:tcBorders>
              <w:top w:val="single" w:sz="4" w:space="0" w:color="000000" w:themeColor="text1"/>
              <w:bottom w:val="single" w:sz="4" w:space="0" w:color="000000" w:themeColor="text1"/>
            </w:tcBorders>
            <w:vAlign w:val="center"/>
          </w:tcPr>
          <w:p w14:paraId="2C2ED2E9" w14:textId="77777777" w:rsidR="00271E37" w:rsidRPr="00542354" w:rsidRDefault="00271E37">
            <w:pPr>
              <w:rPr>
                <w:b/>
                <w:bCs/>
              </w:rPr>
            </w:pPr>
            <w:r w:rsidRPr="00542354">
              <w:rPr>
                <w:rFonts w:cs="Arial"/>
                <w:b/>
                <w:bCs/>
                <w:color w:val="000000"/>
                <w:szCs w:val="16"/>
              </w:rPr>
              <w:t xml:space="preserve">36,208 </w:t>
            </w:r>
          </w:p>
        </w:tc>
        <w:tc>
          <w:tcPr>
            <w:tcW w:w="965" w:type="dxa"/>
            <w:tcBorders>
              <w:top w:val="single" w:sz="4" w:space="0" w:color="000000" w:themeColor="text1"/>
              <w:bottom w:val="single" w:sz="4" w:space="0" w:color="000000" w:themeColor="text1"/>
            </w:tcBorders>
            <w:vAlign w:val="center"/>
          </w:tcPr>
          <w:p w14:paraId="1B5E06FE" w14:textId="77777777" w:rsidR="00271E37" w:rsidRPr="00542354" w:rsidRDefault="00271E37">
            <w:pPr>
              <w:rPr>
                <w:b/>
                <w:bCs/>
              </w:rPr>
            </w:pPr>
            <w:r w:rsidRPr="00542354">
              <w:rPr>
                <w:rFonts w:cs="Arial"/>
                <w:b/>
                <w:bCs/>
                <w:color w:val="000000"/>
                <w:szCs w:val="16"/>
              </w:rPr>
              <w:t xml:space="preserve">1,665 </w:t>
            </w:r>
          </w:p>
        </w:tc>
        <w:tc>
          <w:tcPr>
            <w:tcW w:w="965" w:type="dxa"/>
            <w:tcBorders>
              <w:top w:val="single" w:sz="4" w:space="0" w:color="000000" w:themeColor="text1"/>
              <w:bottom w:val="single" w:sz="4" w:space="0" w:color="000000" w:themeColor="text1"/>
            </w:tcBorders>
            <w:vAlign w:val="center"/>
          </w:tcPr>
          <w:p w14:paraId="013F09A8" w14:textId="77777777" w:rsidR="00271E37" w:rsidRPr="00542354" w:rsidRDefault="00271E37">
            <w:pPr>
              <w:rPr>
                <w:b/>
                <w:bCs/>
              </w:rPr>
            </w:pPr>
            <w:r w:rsidRPr="00542354">
              <w:rPr>
                <w:rFonts w:cs="Arial"/>
                <w:b/>
                <w:bCs/>
                <w:color w:val="000000"/>
                <w:szCs w:val="16"/>
              </w:rPr>
              <w:t xml:space="preserve">37 </w:t>
            </w:r>
          </w:p>
        </w:tc>
        <w:tc>
          <w:tcPr>
            <w:tcW w:w="965" w:type="dxa"/>
            <w:tcBorders>
              <w:top w:val="single" w:sz="4" w:space="0" w:color="000000" w:themeColor="text1"/>
              <w:bottom w:val="single" w:sz="4" w:space="0" w:color="000000" w:themeColor="text1"/>
            </w:tcBorders>
            <w:vAlign w:val="center"/>
          </w:tcPr>
          <w:p w14:paraId="6A621B2A" w14:textId="77777777" w:rsidR="00271E37" w:rsidRPr="00542354" w:rsidRDefault="00271E37">
            <w:pPr>
              <w:rPr>
                <w:b/>
                <w:bCs/>
              </w:rPr>
            </w:pPr>
            <w:r w:rsidRPr="00542354">
              <w:rPr>
                <w:rFonts w:cs="Arial"/>
                <w:b/>
                <w:bCs/>
                <w:color w:val="000000"/>
                <w:szCs w:val="16"/>
              </w:rPr>
              <w:t xml:space="preserve">19 </w:t>
            </w:r>
          </w:p>
        </w:tc>
        <w:tc>
          <w:tcPr>
            <w:tcW w:w="965" w:type="dxa"/>
            <w:tcBorders>
              <w:top w:val="single" w:sz="4" w:space="0" w:color="000000" w:themeColor="text1"/>
              <w:bottom w:val="single" w:sz="4" w:space="0" w:color="000000" w:themeColor="text1"/>
            </w:tcBorders>
            <w:vAlign w:val="center"/>
          </w:tcPr>
          <w:p w14:paraId="50B90FBF" w14:textId="77777777" w:rsidR="00271E37" w:rsidRPr="00542354" w:rsidRDefault="00271E37">
            <w:pPr>
              <w:rPr>
                <w:b/>
                <w:bCs/>
              </w:rPr>
            </w:pPr>
            <w:r w:rsidRPr="00542354">
              <w:rPr>
                <w:rFonts w:cs="Arial"/>
                <w:b/>
                <w:bCs/>
                <w:color w:val="000000"/>
                <w:szCs w:val="16"/>
              </w:rPr>
              <w:t xml:space="preserve">112 </w:t>
            </w:r>
          </w:p>
        </w:tc>
        <w:tc>
          <w:tcPr>
            <w:tcW w:w="965" w:type="dxa"/>
            <w:tcBorders>
              <w:top w:val="single" w:sz="4" w:space="0" w:color="000000" w:themeColor="text1"/>
              <w:bottom w:val="single" w:sz="4" w:space="0" w:color="000000" w:themeColor="text1"/>
            </w:tcBorders>
            <w:vAlign w:val="center"/>
          </w:tcPr>
          <w:p w14:paraId="669DF07F" w14:textId="77777777" w:rsidR="00271E37" w:rsidRPr="00542354" w:rsidRDefault="00271E37">
            <w:pPr>
              <w:rPr>
                <w:b/>
                <w:bCs/>
              </w:rPr>
            </w:pPr>
            <w:r w:rsidRPr="00542354">
              <w:rPr>
                <w:rFonts w:cs="Arial"/>
                <w:b/>
                <w:bCs/>
                <w:color w:val="000000"/>
                <w:szCs w:val="16"/>
              </w:rPr>
              <w:t xml:space="preserve">38,041 </w:t>
            </w:r>
          </w:p>
        </w:tc>
      </w:tr>
      <w:tr w:rsidR="00271E37" w:rsidRPr="006B42E0" w14:paraId="0DD1E701" w14:textId="77777777" w:rsidTr="25050B4A">
        <w:tc>
          <w:tcPr>
            <w:tcW w:w="3849" w:type="dxa"/>
            <w:tcBorders>
              <w:top w:val="single" w:sz="4" w:space="0" w:color="000000" w:themeColor="text1"/>
            </w:tcBorders>
          </w:tcPr>
          <w:p w14:paraId="6E2D6C2E" w14:textId="77777777" w:rsidR="00271E37" w:rsidRPr="00DD777C" w:rsidRDefault="00271E37" w:rsidP="000923EA">
            <w:pPr>
              <w:jc w:val="left"/>
              <w:rPr>
                <w:b/>
                <w:bCs/>
              </w:rPr>
            </w:pPr>
            <w:r w:rsidRPr="00DD777C">
              <w:rPr>
                <w:b/>
                <w:bCs/>
              </w:rPr>
              <w:t>Amortisation and impairment</w:t>
            </w:r>
          </w:p>
        </w:tc>
        <w:tc>
          <w:tcPr>
            <w:tcW w:w="965" w:type="dxa"/>
            <w:tcBorders>
              <w:top w:val="single" w:sz="4" w:space="0" w:color="000000" w:themeColor="text1"/>
            </w:tcBorders>
          </w:tcPr>
          <w:p w14:paraId="5F9C044A" w14:textId="77777777" w:rsidR="00271E37" w:rsidRPr="00917260" w:rsidRDefault="00271E37" w:rsidP="000923EA"/>
        </w:tc>
        <w:tc>
          <w:tcPr>
            <w:tcW w:w="965" w:type="dxa"/>
            <w:tcBorders>
              <w:top w:val="single" w:sz="4" w:space="0" w:color="000000" w:themeColor="text1"/>
            </w:tcBorders>
          </w:tcPr>
          <w:p w14:paraId="7F5D7427" w14:textId="77777777" w:rsidR="00271E37" w:rsidRPr="00917260" w:rsidRDefault="00271E37" w:rsidP="000923EA"/>
        </w:tc>
        <w:tc>
          <w:tcPr>
            <w:tcW w:w="965" w:type="dxa"/>
            <w:tcBorders>
              <w:top w:val="single" w:sz="4" w:space="0" w:color="000000" w:themeColor="text1"/>
            </w:tcBorders>
          </w:tcPr>
          <w:p w14:paraId="3F3E043D" w14:textId="77777777" w:rsidR="00271E37" w:rsidRPr="00917260" w:rsidRDefault="00271E37" w:rsidP="000923EA"/>
        </w:tc>
        <w:tc>
          <w:tcPr>
            <w:tcW w:w="965" w:type="dxa"/>
            <w:tcBorders>
              <w:top w:val="single" w:sz="4" w:space="0" w:color="000000" w:themeColor="text1"/>
            </w:tcBorders>
          </w:tcPr>
          <w:p w14:paraId="49356C9B" w14:textId="77777777" w:rsidR="00271E37" w:rsidRPr="00917260" w:rsidRDefault="00271E37" w:rsidP="000923EA"/>
        </w:tc>
        <w:tc>
          <w:tcPr>
            <w:tcW w:w="965" w:type="dxa"/>
            <w:tcBorders>
              <w:top w:val="single" w:sz="4" w:space="0" w:color="000000" w:themeColor="text1"/>
            </w:tcBorders>
          </w:tcPr>
          <w:p w14:paraId="219444FC" w14:textId="77777777" w:rsidR="00271E37" w:rsidRPr="00917260" w:rsidRDefault="00271E37" w:rsidP="000923EA"/>
        </w:tc>
        <w:tc>
          <w:tcPr>
            <w:tcW w:w="965" w:type="dxa"/>
            <w:tcBorders>
              <w:top w:val="single" w:sz="4" w:space="0" w:color="000000" w:themeColor="text1"/>
            </w:tcBorders>
          </w:tcPr>
          <w:p w14:paraId="502746BF" w14:textId="77777777" w:rsidR="00271E37" w:rsidRPr="00917260" w:rsidRDefault="00271E37" w:rsidP="000923EA"/>
        </w:tc>
      </w:tr>
      <w:tr w:rsidR="00271E37" w:rsidRPr="006B42E0" w14:paraId="4EBD9CC2" w14:textId="77777777">
        <w:tc>
          <w:tcPr>
            <w:tcW w:w="3849" w:type="dxa"/>
          </w:tcPr>
          <w:p w14:paraId="4897CE21" w14:textId="77777777" w:rsidR="00271E37" w:rsidRPr="00917260" w:rsidRDefault="00271E37">
            <w:pPr>
              <w:jc w:val="left"/>
            </w:pPr>
            <w:r w:rsidRPr="00917260">
              <w:t>Balance at 1 April 202</w:t>
            </w:r>
            <w:r>
              <w:t>4</w:t>
            </w:r>
          </w:p>
        </w:tc>
        <w:tc>
          <w:tcPr>
            <w:tcW w:w="965" w:type="dxa"/>
            <w:vAlign w:val="center"/>
          </w:tcPr>
          <w:p w14:paraId="02CBADBF" w14:textId="77777777" w:rsidR="00271E37" w:rsidRPr="00917260" w:rsidRDefault="00271E37">
            <w:r>
              <w:rPr>
                <w:rFonts w:cs="Arial"/>
                <w:color w:val="000000"/>
                <w:szCs w:val="16"/>
              </w:rPr>
              <w:t>(33,854)</w:t>
            </w:r>
          </w:p>
        </w:tc>
        <w:tc>
          <w:tcPr>
            <w:tcW w:w="965" w:type="dxa"/>
            <w:vAlign w:val="center"/>
          </w:tcPr>
          <w:p w14:paraId="5AD51F20" w14:textId="77777777" w:rsidR="00271E37" w:rsidRPr="00917260" w:rsidRDefault="00271E37">
            <w:r>
              <w:rPr>
                <w:rFonts w:cs="Arial"/>
                <w:color w:val="000000"/>
                <w:szCs w:val="16"/>
              </w:rPr>
              <w:t>(9,504)</w:t>
            </w:r>
          </w:p>
        </w:tc>
        <w:tc>
          <w:tcPr>
            <w:tcW w:w="965" w:type="dxa"/>
            <w:vAlign w:val="center"/>
          </w:tcPr>
          <w:p w14:paraId="3D17E4F2" w14:textId="77777777" w:rsidR="00271E37" w:rsidRPr="00917260" w:rsidRDefault="00271E37">
            <w:r>
              <w:rPr>
                <w:rFonts w:cs="Arial"/>
                <w:color w:val="000000"/>
                <w:szCs w:val="16"/>
              </w:rPr>
              <w:t>(4,143)</w:t>
            </w:r>
          </w:p>
        </w:tc>
        <w:tc>
          <w:tcPr>
            <w:tcW w:w="965" w:type="dxa"/>
            <w:vAlign w:val="center"/>
          </w:tcPr>
          <w:p w14:paraId="58B6EBFC" w14:textId="77777777" w:rsidR="00271E37" w:rsidRPr="00917260" w:rsidRDefault="00271E37">
            <w:r>
              <w:rPr>
                <w:rFonts w:cs="Arial"/>
                <w:color w:val="000000"/>
                <w:szCs w:val="16"/>
              </w:rPr>
              <w:t>(9,294)</w:t>
            </w:r>
          </w:p>
        </w:tc>
        <w:tc>
          <w:tcPr>
            <w:tcW w:w="965" w:type="dxa"/>
            <w:vAlign w:val="center"/>
          </w:tcPr>
          <w:p w14:paraId="7C87F4BD" w14:textId="77777777" w:rsidR="00271E37" w:rsidRPr="00917260" w:rsidRDefault="00271E37">
            <w:r>
              <w:rPr>
                <w:rFonts w:cs="Arial"/>
                <w:color w:val="000000"/>
                <w:szCs w:val="16"/>
              </w:rPr>
              <w:t>(109)</w:t>
            </w:r>
          </w:p>
        </w:tc>
        <w:tc>
          <w:tcPr>
            <w:tcW w:w="965" w:type="dxa"/>
            <w:vAlign w:val="center"/>
          </w:tcPr>
          <w:p w14:paraId="06C500D5" w14:textId="77777777" w:rsidR="00271E37" w:rsidRPr="00917260" w:rsidRDefault="00271E37">
            <w:r>
              <w:rPr>
                <w:rFonts w:cs="Arial"/>
                <w:color w:val="000000"/>
                <w:szCs w:val="16"/>
              </w:rPr>
              <w:t>(56,904)</w:t>
            </w:r>
          </w:p>
        </w:tc>
      </w:tr>
      <w:tr w:rsidR="00271E37" w:rsidRPr="006B42E0" w14:paraId="064E51D2" w14:textId="77777777">
        <w:tc>
          <w:tcPr>
            <w:tcW w:w="3849" w:type="dxa"/>
          </w:tcPr>
          <w:p w14:paraId="5B338CDA" w14:textId="77777777" w:rsidR="00271E37" w:rsidRPr="00917260" w:rsidRDefault="00271E37">
            <w:pPr>
              <w:jc w:val="left"/>
            </w:pPr>
            <w:r w:rsidRPr="00917260">
              <w:t>Amortisation charge for the year</w:t>
            </w:r>
          </w:p>
        </w:tc>
        <w:tc>
          <w:tcPr>
            <w:tcW w:w="965" w:type="dxa"/>
            <w:vAlign w:val="center"/>
          </w:tcPr>
          <w:p w14:paraId="63AF60E2" w14:textId="77777777" w:rsidR="00271E37" w:rsidRPr="00EE37A1" w:rsidRDefault="00271E37">
            <w:r>
              <w:rPr>
                <w:rFonts w:cs="Arial"/>
                <w:color w:val="000000"/>
                <w:szCs w:val="16"/>
              </w:rPr>
              <w:t xml:space="preserve"> - </w:t>
            </w:r>
          </w:p>
        </w:tc>
        <w:tc>
          <w:tcPr>
            <w:tcW w:w="965" w:type="dxa"/>
            <w:vAlign w:val="center"/>
          </w:tcPr>
          <w:p w14:paraId="5A24A833" w14:textId="77777777" w:rsidR="00271E37" w:rsidRPr="00EE37A1" w:rsidRDefault="00271E37">
            <w:r>
              <w:rPr>
                <w:rFonts w:cs="Arial"/>
                <w:color w:val="000000"/>
                <w:szCs w:val="16"/>
              </w:rPr>
              <w:t>(373)</w:t>
            </w:r>
          </w:p>
        </w:tc>
        <w:tc>
          <w:tcPr>
            <w:tcW w:w="965" w:type="dxa"/>
            <w:vAlign w:val="center"/>
          </w:tcPr>
          <w:p w14:paraId="4B558E29" w14:textId="77777777" w:rsidR="00271E37" w:rsidRPr="00EE37A1" w:rsidRDefault="00271E37">
            <w:r>
              <w:rPr>
                <w:rFonts w:cs="Arial"/>
                <w:color w:val="000000"/>
                <w:szCs w:val="16"/>
              </w:rPr>
              <w:t>(13)</w:t>
            </w:r>
          </w:p>
        </w:tc>
        <w:tc>
          <w:tcPr>
            <w:tcW w:w="965" w:type="dxa"/>
            <w:vAlign w:val="center"/>
          </w:tcPr>
          <w:p w14:paraId="2C3B885F" w14:textId="77777777" w:rsidR="00271E37" w:rsidRPr="00EE37A1" w:rsidRDefault="00271E37">
            <w:r>
              <w:rPr>
                <w:rFonts w:cs="Arial"/>
                <w:color w:val="000000"/>
                <w:szCs w:val="16"/>
              </w:rPr>
              <w:t>(1,380)</w:t>
            </w:r>
          </w:p>
        </w:tc>
        <w:tc>
          <w:tcPr>
            <w:tcW w:w="965" w:type="dxa"/>
            <w:vAlign w:val="center"/>
          </w:tcPr>
          <w:p w14:paraId="02EB7750" w14:textId="77777777" w:rsidR="00271E37" w:rsidRPr="00EE37A1" w:rsidRDefault="00271E37">
            <w:r>
              <w:rPr>
                <w:rFonts w:cs="Arial"/>
                <w:color w:val="000000"/>
                <w:szCs w:val="16"/>
              </w:rPr>
              <w:t>(138)</w:t>
            </w:r>
          </w:p>
        </w:tc>
        <w:tc>
          <w:tcPr>
            <w:tcW w:w="965" w:type="dxa"/>
            <w:vAlign w:val="center"/>
          </w:tcPr>
          <w:p w14:paraId="1E4CE087" w14:textId="77777777" w:rsidR="00271E37" w:rsidRPr="00EE37A1" w:rsidRDefault="00271E37">
            <w:r>
              <w:rPr>
                <w:rFonts w:cs="Arial"/>
                <w:color w:val="000000"/>
                <w:szCs w:val="16"/>
              </w:rPr>
              <w:t>(1,904)</w:t>
            </w:r>
          </w:p>
        </w:tc>
      </w:tr>
      <w:tr w:rsidR="00271E37" w:rsidRPr="006B42E0" w14:paraId="00D1A676" w14:textId="77777777">
        <w:tc>
          <w:tcPr>
            <w:tcW w:w="3849" w:type="dxa"/>
          </w:tcPr>
          <w:p w14:paraId="05A5A74E" w14:textId="77777777" w:rsidR="00271E37" w:rsidRPr="00917260" w:rsidRDefault="00271E37">
            <w:pPr>
              <w:jc w:val="left"/>
            </w:pPr>
            <w:r>
              <w:t>Impairment</w:t>
            </w:r>
          </w:p>
        </w:tc>
        <w:tc>
          <w:tcPr>
            <w:tcW w:w="965" w:type="dxa"/>
            <w:vAlign w:val="center"/>
          </w:tcPr>
          <w:p w14:paraId="3F100FC9" w14:textId="77777777" w:rsidR="00271E37" w:rsidRDefault="00271E37">
            <w:pPr>
              <w:rPr>
                <w:rFonts w:cs="Arial"/>
                <w:color w:val="000000"/>
                <w:szCs w:val="16"/>
              </w:rPr>
            </w:pPr>
            <w:r>
              <w:rPr>
                <w:rFonts w:cs="Arial"/>
                <w:color w:val="000000"/>
                <w:szCs w:val="16"/>
              </w:rPr>
              <w:t>(37,760)</w:t>
            </w:r>
          </w:p>
        </w:tc>
        <w:tc>
          <w:tcPr>
            <w:tcW w:w="965" w:type="dxa"/>
            <w:vAlign w:val="center"/>
          </w:tcPr>
          <w:p w14:paraId="663A718D" w14:textId="77777777" w:rsidR="00271E37" w:rsidRDefault="00271E37">
            <w:pPr>
              <w:rPr>
                <w:rFonts w:cs="Arial"/>
                <w:color w:val="000000"/>
                <w:szCs w:val="16"/>
              </w:rPr>
            </w:pPr>
            <w:r>
              <w:rPr>
                <w:rFonts w:cs="Arial"/>
                <w:color w:val="000000"/>
                <w:szCs w:val="16"/>
              </w:rPr>
              <w:t>(49)</w:t>
            </w:r>
          </w:p>
        </w:tc>
        <w:tc>
          <w:tcPr>
            <w:tcW w:w="965" w:type="dxa"/>
            <w:vAlign w:val="center"/>
          </w:tcPr>
          <w:p w14:paraId="6B231EC3" w14:textId="77777777" w:rsidR="00271E37" w:rsidRDefault="00271E37">
            <w:pPr>
              <w:rPr>
                <w:rFonts w:cs="Arial"/>
                <w:color w:val="000000"/>
                <w:szCs w:val="16"/>
              </w:rPr>
            </w:pPr>
            <w:r>
              <w:rPr>
                <w:rFonts w:cs="Arial"/>
                <w:color w:val="000000"/>
                <w:szCs w:val="16"/>
              </w:rPr>
              <w:t xml:space="preserve"> - </w:t>
            </w:r>
          </w:p>
        </w:tc>
        <w:tc>
          <w:tcPr>
            <w:tcW w:w="965" w:type="dxa"/>
            <w:vAlign w:val="center"/>
          </w:tcPr>
          <w:p w14:paraId="3D60184D" w14:textId="77777777" w:rsidR="00271E37" w:rsidRDefault="00271E37">
            <w:pPr>
              <w:rPr>
                <w:rFonts w:cs="Arial"/>
                <w:color w:val="000000"/>
                <w:szCs w:val="16"/>
              </w:rPr>
            </w:pPr>
            <w:r>
              <w:rPr>
                <w:rFonts w:cs="Arial"/>
                <w:color w:val="000000"/>
                <w:szCs w:val="16"/>
              </w:rPr>
              <w:t>(1,288)</w:t>
            </w:r>
          </w:p>
        </w:tc>
        <w:tc>
          <w:tcPr>
            <w:tcW w:w="965" w:type="dxa"/>
            <w:vAlign w:val="center"/>
          </w:tcPr>
          <w:p w14:paraId="2A910662" w14:textId="77777777" w:rsidR="00271E37" w:rsidRDefault="00271E37">
            <w:pPr>
              <w:rPr>
                <w:rFonts w:cs="Arial"/>
                <w:color w:val="000000"/>
                <w:szCs w:val="16"/>
              </w:rPr>
            </w:pPr>
            <w:r>
              <w:rPr>
                <w:rFonts w:cs="Arial"/>
                <w:color w:val="000000"/>
                <w:szCs w:val="16"/>
              </w:rPr>
              <w:t xml:space="preserve"> - </w:t>
            </w:r>
          </w:p>
        </w:tc>
        <w:tc>
          <w:tcPr>
            <w:tcW w:w="965" w:type="dxa"/>
            <w:vAlign w:val="center"/>
          </w:tcPr>
          <w:p w14:paraId="18AEB139" w14:textId="77777777" w:rsidR="00271E37" w:rsidRDefault="00271E37">
            <w:pPr>
              <w:rPr>
                <w:rFonts w:cs="Arial"/>
                <w:color w:val="000000"/>
                <w:szCs w:val="16"/>
              </w:rPr>
            </w:pPr>
            <w:r>
              <w:rPr>
                <w:rFonts w:cs="Arial"/>
                <w:color w:val="000000"/>
                <w:szCs w:val="16"/>
              </w:rPr>
              <w:t>(39,097)</w:t>
            </w:r>
          </w:p>
        </w:tc>
      </w:tr>
      <w:tr w:rsidR="00271E37" w:rsidRPr="006B42E0" w14:paraId="7E8DB0A6" w14:textId="77777777">
        <w:tc>
          <w:tcPr>
            <w:tcW w:w="3849" w:type="dxa"/>
          </w:tcPr>
          <w:p w14:paraId="05EBACAD" w14:textId="77777777" w:rsidR="00271E37" w:rsidRPr="00917260" w:rsidRDefault="00271E37">
            <w:pPr>
              <w:jc w:val="left"/>
            </w:pPr>
            <w:r w:rsidRPr="00917260">
              <w:t>Disposals</w:t>
            </w:r>
          </w:p>
        </w:tc>
        <w:tc>
          <w:tcPr>
            <w:tcW w:w="965" w:type="dxa"/>
            <w:vAlign w:val="center"/>
          </w:tcPr>
          <w:p w14:paraId="3D4C17FB" w14:textId="77777777" w:rsidR="00271E37" w:rsidRPr="00EE37A1" w:rsidRDefault="00271E37">
            <w:r>
              <w:rPr>
                <w:rFonts w:cs="Arial"/>
                <w:color w:val="000000"/>
                <w:szCs w:val="16"/>
              </w:rPr>
              <w:t xml:space="preserve"> - </w:t>
            </w:r>
          </w:p>
        </w:tc>
        <w:tc>
          <w:tcPr>
            <w:tcW w:w="965" w:type="dxa"/>
            <w:vAlign w:val="center"/>
          </w:tcPr>
          <w:p w14:paraId="2B40C0D3" w14:textId="77777777" w:rsidR="00271E37" w:rsidRPr="00EE37A1" w:rsidRDefault="00271E37">
            <w:r>
              <w:rPr>
                <w:rFonts w:cs="Arial"/>
                <w:color w:val="000000"/>
                <w:szCs w:val="16"/>
              </w:rPr>
              <w:t xml:space="preserve">492 </w:t>
            </w:r>
          </w:p>
        </w:tc>
        <w:tc>
          <w:tcPr>
            <w:tcW w:w="965" w:type="dxa"/>
            <w:vAlign w:val="center"/>
          </w:tcPr>
          <w:p w14:paraId="6E322190" w14:textId="77777777" w:rsidR="00271E37" w:rsidRPr="00EE37A1" w:rsidRDefault="00271E37">
            <w:r>
              <w:rPr>
                <w:rFonts w:cs="Arial"/>
                <w:color w:val="000000"/>
                <w:szCs w:val="16"/>
              </w:rPr>
              <w:t xml:space="preserve">177 </w:t>
            </w:r>
          </w:p>
        </w:tc>
        <w:tc>
          <w:tcPr>
            <w:tcW w:w="965" w:type="dxa"/>
            <w:vAlign w:val="center"/>
          </w:tcPr>
          <w:p w14:paraId="143E7306" w14:textId="77777777" w:rsidR="00271E37" w:rsidRPr="00EE37A1" w:rsidRDefault="00271E37">
            <w:r>
              <w:rPr>
                <w:rFonts w:cs="Arial"/>
                <w:color w:val="000000"/>
                <w:szCs w:val="16"/>
              </w:rPr>
              <w:t xml:space="preserve">640 </w:t>
            </w:r>
          </w:p>
        </w:tc>
        <w:tc>
          <w:tcPr>
            <w:tcW w:w="965" w:type="dxa"/>
            <w:vAlign w:val="center"/>
          </w:tcPr>
          <w:p w14:paraId="3ACF5B43" w14:textId="77777777" w:rsidR="00271E37" w:rsidRPr="00EE37A1" w:rsidRDefault="00271E37">
            <w:r>
              <w:rPr>
                <w:rFonts w:cs="Arial"/>
                <w:color w:val="000000"/>
                <w:szCs w:val="16"/>
              </w:rPr>
              <w:t xml:space="preserve">4 </w:t>
            </w:r>
          </w:p>
        </w:tc>
        <w:tc>
          <w:tcPr>
            <w:tcW w:w="965" w:type="dxa"/>
            <w:vAlign w:val="center"/>
          </w:tcPr>
          <w:p w14:paraId="3FECE804" w14:textId="77777777" w:rsidR="00271E37" w:rsidRPr="00EE37A1" w:rsidRDefault="00271E37">
            <w:r>
              <w:rPr>
                <w:rFonts w:cs="Arial"/>
                <w:color w:val="000000"/>
                <w:szCs w:val="16"/>
              </w:rPr>
              <w:t xml:space="preserve">1,313 </w:t>
            </w:r>
          </w:p>
        </w:tc>
      </w:tr>
      <w:tr w:rsidR="00271E37" w:rsidRPr="006B42E0" w14:paraId="49C05F73" w14:textId="77777777">
        <w:tc>
          <w:tcPr>
            <w:tcW w:w="3849" w:type="dxa"/>
            <w:tcBorders>
              <w:bottom w:val="single" w:sz="4" w:space="0" w:color="000000" w:themeColor="text1"/>
            </w:tcBorders>
          </w:tcPr>
          <w:p w14:paraId="1CBED049" w14:textId="77777777" w:rsidR="00271E37" w:rsidRPr="00917260" w:rsidRDefault="00271E37">
            <w:pPr>
              <w:jc w:val="left"/>
            </w:pPr>
            <w:r w:rsidRPr="00917260">
              <w:t>Effect of movements in foreign exchange</w:t>
            </w:r>
          </w:p>
        </w:tc>
        <w:tc>
          <w:tcPr>
            <w:tcW w:w="965" w:type="dxa"/>
            <w:tcBorders>
              <w:bottom w:val="single" w:sz="4" w:space="0" w:color="000000" w:themeColor="text1"/>
            </w:tcBorders>
            <w:vAlign w:val="center"/>
          </w:tcPr>
          <w:p w14:paraId="5F493D49" w14:textId="77777777" w:rsidR="00271E37" w:rsidRPr="00EE37A1" w:rsidRDefault="00271E37">
            <w:r>
              <w:rPr>
                <w:rFonts w:cs="Arial"/>
                <w:color w:val="000000"/>
                <w:szCs w:val="16"/>
              </w:rPr>
              <w:t xml:space="preserve">331 </w:t>
            </w:r>
          </w:p>
        </w:tc>
        <w:tc>
          <w:tcPr>
            <w:tcW w:w="965" w:type="dxa"/>
            <w:tcBorders>
              <w:bottom w:val="single" w:sz="4" w:space="0" w:color="000000" w:themeColor="text1"/>
            </w:tcBorders>
            <w:vAlign w:val="center"/>
          </w:tcPr>
          <w:p w14:paraId="17C0FF46" w14:textId="77777777" w:rsidR="00271E37" w:rsidRPr="00EE37A1" w:rsidRDefault="00271E37">
            <w:r>
              <w:rPr>
                <w:rFonts w:cs="Arial"/>
                <w:color w:val="000000"/>
                <w:szCs w:val="16"/>
              </w:rPr>
              <w:t xml:space="preserve">215 </w:t>
            </w:r>
          </w:p>
        </w:tc>
        <w:tc>
          <w:tcPr>
            <w:tcW w:w="965" w:type="dxa"/>
            <w:tcBorders>
              <w:bottom w:val="single" w:sz="4" w:space="0" w:color="000000" w:themeColor="text1"/>
            </w:tcBorders>
            <w:vAlign w:val="center"/>
          </w:tcPr>
          <w:p w14:paraId="620DED87" w14:textId="77777777" w:rsidR="00271E37" w:rsidRPr="00EE37A1" w:rsidRDefault="00271E37">
            <w:r>
              <w:rPr>
                <w:rFonts w:cs="Arial"/>
                <w:color w:val="000000"/>
                <w:szCs w:val="16"/>
              </w:rPr>
              <w:t xml:space="preserve">101 </w:t>
            </w:r>
          </w:p>
        </w:tc>
        <w:tc>
          <w:tcPr>
            <w:tcW w:w="965" w:type="dxa"/>
            <w:tcBorders>
              <w:bottom w:val="single" w:sz="4" w:space="0" w:color="000000" w:themeColor="text1"/>
            </w:tcBorders>
            <w:vAlign w:val="center"/>
          </w:tcPr>
          <w:p w14:paraId="4B5E50B9" w14:textId="77777777" w:rsidR="00271E37" w:rsidRPr="00EE37A1" w:rsidRDefault="00271E37">
            <w:r>
              <w:rPr>
                <w:rFonts w:cs="Arial"/>
                <w:color w:val="000000"/>
                <w:szCs w:val="16"/>
              </w:rPr>
              <w:t xml:space="preserve">241 </w:t>
            </w:r>
          </w:p>
        </w:tc>
        <w:tc>
          <w:tcPr>
            <w:tcW w:w="965" w:type="dxa"/>
            <w:tcBorders>
              <w:bottom w:val="single" w:sz="4" w:space="0" w:color="000000" w:themeColor="text1"/>
            </w:tcBorders>
            <w:vAlign w:val="center"/>
          </w:tcPr>
          <w:p w14:paraId="7C4BACA2" w14:textId="77777777" w:rsidR="00271E37" w:rsidRPr="00EE37A1" w:rsidRDefault="00271E37">
            <w:r>
              <w:rPr>
                <w:rFonts w:cs="Arial"/>
                <w:color w:val="000000"/>
                <w:szCs w:val="16"/>
              </w:rPr>
              <w:t xml:space="preserve">4 </w:t>
            </w:r>
          </w:p>
        </w:tc>
        <w:tc>
          <w:tcPr>
            <w:tcW w:w="965" w:type="dxa"/>
            <w:tcBorders>
              <w:bottom w:val="single" w:sz="4" w:space="0" w:color="000000" w:themeColor="text1"/>
            </w:tcBorders>
            <w:vAlign w:val="center"/>
          </w:tcPr>
          <w:p w14:paraId="7E2AC479" w14:textId="77777777" w:rsidR="00271E37" w:rsidRPr="00EE37A1" w:rsidRDefault="00271E37">
            <w:r>
              <w:rPr>
                <w:rFonts w:cs="Arial"/>
                <w:color w:val="000000"/>
                <w:szCs w:val="16"/>
              </w:rPr>
              <w:t xml:space="preserve">892 </w:t>
            </w:r>
          </w:p>
        </w:tc>
      </w:tr>
      <w:tr w:rsidR="00271E37" w:rsidRPr="006B42E0" w14:paraId="4C071C29" w14:textId="77777777">
        <w:tc>
          <w:tcPr>
            <w:tcW w:w="3849" w:type="dxa"/>
            <w:tcBorders>
              <w:top w:val="single" w:sz="4" w:space="0" w:color="000000" w:themeColor="text1"/>
            </w:tcBorders>
          </w:tcPr>
          <w:p w14:paraId="741AA49A" w14:textId="77777777" w:rsidR="00271E37" w:rsidRPr="00917260" w:rsidRDefault="00271E37">
            <w:pPr>
              <w:jc w:val="left"/>
            </w:pPr>
            <w:r w:rsidRPr="00917260">
              <w:t>Balance at 31 March 202</w:t>
            </w:r>
            <w:r>
              <w:t>5</w:t>
            </w:r>
          </w:p>
        </w:tc>
        <w:tc>
          <w:tcPr>
            <w:tcW w:w="965" w:type="dxa"/>
            <w:tcBorders>
              <w:top w:val="single" w:sz="4" w:space="0" w:color="000000" w:themeColor="text1"/>
            </w:tcBorders>
            <w:vAlign w:val="center"/>
          </w:tcPr>
          <w:p w14:paraId="3D29A261" w14:textId="77777777" w:rsidR="00271E37" w:rsidRPr="00EE37A1" w:rsidRDefault="00271E37">
            <w:r>
              <w:rPr>
                <w:rFonts w:cs="Arial"/>
                <w:color w:val="000000"/>
                <w:szCs w:val="16"/>
              </w:rPr>
              <w:t>(71,283)</w:t>
            </w:r>
          </w:p>
        </w:tc>
        <w:tc>
          <w:tcPr>
            <w:tcW w:w="965" w:type="dxa"/>
            <w:tcBorders>
              <w:top w:val="single" w:sz="4" w:space="0" w:color="000000" w:themeColor="text1"/>
            </w:tcBorders>
            <w:vAlign w:val="center"/>
          </w:tcPr>
          <w:p w14:paraId="01473597" w14:textId="77777777" w:rsidR="00271E37" w:rsidRPr="00EE37A1" w:rsidRDefault="00271E37">
            <w:r>
              <w:rPr>
                <w:rFonts w:cs="Arial"/>
                <w:color w:val="000000"/>
                <w:szCs w:val="16"/>
              </w:rPr>
              <w:t>(9,219)</w:t>
            </w:r>
          </w:p>
        </w:tc>
        <w:tc>
          <w:tcPr>
            <w:tcW w:w="965" w:type="dxa"/>
            <w:tcBorders>
              <w:top w:val="single" w:sz="4" w:space="0" w:color="000000" w:themeColor="text1"/>
            </w:tcBorders>
            <w:vAlign w:val="center"/>
          </w:tcPr>
          <w:p w14:paraId="23DF86DF" w14:textId="77777777" w:rsidR="00271E37" w:rsidRPr="00EE37A1" w:rsidRDefault="00271E37">
            <w:r>
              <w:rPr>
                <w:rFonts w:cs="Arial"/>
                <w:color w:val="000000"/>
                <w:szCs w:val="16"/>
              </w:rPr>
              <w:t>(3,878)</w:t>
            </w:r>
          </w:p>
        </w:tc>
        <w:tc>
          <w:tcPr>
            <w:tcW w:w="965" w:type="dxa"/>
            <w:tcBorders>
              <w:top w:val="single" w:sz="4" w:space="0" w:color="000000" w:themeColor="text1"/>
            </w:tcBorders>
            <w:vAlign w:val="center"/>
          </w:tcPr>
          <w:p w14:paraId="5145E883" w14:textId="77777777" w:rsidR="00271E37" w:rsidRPr="00EE37A1" w:rsidRDefault="00271E37">
            <w:r>
              <w:rPr>
                <w:rFonts w:cs="Arial"/>
                <w:color w:val="000000"/>
                <w:szCs w:val="16"/>
              </w:rPr>
              <w:t>(11,081)</w:t>
            </w:r>
          </w:p>
        </w:tc>
        <w:tc>
          <w:tcPr>
            <w:tcW w:w="965" w:type="dxa"/>
            <w:tcBorders>
              <w:top w:val="single" w:sz="4" w:space="0" w:color="000000" w:themeColor="text1"/>
            </w:tcBorders>
            <w:vAlign w:val="center"/>
          </w:tcPr>
          <w:p w14:paraId="01F5C438" w14:textId="77777777" w:rsidR="00271E37" w:rsidRPr="00EE37A1" w:rsidRDefault="00271E37">
            <w:r>
              <w:rPr>
                <w:rFonts w:cs="Arial"/>
                <w:color w:val="000000"/>
                <w:szCs w:val="16"/>
              </w:rPr>
              <w:t>(239)</w:t>
            </w:r>
          </w:p>
        </w:tc>
        <w:tc>
          <w:tcPr>
            <w:tcW w:w="965" w:type="dxa"/>
            <w:tcBorders>
              <w:top w:val="single" w:sz="4" w:space="0" w:color="000000" w:themeColor="text1"/>
            </w:tcBorders>
            <w:vAlign w:val="center"/>
          </w:tcPr>
          <w:p w14:paraId="4C75533D" w14:textId="77777777" w:rsidR="00271E37" w:rsidRPr="00EE37A1" w:rsidRDefault="00271E37">
            <w:r>
              <w:rPr>
                <w:rFonts w:cs="Arial"/>
                <w:color w:val="000000"/>
                <w:szCs w:val="16"/>
              </w:rPr>
              <w:t>(95,700)</w:t>
            </w:r>
          </w:p>
        </w:tc>
      </w:tr>
      <w:tr w:rsidR="00271E37" w:rsidRPr="006B42E0" w14:paraId="6BBB7CAC" w14:textId="77777777">
        <w:tc>
          <w:tcPr>
            <w:tcW w:w="3849" w:type="dxa"/>
          </w:tcPr>
          <w:p w14:paraId="47D028EF" w14:textId="77777777" w:rsidR="00271E37" w:rsidRPr="00917260" w:rsidRDefault="00271E37">
            <w:pPr>
              <w:jc w:val="left"/>
            </w:pPr>
            <w:r w:rsidRPr="00917260">
              <w:t>Amortisation charge for the year</w:t>
            </w:r>
          </w:p>
        </w:tc>
        <w:tc>
          <w:tcPr>
            <w:tcW w:w="965" w:type="dxa"/>
            <w:vAlign w:val="center"/>
          </w:tcPr>
          <w:p w14:paraId="17BF4313"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1F7CF91C" w14:textId="77777777" w:rsidR="00271E37" w:rsidRPr="00542354" w:rsidRDefault="00271E37">
            <w:pPr>
              <w:rPr>
                <w:b/>
                <w:bCs/>
              </w:rPr>
            </w:pPr>
            <w:r w:rsidRPr="00542354">
              <w:rPr>
                <w:rFonts w:cs="Arial"/>
                <w:b/>
                <w:bCs/>
                <w:color w:val="000000"/>
                <w:szCs w:val="16"/>
              </w:rPr>
              <w:t>(135)</w:t>
            </w:r>
          </w:p>
        </w:tc>
        <w:tc>
          <w:tcPr>
            <w:tcW w:w="965" w:type="dxa"/>
            <w:vAlign w:val="center"/>
          </w:tcPr>
          <w:p w14:paraId="186D6C69" w14:textId="77777777" w:rsidR="00271E37" w:rsidRPr="00542354" w:rsidRDefault="00271E37">
            <w:pPr>
              <w:rPr>
                <w:b/>
                <w:bCs/>
              </w:rPr>
            </w:pPr>
            <w:r w:rsidRPr="00542354">
              <w:rPr>
                <w:rFonts w:cs="Arial"/>
                <w:b/>
                <w:bCs/>
                <w:color w:val="000000"/>
                <w:szCs w:val="16"/>
              </w:rPr>
              <w:t>(12)</w:t>
            </w:r>
          </w:p>
        </w:tc>
        <w:tc>
          <w:tcPr>
            <w:tcW w:w="965" w:type="dxa"/>
            <w:vAlign w:val="center"/>
          </w:tcPr>
          <w:p w14:paraId="38E4A554" w14:textId="77777777" w:rsidR="00271E37" w:rsidRPr="00542354" w:rsidRDefault="00271E37">
            <w:pPr>
              <w:rPr>
                <w:b/>
                <w:bCs/>
              </w:rPr>
            </w:pPr>
            <w:r w:rsidRPr="00542354">
              <w:rPr>
                <w:rFonts w:cs="Arial"/>
                <w:b/>
                <w:bCs/>
                <w:color w:val="000000"/>
                <w:szCs w:val="16"/>
              </w:rPr>
              <w:t>(190)</w:t>
            </w:r>
          </w:p>
        </w:tc>
        <w:tc>
          <w:tcPr>
            <w:tcW w:w="965" w:type="dxa"/>
            <w:vAlign w:val="center"/>
          </w:tcPr>
          <w:p w14:paraId="36A74F4C" w14:textId="77777777" w:rsidR="00271E37" w:rsidRPr="00542354" w:rsidRDefault="00271E37">
            <w:pPr>
              <w:rPr>
                <w:b/>
                <w:bCs/>
              </w:rPr>
            </w:pPr>
            <w:r w:rsidRPr="00542354">
              <w:rPr>
                <w:rFonts w:cs="Arial"/>
                <w:b/>
                <w:bCs/>
                <w:color w:val="000000"/>
                <w:szCs w:val="16"/>
              </w:rPr>
              <w:t>(1)</w:t>
            </w:r>
          </w:p>
        </w:tc>
        <w:tc>
          <w:tcPr>
            <w:tcW w:w="965" w:type="dxa"/>
            <w:vAlign w:val="center"/>
          </w:tcPr>
          <w:p w14:paraId="4B99F0E6" w14:textId="77777777" w:rsidR="00271E37" w:rsidRPr="00542354" w:rsidRDefault="00271E37">
            <w:pPr>
              <w:rPr>
                <w:b/>
                <w:bCs/>
              </w:rPr>
            </w:pPr>
            <w:r w:rsidRPr="00542354">
              <w:rPr>
                <w:rFonts w:cs="Arial"/>
                <w:b/>
                <w:bCs/>
                <w:color w:val="000000"/>
                <w:szCs w:val="16"/>
              </w:rPr>
              <w:t>(338)</w:t>
            </w:r>
          </w:p>
        </w:tc>
      </w:tr>
      <w:tr w:rsidR="00271E37" w:rsidRPr="006B42E0" w14:paraId="4C48FAFE" w14:textId="77777777">
        <w:trPr>
          <w:trHeight w:val="123"/>
        </w:trPr>
        <w:tc>
          <w:tcPr>
            <w:tcW w:w="3849" w:type="dxa"/>
            <w:vAlign w:val="bottom"/>
          </w:tcPr>
          <w:p w14:paraId="12AAB984" w14:textId="77777777" w:rsidR="00271E37" w:rsidRDefault="00271E37">
            <w:pPr>
              <w:jc w:val="left"/>
            </w:pPr>
            <w:r>
              <w:t>Transfer to tangible fixed assets</w:t>
            </w:r>
          </w:p>
        </w:tc>
        <w:tc>
          <w:tcPr>
            <w:tcW w:w="965" w:type="dxa"/>
            <w:vAlign w:val="center"/>
          </w:tcPr>
          <w:p w14:paraId="3A9BA723"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0067CDAC" w14:textId="77777777" w:rsidR="00271E37" w:rsidRPr="00542354" w:rsidRDefault="00271E37">
            <w:pPr>
              <w:rPr>
                <w:b/>
                <w:bCs/>
              </w:rPr>
            </w:pPr>
            <w:r w:rsidRPr="00542354">
              <w:rPr>
                <w:rFonts w:cs="Arial"/>
                <w:b/>
                <w:bCs/>
                <w:color w:val="000000"/>
                <w:szCs w:val="16"/>
              </w:rPr>
              <w:t xml:space="preserve">114 </w:t>
            </w:r>
          </w:p>
        </w:tc>
        <w:tc>
          <w:tcPr>
            <w:tcW w:w="965" w:type="dxa"/>
            <w:vAlign w:val="center"/>
          </w:tcPr>
          <w:p w14:paraId="2949FECD"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16C0C49C"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7C435721"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3E72919D" w14:textId="77777777" w:rsidR="00271E37" w:rsidRPr="00542354" w:rsidRDefault="00271E37">
            <w:pPr>
              <w:rPr>
                <w:b/>
                <w:bCs/>
              </w:rPr>
            </w:pPr>
            <w:r w:rsidRPr="00542354">
              <w:rPr>
                <w:rFonts w:cs="Arial"/>
                <w:b/>
                <w:bCs/>
                <w:color w:val="000000"/>
                <w:szCs w:val="16"/>
              </w:rPr>
              <w:t xml:space="preserve">114 </w:t>
            </w:r>
          </w:p>
        </w:tc>
      </w:tr>
      <w:tr w:rsidR="00271E37" w:rsidRPr="006B42E0" w14:paraId="5FAC1D07" w14:textId="77777777">
        <w:trPr>
          <w:trHeight w:val="123"/>
        </w:trPr>
        <w:tc>
          <w:tcPr>
            <w:tcW w:w="3849" w:type="dxa"/>
            <w:vAlign w:val="bottom"/>
          </w:tcPr>
          <w:p w14:paraId="26D1BCA4" w14:textId="77777777" w:rsidR="00271E37" w:rsidRPr="00917260" w:rsidRDefault="00271E37">
            <w:pPr>
              <w:jc w:val="left"/>
            </w:pPr>
            <w:r>
              <w:t>Disposal</w:t>
            </w:r>
          </w:p>
        </w:tc>
        <w:tc>
          <w:tcPr>
            <w:tcW w:w="965" w:type="dxa"/>
            <w:vAlign w:val="center"/>
          </w:tcPr>
          <w:p w14:paraId="573E954D"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16F28DE1" w14:textId="77777777" w:rsidR="00271E37" w:rsidRPr="00542354" w:rsidRDefault="00271E37">
            <w:pPr>
              <w:rPr>
                <w:b/>
                <w:bCs/>
              </w:rPr>
            </w:pPr>
            <w:r w:rsidRPr="00542354">
              <w:rPr>
                <w:rFonts w:cs="Arial"/>
                <w:b/>
                <w:bCs/>
                <w:color w:val="000000"/>
                <w:szCs w:val="16"/>
              </w:rPr>
              <w:t xml:space="preserve">905 </w:t>
            </w:r>
          </w:p>
        </w:tc>
        <w:tc>
          <w:tcPr>
            <w:tcW w:w="965" w:type="dxa"/>
            <w:vAlign w:val="center"/>
          </w:tcPr>
          <w:p w14:paraId="7239C195" w14:textId="77777777" w:rsidR="00271E37" w:rsidRPr="00542354" w:rsidRDefault="00271E37">
            <w:pPr>
              <w:rPr>
                <w:b/>
                <w:bCs/>
              </w:rPr>
            </w:pPr>
            <w:r w:rsidRPr="00542354">
              <w:rPr>
                <w:rFonts w:cs="Arial"/>
                <w:b/>
                <w:bCs/>
                <w:color w:val="000000"/>
                <w:szCs w:val="16"/>
              </w:rPr>
              <w:t xml:space="preserve">1 </w:t>
            </w:r>
          </w:p>
        </w:tc>
        <w:tc>
          <w:tcPr>
            <w:tcW w:w="965" w:type="dxa"/>
            <w:vAlign w:val="center"/>
          </w:tcPr>
          <w:p w14:paraId="2CC470F5"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072E3C5A" w14:textId="77777777" w:rsidR="00271E37" w:rsidRPr="00542354" w:rsidRDefault="00271E37">
            <w:pPr>
              <w:rPr>
                <w:b/>
                <w:bCs/>
              </w:rPr>
            </w:pPr>
            <w:r w:rsidRPr="00542354">
              <w:rPr>
                <w:rFonts w:cs="Arial"/>
                <w:b/>
                <w:bCs/>
                <w:color w:val="000000"/>
                <w:szCs w:val="16"/>
              </w:rPr>
              <w:t xml:space="preserve"> - </w:t>
            </w:r>
          </w:p>
        </w:tc>
        <w:tc>
          <w:tcPr>
            <w:tcW w:w="965" w:type="dxa"/>
            <w:vAlign w:val="center"/>
          </w:tcPr>
          <w:p w14:paraId="13CDF7E7" w14:textId="77777777" w:rsidR="00271E37" w:rsidRPr="00542354" w:rsidRDefault="00271E37">
            <w:pPr>
              <w:rPr>
                <w:b/>
                <w:bCs/>
              </w:rPr>
            </w:pPr>
            <w:r w:rsidRPr="00542354">
              <w:rPr>
                <w:rFonts w:cs="Arial"/>
                <w:b/>
                <w:bCs/>
                <w:color w:val="000000"/>
                <w:szCs w:val="16"/>
              </w:rPr>
              <w:t xml:space="preserve">906 </w:t>
            </w:r>
          </w:p>
        </w:tc>
      </w:tr>
      <w:tr w:rsidR="00271E37" w:rsidRPr="006B42E0" w14:paraId="5FF2C927" w14:textId="77777777">
        <w:tc>
          <w:tcPr>
            <w:tcW w:w="3849" w:type="dxa"/>
          </w:tcPr>
          <w:p w14:paraId="68E273A7" w14:textId="77777777" w:rsidR="00271E37" w:rsidRPr="00917260" w:rsidRDefault="00271E37">
            <w:pPr>
              <w:jc w:val="left"/>
            </w:pPr>
            <w:r w:rsidRPr="006448A5">
              <w:t>Derecognition on disposal of division</w:t>
            </w:r>
          </w:p>
        </w:tc>
        <w:tc>
          <w:tcPr>
            <w:tcW w:w="965" w:type="dxa"/>
            <w:vAlign w:val="center"/>
          </w:tcPr>
          <w:p w14:paraId="527BACE7" w14:textId="77777777" w:rsidR="00271E37" w:rsidRPr="00542354" w:rsidRDefault="00271E37">
            <w:pPr>
              <w:rPr>
                <w:b/>
                <w:bCs/>
              </w:rPr>
            </w:pPr>
            <w:r w:rsidRPr="00542354">
              <w:rPr>
                <w:rFonts w:cs="Arial"/>
                <w:b/>
                <w:bCs/>
                <w:color w:val="000000"/>
                <w:szCs w:val="16"/>
              </w:rPr>
              <w:t xml:space="preserve">43,464 </w:t>
            </w:r>
          </w:p>
        </w:tc>
        <w:tc>
          <w:tcPr>
            <w:tcW w:w="965" w:type="dxa"/>
            <w:vAlign w:val="center"/>
          </w:tcPr>
          <w:p w14:paraId="6DA4EE96" w14:textId="77777777" w:rsidR="00271E37" w:rsidRPr="00542354" w:rsidRDefault="00271E37">
            <w:pPr>
              <w:rPr>
                <w:b/>
                <w:bCs/>
              </w:rPr>
            </w:pPr>
            <w:r w:rsidRPr="00542354">
              <w:rPr>
                <w:rFonts w:cs="Arial"/>
                <w:b/>
                <w:bCs/>
                <w:color w:val="000000"/>
                <w:szCs w:val="16"/>
              </w:rPr>
              <w:t xml:space="preserve">7,336 </w:t>
            </w:r>
          </w:p>
        </w:tc>
        <w:tc>
          <w:tcPr>
            <w:tcW w:w="965" w:type="dxa"/>
            <w:vAlign w:val="center"/>
          </w:tcPr>
          <w:p w14:paraId="6B61D412" w14:textId="77777777" w:rsidR="00271E37" w:rsidRPr="00542354" w:rsidRDefault="00271E37">
            <w:pPr>
              <w:rPr>
                <w:b/>
                <w:bCs/>
              </w:rPr>
            </w:pPr>
            <w:r w:rsidRPr="00542354">
              <w:rPr>
                <w:rFonts w:cs="Arial"/>
                <w:b/>
                <w:bCs/>
                <w:color w:val="000000"/>
                <w:szCs w:val="16"/>
              </w:rPr>
              <w:t xml:space="preserve">3,717 </w:t>
            </w:r>
          </w:p>
        </w:tc>
        <w:tc>
          <w:tcPr>
            <w:tcW w:w="965" w:type="dxa"/>
            <w:vAlign w:val="center"/>
          </w:tcPr>
          <w:p w14:paraId="23119FD1" w14:textId="77777777" w:rsidR="00271E37" w:rsidRPr="00542354" w:rsidRDefault="00271E37">
            <w:pPr>
              <w:rPr>
                <w:b/>
                <w:bCs/>
              </w:rPr>
            </w:pPr>
            <w:r w:rsidRPr="00542354">
              <w:rPr>
                <w:rFonts w:cs="Arial"/>
                <w:b/>
                <w:bCs/>
                <w:color w:val="000000"/>
                <w:szCs w:val="16"/>
              </w:rPr>
              <w:t xml:space="preserve">10,835 </w:t>
            </w:r>
          </w:p>
        </w:tc>
        <w:tc>
          <w:tcPr>
            <w:tcW w:w="965" w:type="dxa"/>
            <w:vAlign w:val="center"/>
          </w:tcPr>
          <w:p w14:paraId="762CD057" w14:textId="77777777" w:rsidR="00271E37" w:rsidRPr="00542354" w:rsidRDefault="00271E37">
            <w:pPr>
              <w:rPr>
                <w:b/>
                <w:bCs/>
              </w:rPr>
            </w:pPr>
            <w:r w:rsidRPr="00542354">
              <w:rPr>
                <w:rFonts w:cs="Arial"/>
                <w:b/>
                <w:bCs/>
                <w:color w:val="000000"/>
                <w:szCs w:val="16"/>
              </w:rPr>
              <w:t xml:space="preserve">143 </w:t>
            </w:r>
          </w:p>
        </w:tc>
        <w:tc>
          <w:tcPr>
            <w:tcW w:w="965" w:type="dxa"/>
            <w:vAlign w:val="center"/>
          </w:tcPr>
          <w:p w14:paraId="30419B62" w14:textId="77777777" w:rsidR="00271E37" w:rsidRPr="00542354" w:rsidRDefault="00271E37">
            <w:pPr>
              <w:rPr>
                <w:b/>
                <w:bCs/>
              </w:rPr>
            </w:pPr>
            <w:r w:rsidRPr="00542354">
              <w:rPr>
                <w:rFonts w:cs="Arial"/>
                <w:b/>
                <w:bCs/>
                <w:color w:val="000000"/>
                <w:szCs w:val="16"/>
              </w:rPr>
              <w:t xml:space="preserve">65,495 </w:t>
            </w:r>
          </w:p>
        </w:tc>
      </w:tr>
      <w:tr w:rsidR="00271E37" w:rsidRPr="006B42E0" w14:paraId="2C93F3DC" w14:textId="77777777">
        <w:tc>
          <w:tcPr>
            <w:tcW w:w="3849" w:type="dxa"/>
            <w:tcBorders>
              <w:bottom w:val="single" w:sz="4" w:space="0" w:color="000000" w:themeColor="text1"/>
            </w:tcBorders>
          </w:tcPr>
          <w:p w14:paraId="001BD31C" w14:textId="77777777" w:rsidR="00271E37" w:rsidRPr="00917260" w:rsidRDefault="00271E37">
            <w:pPr>
              <w:jc w:val="left"/>
            </w:pPr>
            <w:r w:rsidRPr="00917260">
              <w:t>Effect of movements in foreign exchange</w:t>
            </w:r>
          </w:p>
        </w:tc>
        <w:tc>
          <w:tcPr>
            <w:tcW w:w="965" w:type="dxa"/>
            <w:tcBorders>
              <w:bottom w:val="single" w:sz="4" w:space="0" w:color="000000" w:themeColor="text1"/>
            </w:tcBorders>
            <w:vAlign w:val="center"/>
          </w:tcPr>
          <w:p w14:paraId="467E88E7" w14:textId="77777777" w:rsidR="00271E37" w:rsidRPr="00542354" w:rsidRDefault="00271E37">
            <w:pPr>
              <w:rPr>
                <w:b/>
                <w:bCs/>
              </w:rPr>
            </w:pPr>
            <w:r w:rsidRPr="00542354">
              <w:rPr>
                <w:rFonts w:cs="Arial"/>
                <w:b/>
                <w:bCs/>
                <w:color w:val="000000"/>
                <w:szCs w:val="16"/>
              </w:rPr>
              <w:t xml:space="preserve">1,699 </w:t>
            </w:r>
          </w:p>
        </w:tc>
        <w:tc>
          <w:tcPr>
            <w:tcW w:w="965" w:type="dxa"/>
            <w:tcBorders>
              <w:bottom w:val="single" w:sz="4" w:space="0" w:color="000000" w:themeColor="text1"/>
            </w:tcBorders>
            <w:vAlign w:val="center"/>
          </w:tcPr>
          <w:p w14:paraId="7F56D471" w14:textId="77777777" w:rsidR="00271E37" w:rsidRPr="00542354" w:rsidRDefault="00271E37">
            <w:pPr>
              <w:rPr>
                <w:b/>
                <w:bCs/>
              </w:rPr>
            </w:pPr>
            <w:r w:rsidRPr="00542354">
              <w:rPr>
                <w:rFonts w:cs="Arial"/>
                <w:b/>
                <w:bCs/>
                <w:color w:val="000000"/>
                <w:szCs w:val="16"/>
              </w:rPr>
              <w:t xml:space="preserve">250 </w:t>
            </w:r>
          </w:p>
        </w:tc>
        <w:tc>
          <w:tcPr>
            <w:tcW w:w="965" w:type="dxa"/>
            <w:tcBorders>
              <w:bottom w:val="single" w:sz="4" w:space="0" w:color="000000" w:themeColor="text1"/>
            </w:tcBorders>
            <w:vAlign w:val="center"/>
          </w:tcPr>
          <w:p w14:paraId="4120E910" w14:textId="77777777" w:rsidR="00271E37" w:rsidRPr="00542354" w:rsidRDefault="00271E37">
            <w:pPr>
              <w:rPr>
                <w:b/>
                <w:bCs/>
              </w:rPr>
            </w:pPr>
            <w:r w:rsidRPr="00542354">
              <w:rPr>
                <w:rFonts w:cs="Arial"/>
                <w:b/>
                <w:bCs/>
                <w:color w:val="000000"/>
                <w:szCs w:val="16"/>
              </w:rPr>
              <w:t xml:space="preserve">149 </w:t>
            </w:r>
          </w:p>
        </w:tc>
        <w:tc>
          <w:tcPr>
            <w:tcW w:w="965" w:type="dxa"/>
            <w:tcBorders>
              <w:bottom w:val="single" w:sz="4" w:space="0" w:color="000000" w:themeColor="text1"/>
            </w:tcBorders>
            <w:vAlign w:val="center"/>
          </w:tcPr>
          <w:p w14:paraId="2699E7F3" w14:textId="77777777" w:rsidR="00271E37" w:rsidRPr="00542354" w:rsidRDefault="00271E37">
            <w:pPr>
              <w:rPr>
                <w:b/>
                <w:bCs/>
              </w:rPr>
            </w:pPr>
            <w:r w:rsidRPr="00542354">
              <w:rPr>
                <w:rFonts w:cs="Arial"/>
                <w:b/>
                <w:bCs/>
                <w:color w:val="000000"/>
                <w:szCs w:val="16"/>
              </w:rPr>
              <w:t xml:space="preserve">425 </w:t>
            </w:r>
          </w:p>
        </w:tc>
        <w:tc>
          <w:tcPr>
            <w:tcW w:w="965" w:type="dxa"/>
            <w:tcBorders>
              <w:bottom w:val="single" w:sz="4" w:space="0" w:color="000000" w:themeColor="text1"/>
            </w:tcBorders>
            <w:vAlign w:val="center"/>
          </w:tcPr>
          <w:p w14:paraId="796426A5" w14:textId="77777777" w:rsidR="00271E37" w:rsidRPr="00542354" w:rsidRDefault="00271E37">
            <w:pPr>
              <w:rPr>
                <w:b/>
                <w:bCs/>
              </w:rPr>
            </w:pPr>
            <w:r w:rsidRPr="00542354">
              <w:rPr>
                <w:rFonts w:cs="Arial"/>
                <w:b/>
                <w:bCs/>
                <w:szCs w:val="16"/>
              </w:rPr>
              <w:t xml:space="preserve">6 </w:t>
            </w:r>
          </w:p>
        </w:tc>
        <w:tc>
          <w:tcPr>
            <w:tcW w:w="965" w:type="dxa"/>
            <w:tcBorders>
              <w:bottom w:val="single" w:sz="4" w:space="0" w:color="000000" w:themeColor="text1"/>
            </w:tcBorders>
            <w:vAlign w:val="center"/>
          </w:tcPr>
          <w:p w14:paraId="122B9230" w14:textId="77777777" w:rsidR="00271E37" w:rsidRPr="00542354" w:rsidRDefault="00271E37">
            <w:pPr>
              <w:rPr>
                <w:b/>
                <w:bCs/>
              </w:rPr>
            </w:pPr>
            <w:r w:rsidRPr="00542354">
              <w:rPr>
                <w:rFonts w:cs="Arial"/>
                <w:b/>
                <w:bCs/>
                <w:szCs w:val="16"/>
              </w:rPr>
              <w:t xml:space="preserve">2,529 </w:t>
            </w:r>
          </w:p>
        </w:tc>
      </w:tr>
      <w:tr w:rsidR="00271E37" w:rsidRPr="006B42E0" w14:paraId="79692C8A" w14:textId="77777777">
        <w:tc>
          <w:tcPr>
            <w:tcW w:w="3849" w:type="dxa"/>
            <w:tcBorders>
              <w:top w:val="single" w:sz="4" w:space="0" w:color="000000" w:themeColor="text1"/>
              <w:bottom w:val="single" w:sz="4" w:space="0" w:color="000000" w:themeColor="text1"/>
            </w:tcBorders>
          </w:tcPr>
          <w:p w14:paraId="42FF1025" w14:textId="77777777" w:rsidR="00271E37" w:rsidRPr="00917260" w:rsidRDefault="00271E37">
            <w:pPr>
              <w:jc w:val="left"/>
              <w:rPr>
                <w:b/>
                <w:bCs/>
              </w:rPr>
            </w:pPr>
            <w:r w:rsidRPr="00917260">
              <w:rPr>
                <w:b/>
                <w:bCs/>
              </w:rPr>
              <w:t>Balance at 31 March 202</w:t>
            </w:r>
            <w:r>
              <w:rPr>
                <w:b/>
                <w:bCs/>
              </w:rPr>
              <w:t>6</w:t>
            </w:r>
          </w:p>
        </w:tc>
        <w:tc>
          <w:tcPr>
            <w:tcW w:w="965" w:type="dxa"/>
            <w:tcBorders>
              <w:top w:val="single" w:sz="4" w:space="0" w:color="000000" w:themeColor="text1"/>
              <w:bottom w:val="single" w:sz="4" w:space="0" w:color="000000" w:themeColor="text1"/>
            </w:tcBorders>
            <w:vAlign w:val="center"/>
          </w:tcPr>
          <w:p w14:paraId="4E1B3162" w14:textId="77777777" w:rsidR="00271E37" w:rsidRPr="00542354" w:rsidRDefault="00271E37">
            <w:pPr>
              <w:rPr>
                <w:b/>
                <w:bCs/>
              </w:rPr>
            </w:pPr>
            <w:r w:rsidRPr="00542354">
              <w:rPr>
                <w:rFonts w:cs="Arial"/>
                <w:b/>
                <w:bCs/>
                <w:color w:val="000000"/>
                <w:szCs w:val="16"/>
              </w:rPr>
              <w:t>(26,120)</w:t>
            </w:r>
          </w:p>
        </w:tc>
        <w:tc>
          <w:tcPr>
            <w:tcW w:w="965" w:type="dxa"/>
            <w:tcBorders>
              <w:top w:val="single" w:sz="4" w:space="0" w:color="000000" w:themeColor="text1"/>
              <w:bottom w:val="single" w:sz="4" w:space="0" w:color="000000" w:themeColor="text1"/>
            </w:tcBorders>
            <w:vAlign w:val="center"/>
          </w:tcPr>
          <w:p w14:paraId="0442638F" w14:textId="77777777" w:rsidR="00271E37" w:rsidRPr="00542354" w:rsidRDefault="00271E37">
            <w:pPr>
              <w:rPr>
                <w:b/>
                <w:bCs/>
              </w:rPr>
            </w:pPr>
            <w:r w:rsidRPr="00542354">
              <w:rPr>
                <w:rFonts w:cs="Arial"/>
                <w:b/>
                <w:bCs/>
                <w:color w:val="000000"/>
                <w:szCs w:val="16"/>
              </w:rPr>
              <w:t>(749)</w:t>
            </w:r>
          </w:p>
        </w:tc>
        <w:tc>
          <w:tcPr>
            <w:tcW w:w="965" w:type="dxa"/>
            <w:tcBorders>
              <w:top w:val="single" w:sz="4" w:space="0" w:color="000000" w:themeColor="text1"/>
              <w:bottom w:val="single" w:sz="4" w:space="0" w:color="000000" w:themeColor="text1"/>
            </w:tcBorders>
            <w:vAlign w:val="center"/>
          </w:tcPr>
          <w:p w14:paraId="01F20818" w14:textId="77777777" w:rsidR="00271E37" w:rsidRPr="00542354" w:rsidRDefault="00271E37">
            <w:pPr>
              <w:rPr>
                <w:b/>
                <w:bCs/>
              </w:rPr>
            </w:pPr>
            <w:r w:rsidRPr="00542354">
              <w:rPr>
                <w:rFonts w:cs="Arial"/>
                <w:b/>
                <w:bCs/>
                <w:color w:val="000000"/>
                <w:szCs w:val="16"/>
              </w:rPr>
              <w:t>(23)</w:t>
            </w:r>
          </w:p>
        </w:tc>
        <w:tc>
          <w:tcPr>
            <w:tcW w:w="965" w:type="dxa"/>
            <w:tcBorders>
              <w:top w:val="single" w:sz="4" w:space="0" w:color="000000" w:themeColor="text1"/>
              <w:bottom w:val="single" w:sz="4" w:space="0" w:color="000000" w:themeColor="text1"/>
            </w:tcBorders>
            <w:vAlign w:val="center"/>
          </w:tcPr>
          <w:p w14:paraId="3D2D3B77" w14:textId="77777777" w:rsidR="00271E37" w:rsidRPr="00542354" w:rsidRDefault="00271E37">
            <w:pPr>
              <w:rPr>
                <w:b/>
                <w:bCs/>
              </w:rPr>
            </w:pPr>
            <w:r w:rsidRPr="00542354">
              <w:rPr>
                <w:rFonts w:cs="Arial"/>
                <w:b/>
                <w:bCs/>
                <w:color w:val="000000"/>
                <w:szCs w:val="16"/>
              </w:rPr>
              <w:t>(11)</w:t>
            </w:r>
          </w:p>
        </w:tc>
        <w:tc>
          <w:tcPr>
            <w:tcW w:w="965" w:type="dxa"/>
            <w:tcBorders>
              <w:top w:val="single" w:sz="4" w:space="0" w:color="000000" w:themeColor="text1"/>
              <w:bottom w:val="single" w:sz="4" w:space="0" w:color="000000" w:themeColor="text1"/>
            </w:tcBorders>
            <w:vAlign w:val="center"/>
          </w:tcPr>
          <w:p w14:paraId="0B4F074C" w14:textId="77777777" w:rsidR="00271E37" w:rsidRPr="00542354" w:rsidRDefault="00271E37">
            <w:pPr>
              <w:rPr>
                <w:b/>
                <w:bCs/>
              </w:rPr>
            </w:pPr>
            <w:r w:rsidRPr="00542354">
              <w:rPr>
                <w:rFonts w:cs="Arial"/>
                <w:b/>
                <w:bCs/>
                <w:color w:val="000000"/>
                <w:szCs w:val="16"/>
              </w:rPr>
              <w:t>(91)</w:t>
            </w:r>
          </w:p>
        </w:tc>
        <w:tc>
          <w:tcPr>
            <w:tcW w:w="965" w:type="dxa"/>
            <w:tcBorders>
              <w:top w:val="single" w:sz="4" w:space="0" w:color="000000" w:themeColor="text1"/>
              <w:bottom w:val="single" w:sz="4" w:space="0" w:color="000000" w:themeColor="text1"/>
            </w:tcBorders>
            <w:vAlign w:val="center"/>
          </w:tcPr>
          <w:p w14:paraId="71D7A887" w14:textId="77777777" w:rsidR="00271E37" w:rsidRPr="00542354" w:rsidRDefault="00271E37">
            <w:pPr>
              <w:rPr>
                <w:b/>
                <w:bCs/>
              </w:rPr>
            </w:pPr>
            <w:r w:rsidRPr="00542354">
              <w:rPr>
                <w:rFonts w:cs="Arial"/>
                <w:b/>
                <w:bCs/>
                <w:color w:val="000000"/>
                <w:szCs w:val="16"/>
              </w:rPr>
              <w:t>(26,994)</w:t>
            </w:r>
          </w:p>
        </w:tc>
      </w:tr>
      <w:tr w:rsidR="00271E37" w:rsidRPr="006B42E0" w14:paraId="444F4AA9" w14:textId="77777777" w:rsidTr="25050B4A">
        <w:tc>
          <w:tcPr>
            <w:tcW w:w="3849" w:type="dxa"/>
            <w:tcBorders>
              <w:top w:val="single" w:sz="4" w:space="0" w:color="000000" w:themeColor="text1"/>
              <w:bottom w:val="single" w:sz="4" w:space="0" w:color="000000" w:themeColor="text1"/>
            </w:tcBorders>
          </w:tcPr>
          <w:p w14:paraId="52DEA0BE" w14:textId="77777777" w:rsidR="00271E37" w:rsidRPr="00917260" w:rsidRDefault="00271E37" w:rsidP="000923EA">
            <w:pPr>
              <w:jc w:val="left"/>
              <w:rPr>
                <w:b/>
                <w:bCs/>
              </w:rPr>
            </w:pPr>
            <w:r w:rsidRPr="00917260">
              <w:rPr>
                <w:b/>
                <w:bCs/>
              </w:rPr>
              <w:t>Net book value</w:t>
            </w:r>
          </w:p>
        </w:tc>
        <w:tc>
          <w:tcPr>
            <w:tcW w:w="965" w:type="dxa"/>
            <w:tcBorders>
              <w:top w:val="single" w:sz="4" w:space="0" w:color="000000" w:themeColor="text1"/>
              <w:bottom w:val="single" w:sz="4" w:space="0" w:color="000000" w:themeColor="text1"/>
            </w:tcBorders>
          </w:tcPr>
          <w:p w14:paraId="41C9878B" w14:textId="77777777" w:rsidR="00271E37" w:rsidRPr="00917260" w:rsidRDefault="00271E37" w:rsidP="000923EA">
            <w:pPr>
              <w:rPr>
                <w:b/>
                <w:bCs/>
              </w:rPr>
            </w:pPr>
          </w:p>
        </w:tc>
        <w:tc>
          <w:tcPr>
            <w:tcW w:w="965" w:type="dxa"/>
            <w:tcBorders>
              <w:top w:val="single" w:sz="4" w:space="0" w:color="000000" w:themeColor="text1"/>
              <w:bottom w:val="single" w:sz="4" w:space="0" w:color="000000" w:themeColor="text1"/>
            </w:tcBorders>
          </w:tcPr>
          <w:p w14:paraId="6B61B643" w14:textId="77777777" w:rsidR="00271E37" w:rsidRPr="00917260" w:rsidRDefault="00271E37" w:rsidP="000923EA">
            <w:pPr>
              <w:rPr>
                <w:b/>
                <w:bCs/>
              </w:rPr>
            </w:pPr>
          </w:p>
        </w:tc>
        <w:tc>
          <w:tcPr>
            <w:tcW w:w="965" w:type="dxa"/>
            <w:tcBorders>
              <w:top w:val="single" w:sz="4" w:space="0" w:color="000000" w:themeColor="text1"/>
              <w:bottom w:val="single" w:sz="4" w:space="0" w:color="000000" w:themeColor="text1"/>
            </w:tcBorders>
          </w:tcPr>
          <w:p w14:paraId="1E9A0F38" w14:textId="77777777" w:rsidR="00271E37" w:rsidRPr="00917260" w:rsidRDefault="00271E37" w:rsidP="000923EA">
            <w:pPr>
              <w:rPr>
                <w:b/>
                <w:bCs/>
              </w:rPr>
            </w:pPr>
          </w:p>
        </w:tc>
        <w:tc>
          <w:tcPr>
            <w:tcW w:w="965" w:type="dxa"/>
            <w:tcBorders>
              <w:top w:val="single" w:sz="4" w:space="0" w:color="000000" w:themeColor="text1"/>
              <w:bottom w:val="single" w:sz="4" w:space="0" w:color="000000" w:themeColor="text1"/>
            </w:tcBorders>
          </w:tcPr>
          <w:p w14:paraId="174699F5" w14:textId="77777777" w:rsidR="00271E37" w:rsidRPr="00917260" w:rsidRDefault="00271E37" w:rsidP="000923EA">
            <w:pPr>
              <w:rPr>
                <w:b/>
                <w:bCs/>
              </w:rPr>
            </w:pPr>
          </w:p>
        </w:tc>
        <w:tc>
          <w:tcPr>
            <w:tcW w:w="965" w:type="dxa"/>
            <w:tcBorders>
              <w:top w:val="single" w:sz="4" w:space="0" w:color="000000" w:themeColor="text1"/>
              <w:bottom w:val="single" w:sz="4" w:space="0" w:color="000000" w:themeColor="text1"/>
            </w:tcBorders>
          </w:tcPr>
          <w:p w14:paraId="0A8D11D7" w14:textId="77777777" w:rsidR="00271E37" w:rsidRPr="00917260" w:rsidRDefault="00271E37" w:rsidP="000923EA">
            <w:pPr>
              <w:rPr>
                <w:b/>
                <w:bCs/>
              </w:rPr>
            </w:pPr>
          </w:p>
        </w:tc>
        <w:tc>
          <w:tcPr>
            <w:tcW w:w="965" w:type="dxa"/>
            <w:tcBorders>
              <w:top w:val="single" w:sz="4" w:space="0" w:color="000000" w:themeColor="text1"/>
              <w:bottom w:val="single" w:sz="4" w:space="0" w:color="000000" w:themeColor="text1"/>
            </w:tcBorders>
          </w:tcPr>
          <w:p w14:paraId="60F223AB" w14:textId="77777777" w:rsidR="00271E37" w:rsidRPr="00917260" w:rsidRDefault="00271E37" w:rsidP="000923EA">
            <w:pPr>
              <w:rPr>
                <w:b/>
                <w:bCs/>
              </w:rPr>
            </w:pPr>
          </w:p>
        </w:tc>
      </w:tr>
      <w:tr w:rsidR="00271E37" w:rsidRPr="009B4373" w14:paraId="29260F4B" w14:textId="77777777">
        <w:tc>
          <w:tcPr>
            <w:tcW w:w="3849" w:type="dxa"/>
            <w:tcBorders>
              <w:top w:val="single" w:sz="4" w:space="0" w:color="000000" w:themeColor="text1"/>
              <w:bottom w:val="single" w:sz="4" w:space="0" w:color="000000" w:themeColor="text1"/>
            </w:tcBorders>
          </w:tcPr>
          <w:p w14:paraId="30F012AE" w14:textId="77777777" w:rsidR="00271E37" w:rsidRPr="009B4373" w:rsidRDefault="00271E37">
            <w:pPr>
              <w:jc w:val="left"/>
            </w:pPr>
            <w:r w:rsidRPr="009B4373">
              <w:t>At 31 March 2025</w:t>
            </w:r>
          </w:p>
        </w:tc>
        <w:tc>
          <w:tcPr>
            <w:tcW w:w="965" w:type="dxa"/>
            <w:tcBorders>
              <w:top w:val="single" w:sz="4" w:space="0" w:color="000000" w:themeColor="text1"/>
              <w:bottom w:val="single" w:sz="4" w:space="0" w:color="000000" w:themeColor="text1"/>
            </w:tcBorders>
            <w:vAlign w:val="center"/>
          </w:tcPr>
          <w:p w14:paraId="05097C86" w14:textId="77777777" w:rsidR="00271E37" w:rsidRPr="009B4373" w:rsidRDefault="00271E37">
            <w:r>
              <w:rPr>
                <w:rFonts w:cs="Arial"/>
                <w:color w:val="000000"/>
                <w:szCs w:val="16"/>
              </w:rPr>
              <w:t xml:space="preserve">9,704 </w:t>
            </w:r>
          </w:p>
        </w:tc>
        <w:tc>
          <w:tcPr>
            <w:tcW w:w="965" w:type="dxa"/>
            <w:tcBorders>
              <w:top w:val="single" w:sz="4" w:space="0" w:color="000000" w:themeColor="text1"/>
              <w:bottom w:val="single" w:sz="4" w:space="0" w:color="000000" w:themeColor="text1"/>
            </w:tcBorders>
            <w:vAlign w:val="center"/>
          </w:tcPr>
          <w:p w14:paraId="57FAD5F4" w14:textId="77777777" w:rsidR="00271E37" w:rsidRPr="009B4373" w:rsidRDefault="00271E37">
            <w:r>
              <w:rPr>
                <w:rFonts w:cs="Arial"/>
                <w:color w:val="000000"/>
                <w:szCs w:val="16"/>
              </w:rPr>
              <w:t xml:space="preserve">1,120 </w:t>
            </w:r>
          </w:p>
        </w:tc>
        <w:tc>
          <w:tcPr>
            <w:tcW w:w="965" w:type="dxa"/>
            <w:tcBorders>
              <w:top w:val="single" w:sz="4" w:space="0" w:color="000000" w:themeColor="text1"/>
              <w:bottom w:val="single" w:sz="4" w:space="0" w:color="000000" w:themeColor="text1"/>
            </w:tcBorders>
            <w:vAlign w:val="center"/>
          </w:tcPr>
          <w:p w14:paraId="4CEED119" w14:textId="77777777" w:rsidR="00271E37" w:rsidRPr="009B4373" w:rsidRDefault="00271E37">
            <w:r>
              <w:rPr>
                <w:rFonts w:cs="Arial"/>
                <w:color w:val="000000"/>
                <w:szCs w:val="16"/>
              </w:rPr>
              <w:t xml:space="preserve">23 </w:t>
            </w:r>
          </w:p>
        </w:tc>
        <w:tc>
          <w:tcPr>
            <w:tcW w:w="965" w:type="dxa"/>
            <w:tcBorders>
              <w:top w:val="single" w:sz="4" w:space="0" w:color="000000" w:themeColor="text1"/>
              <w:bottom w:val="single" w:sz="4" w:space="0" w:color="000000" w:themeColor="text1"/>
            </w:tcBorders>
            <w:vAlign w:val="center"/>
          </w:tcPr>
          <w:p w14:paraId="00D895A9" w14:textId="77777777" w:rsidR="00271E37" w:rsidRPr="009B4373" w:rsidRDefault="00271E37">
            <w:r>
              <w:rPr>
                <w:rFonts w:cs="Arial"/>
                <w:color w:val="000000"/>
                <w:szCs w:val="16"/>
              </w:rPr>
              <w:t xml:space="preserve">6,834 </w:t>
            </w:r>
          </w:p>
        </w:tc>
        <w:tc>
          <w:tcPr>
            <w:tcW w:w="965" w:type="dxa"/>
            <w:tcBorders>
              <w:top w:val="single" w:sz="4" w:space="0" w:color="000000" w:themeColor="text1"/>
              <w:bottom w:val="single" w:sz="4" w:space="0" w:color="000000" w:themeColor="text1"/>
            </w:tcBorders>
            <w:vAlign w:val="center"/>
          </w:tcPr>
          <w:p w14:paraId="0FF22540" w14:textId="77777777" w:rsidR="00271E37" w:rsidRPr="009B4373" w:rsidRDefault="00271E37">
            <w:r>
              <w:rPr>
                <w:rFonts w:cs="Arial"/>
                <w:color w:val="000000"/>
                <w:szCs w:val="16"/>
              </w:rPr>
              <w:t xml:space="preserve">17 </w:t>
            </w:r>
          </w:p>
        </w:tc>
        <w:tc>
          <w:tcPr>
            <w:tcW w:w="965" w:type="dxa"/>
            <w:tcBorders>
              <w:top w:val="single" w:sz="4" w:space="0" w:color="000000" w:themeColor="text1"/>
              <w:bottom w:val="single" w:sz="4" w:space="0" w:color="000000" w:themeColor="text1"/>
            </w:tcBorders>
            <w:vAlign w:val="center"/>
          </w:tcPr>
          <w:p w14:paraId="578BCC36" w14:textId="77777777" w:rsidR="00271E37" w:rsidRPr="009B4373" w:rsidRDefault="00271E37">
            <w:r>
              <w:rPr>
                <w:rFonts w:cs="Arial"/>
                <w:color w:val="000000"/>
                <w:szCs w:val="16"/>
              </w:rPr>
              <w:t xml:space="preserve">17,698 </w:t>
            </w:r>
          </w:p>
        </w:tc>
      </w:tr>
      <w:tr w:rsidR="00271E37" w:rsidRPr="009B4373" w14:paraId="325D1ABE" w14:textId="77777777">
        <w:tc>
          <w:tcPr>
            <w:tcW w:w="3849" w:type="dxa"/>
            <w:tcBorders>
              <w:top w:val="single" w:sz="4" w:space="0" w:color="000000" w:themeColor="text1"/>
            </w:tcBorders>
          </w:tcPr>
          <w:p w14:paraId="34257FF9" w14:textId="77777777" w:rsidR="00271E37" w:rsidRPr="009B4373" w:rsidRDefault="00271E37">
            <w:pPr>
              <w:jc w:val="left"/>
              <w:rPr>
                <w:b/>
                <w:bCs/>
              </w:rPr>
            </w:pPr>
            <w:r w:rsidRPr="009B4373">
              <w:rPr>
                <w:b/>
                <w:bCs/>
              </w:rPr>
              <w:t>At 31 March 2026</w:t>
            </w:r>
          </w:p>
        </w:tc>
        <w:tc>
          <w:tcPr>
            <w:tcW w:w="965" w:type="dxa"/>
            <w:tcBorders>
              <w:top w:val="single" w:sz="4" w:space="0" w:color="000000" w:themeColor="text1"/>
            </w:tcBorders>
            <w:vAlign w:val="center"/>
          </w:tcPr>
          <w:p w14:paraId="1DAB3120" w14:textId="77777777" w:rsidR="00271E37" w:rsidRPr="009B4373" w:rsidRDefault="00271E37">
            <w:pPr>
              <w:rPr>
                <w:b/>
                <w:bCs/>
              </w:rPr>
            </w:pPr>
            <w:r>
              <w:rPr>
                <w:rFonts w:cs="Arial"/>
                <w:b/>
                <w:bCs/>
                <w:color w:val="000000"/>
                <w:szCs w:val="16"/>
              </w:rPr>
              <w:t xml:space="preserve">10,088 </w:t>
            </w:r>
          </w:p>
        </w:tc>
        <w:tc>
          <w:tcPr>
            <w:tcW w:w="965" w:type="dxa"/>
            <w:tcBorders>
              <w:top w:val="single" w:sz="4" w:space="0" w:color="000000" w:themeColor="text1"/>
            </w:tcBorders>
            <w:vAlign w:val="center"/>
          </w:tcPr>
          <w:p w14:paraId="4B885EE8" w14:textId="77777777" w:rsidR="00271E37" w:rsidRPr="009B4373" w:rsidRDefault="00271E37">
            <w:pPr>
              <w:rPr>
                <w:b/>
                <w:bCs/>
              </w:rPr>
            </w:pPr>
            <w:r>
              <w:rPr>
                <w:rFonts w:cs="Arial"/>
                <w:b/>
                <w:bCs/>
                <w:color w:val="000000"/>
                <w:szCs w:val="16"/>
              </w:rPr>
              <w:t xml:space="preserve">916 </w:t>
            </w:r>
          </w:p>
        </w:tc>
        <w:tc>
          <w:tcPr>
            <w:tcW w:w="965" w:type="dxa"/>
            <w:tcBorders>
              <w:top w:val="single" w:sz="4" w:space="0" w:color="000000" w:themeColor="text1"/>
            </w:tcBorders>
            <w:vAlign w:val="center"/>
          </w:tcPr>
          <w:p w14:paraId="49ADD2A8" w14:textId="77777777" w:rsidR="00271E37" w:rsidRPr="009B4373" w:rsidRDefault="00271E37">
            <w:pPr>
              <w:rPr>
                <w:b/>
                <w:bCs/>
              </w:rPr>
            </w:pPr>
            <w:r>
              <w:rPr>
                <w:rFonts w:cs="Arial"/>
                <w:b/>
                <w:bCs/>
                <w:color w:val="000000"/>
                <w:szCs w:val="16"/>
              </w:rPr>
              <w:t xml:space="preserve">14 </w:t>
            </w:r>
          </w:p>
        </w:tc>
        <w:tc>
          <w:tcPr>
            <w:tcW w:w="965" w:type="dxa"/>
            <w:tcBorders>
              <w:top w:val="single" w:sz="4" w:space="0" w:color="000000" w:themeColor="text1"/>
            </w:tcBorders>
            <w:vAlign w:val="center"/>
          </w:tcPr>
          <w:p w14:paraId="2C7751D9" w14:textId="77777777" w:rsidR="00271E37" w:rsidRPr="009B4373" w:rsidRDefault="00271E37">
            <w:pPr>
              <w:rPr>
                <w:b/>
                <w:bCs/>
              </w:rPr>
            </w:pPr>
            <w:r>
              <w:rPr>
                <w:rFonts w:cs="Arial"/>
                <w:b/>
                <w:bCs/>
                <w:color w:val="000000"/>
                <w:szCs w:val="16"/>
              </w:rPr>
              <w:t xml:space="preserve">8 </w:t>
            </w:r>
          </w:p>
        </w:tc>
        <w:tc>
          <w:tcPr>
            <w:tcW w:w="965" w:type="dxa"/>
            <w:tcBorders>
              <w:top w:val="single" w:sz="4" w:space="0" w:color="000000" w:themeColor="text1"/>
            </w:tcBorders>
            <w:vAlign w:val="center"/>
          </w:tcPr>
          <w:p w14:paraId="788BAB00" w14:textId="77777777" w:rsidR="00271E37" w:rsidRPr="009B4373" w:rsidRDefault="00271E37">
            <w:pPr>
              <w:rPr>
                <w:b/>
                <w:bCs/>
              </w:rPr>
            </w:pPr>
            <w:r>
              <w:rPr>
                <w:rFonts w:cs="Arial"/>
                <w:b/>
                <w:bCs/>
                <w:color w:val="000000"/>
                <w:szCs w:val="16"/>
              </w:rPr>
              <w:t xml:space="preserve">21 </w:t>
            </w:r>
          </w:p>
        </w:tc>
        <w:tc>
          <w:tcPr>
            <w:tcW w:w="965" w:type="dxa"/>
            <w:tcBorders>
              <w:top w:val="single" w:sz="4" w:space="0" w:color="000000" w:themeColor="text1"/>
            </w:tcBorders>
            <w:vAlign w:val="center"/>
          </w:tcPr>
          <w:p w14:paraId="212C0F8B" w14:textId="77777777" w:rsidR="00271E37" w:rsidRPr="009B4373" w:rsidRDefault="00271E37">
            <w:pPr>
              <w:rPr>
                <w:b/>
                <w:bCs/>
              </w:rPr>
            </w:pPr>
            <w:r>
              <w:rPr>
                <w:rFonts w:cs="Arial"/>
                <w:b/>
                <w:bCs/>
                <w:color w:val="000000"/>
                <w:szCs w:val="16"/>
              </w:rPr>
              <w:t xml:space="preserve">11,047 </w:t>
            </w:r>
          </w:p>
        </w:tc>
      </w:tr>
      <w:bookmarkEnd w:id="48"/>
    </w:tbl>
    <w:p w14:paraId="38D7BD4C" w14:textId="77777777" w:rsidR="00271E37" w:rsidRDefault="00271E37" w:rsidP="002E39D4"/>
    <w:p w14:paraId="4785D105" w14:textId="77777777" w:rsidR="00271E37" w:rsidRDefault="00271E37" w:rsidP="002E39D4">
      <w:r>
        <w:t xml:space="preserve">Computer software relates to purchased software and people costs associated with the implementation of software. </w:t>
      </w:r>
    </w:p>
    <w:p w14:paraId="73B0806F" w14:textId="77777777" w:rsidR="00271E37" w:rsidRDefault="00271E37" w:rsidP="002E39D4"/>
    <w:p w14:paraId="553C1770" w14:textId="77777777" w:rsidR="00271E37" w:rsidRDefault="00271E37" w:rsidP="002E39D4">
      <w:r>
        <w:t>The aggregate carrying amounts of goodwill allocated to each CGU are as follows:</w:t>
      </w:r>
    </w:p>
    <w:tbl>
      <w:tblPr>
        <w:tblStyle w:val="tableDUL"/>
        <w:tblW w:w="9639" w:type="dxa"/>
        <w:tblLayout w:type="fixed"/>
        <w:tblLook w:val="04A0" w:firstRow="1" w:lastRow="0" w:firstColumn="1" w:lastColumn="0" w:noHBand="0" w:noVBand="1"/>
      </w:tblPr>
      <w:tblGrid>
        <w:gridCol w:w="7371"/>
        <w:gridCol w:w="1134"/>
        <w:gridCol w:w="1134"/>
      </w:tblGrid>
      <w:tr w:rsidR="00271E37" w:rsidRPr="00427E01" w14:paraId="53065D3F" w14:textId="77777777">
        <w:tc>
          <w:tcPr>
            <w:tcW w:w="7371" w:type="dxa"/>
            <w:tcBorders>
              <w:bottom w:val="nil"/>
            </w:tcBorders>
          </w:tcPr>
          <w:p w14:paraId="7D5BF9ED" w14:textId="77777777" w:rsidR="00271E37" w:rsidRPr="00427E01" w:rsidRDefault="00271E37" w:rsidP="00427E01"/>
        </w:tc>
        <w:tc>
          <w:tcPr>
            <w:tcW w:w="1134" w:type="dxa"/>
            <w:tcBorders>
              <w:bottom w:val="nil"/>
            </w:tcBorders>
          </w:tcPr>
          <w:p w14:paraId="4C8FFBEC" w14:textId="77777777" w:rsidR="00271E37" w:rsidRPr="00427E01" w:rsidRDefault="00271E37" w:rsidP="00427E01">
            <w:pPr>
              <w:rPr>
                <w:b/>
                <w:bCs/>
              </w:rPr>
            </w:pPr>
            <w:r>
              <w:rPr>
                <w:b/>
                <w:bCs/>
              </w:rPr>
              <w:t>2026</w:t>
            </w:r>
          </w:p>
        </w:tc>
        <w:tc>
          <w:tcPr>
            <w:tcW w:w="1134" w:type="dxa"/>
            <w:tcBorders>
              <w:bottom w:val="nil"/>
            </w:tcBorders>
          </w:tcPr>
          <w:p w14:paraId="4AC06C45" w14:textId="77777777" w:rsidR="00271E37" w:rsidRDefault="00271E37" w:rsidP="000923EA">
            <w:r>
              <w:t>2025</w:t>
            </w:r>
          </w:p>
        </w:tc>
      </w:tr>
      <w:tr w:rsidR="00271E37" w:rsidRPr="00427E01" w14:paraId="6614BBFB" w14:textId="77777777" w:rsidTr="00427E01">
        <w:tc>
          <w:tcPr>
            <w:tcW w:w="7371" w:type="dxa"/>
            <w:tcBorders>
              <w:bottom w:val="single" w:sz="4" w:space="0" w:color="000000"/>
            </w:tcBorders>
          </w:tcPr>
          <w:p w14:paraId="36340CFC" w14:textId="77777777" w:rsidR="00271E37" w:rsidRPr="00427E01" w:rsidRDefault="00271E37" w:rsidP="00427E01"/>
        </w:tc>
        <w:tc>
          <w:tcPr>
            <w:tcW w:w="1134" w:type="dxa"/>
            <w:tcBorders>
              <w:bottom w:val="single" w:sz="4" w:space="0" w:color="000000"/>
            </w:tcBorders>
          </w:tcPr>
          <w:p w14:paraId="05E2E3E3" w14:textId="77777777" w:rsidR="00271E37" w:rsidRPr="00427E01" w:rsidRDefault="00271E37" w:rsidP="00427E01">
            <w:pPr>
              <w:rPr>
                <w:b/>
                <w:bCs/>
              </w:rPr>
            </w:pPr>
            <w:r>
              <w:rPr>
                <w:b/>
                <w:bCs/>
              </w:rPr>
              <w:t>£000</w:t>
            </w:r>
          </w:p>
        </w:tc>
        <w:tc>
          <w:tcPr>
            <w:tcW w:w="1134" w:type="dxa"/>
            <w:tcBorders>
              <w:bottom w:val="single" w:sz="4" w:space="0" w:color="000000"/>
            </w:tcBorders>
          </w:tcPr>
          <w:p w14:paraId="6C4D21C0" w14:textId="77777777" w:rsidR="00271E37" w:rsidRDefault="00271E37" w:rsidP="000923EA">
            <w:r>
              <w:t>£000</w:t>
            </w:r>
          </w:p>
        </w:tc>
      </w:tr>
      <w:tr w:rsidR="00271E37" w:rsidRPr="00427E01" w14:paraId="28620711" w14:textId="77777777">
        <w:tc>
          <w:tcPr>
            <w:tcW w:w="7371" w:type="dxa"/>
            <w:tcBorders>
              <w:top w:val="single" w:sz="4" w:space="0" w:color="000000"/>
            </w:tcBorders>
          </w:tcPr>
          <w:p w14:paraId="447C887D" w14:textId="77777777" w:rsidR="00271E37" w:rsidRPr="00427E01" w:rsidRDefault="00271E37">
            <w:pPr>
              <w:jc w:val="left"/>
            </w:pPr>
            <w:r w:rsidRPr="00427E01">
              <w:lastRenderedPageBreak/>
              <w:t>UK and Asia</w:t>
            </w:r>
          </w:p>
        </w:tc>
        <w:tc>
          <w:tcPr>
            <w:tcW w:w="1134" w:type="dxa"/>
            <w:tcBorders>
              <w:top w:val="single" w:sz="4" w:space="0" w:color="000000"/>
            </w:tcBorders>
            <w:vAlign w:val="center"/>
          </w:tcPr>
          <w:p w14:paraId="788D0A5C" w14:textId="77777777" w:rsidR="00271E37" w:rsidRPr="00AD3DED" w:rsidRDefault="00271E37">
            <w:pPr>
              <w:rPr>
                <w:b/>
                <w:bCs/>
              </w:rPr>
            </w:pPr>
            <w:r w:rsidRPr="00B931EC">
              <w:rPr>
                <w:rFonts w:cs="Arial"/>
                <w:b/>
                <w:color w:val="000000"/>
                <w:szCs w:val="16"/>
              </w:rPr>
              <w:t xml:space="preserve">2,073 </w:t>
            </w:r>
          </w:p>
        </w:tc>
        <w:tc>
          <w:tcPr>
            <w:tcW w:w="1134" w:type="dxa"/>
            <w:tcBorders>
              <w:top w:val="single" w:sz="4" w:space="0" w:color="000000"/>
            </w:tcBorders>
            <w:vAlign w:val="center"/>
          </w:tcPr>
          <w:p w14:paraId="55D35B4A" w14:textId="77777777" w:rsidR="00271E37" w:rsidRPr="006B42E0" w:rsidRDefault="00271E37">
            <w:r>
              <w:rPr>
                <w:rFonts w:cs="Arial"/>
                <w:color w:val="000000"/>
                <w:szCs w:val="16"/>
              </w:rPr>
              <w:t xml:space="preserve">2,073 </w:t>
            </w:r>
          </w:p>
        </w:tc>
      </w:tr>
      <w:tr w:rsidR="00271E37" w:rsidRPr="00427E01" w14:paraId="3B6BF5E5" w14:textId="77777777">
        <w:tc>
          <w:tcPr>
            <w:tcW w:w="7371" w:type="dxa"/>
          </w:tcPr>
          <w:p w14:paraId="53B5E134" w14:textId="77777777" w:rsidR="00271E37" w:rsidRPr="00427E01" w:rsidRDefault="00271E37">
            <w:pPr>
              <w:jc w:val="left"/>
            </w:pPr>
            <w:r w:rsidRPr="00427E01">
              <w:t xml:space="preserve">Europe </w:t>
            </w:r>
          </w:p>
        </w:tc>
        <w:tc>
          <w:tcPr>
            <w:tcW w:w="1134" w:type="dxa"/>
            <w:vAlign w:val="center"/>
          </w:tcPr>
          <w:p w14:paraId="038D736B" w14:textId="77777777" w:rsidR="00271E37" w:rsidRPr="00AD3DED" w:rsidRDefault="00271E37">
            <w:pPr>
              <w:rPr>
                <w:b/>
                <w:bCs/>
              </w:rPr>
            </w:pPr>
            <w:r w:rsidRPr="00B931EC">
              <w:rPr>
                <w:rFonts w:cs="Arial"/>
                <w:b/>
                <w:color w:val="000000"/>
                <w:szCs w:val="16"/>
              </w:rPr>
              <w:t xml:space="preserve">5,257 </w:t>
            </w:r>
          </w:p>
        </w:tc>
        <w:tc>
          <w:tcPr>
            <w:tcW w:w="1134" w:type="dxa"/>
            <w:vAlign w:val="center"/>
          </w:tcPr>
          <w:p w14:paraId="64917615" w14:textId="77777777" w:rsidR="00271E37" w:rsidRPr="006B42E0" w:rsidRDefault="00271E37">
            <w:r>
              <w:rPr>
                <w:rFonts w:cs="Arial"/>
                <w:color w:val="000000"/>
                <w:szCs w:val="16"/>
              </w:rPr>
              <w:t xml:space="preserve">5,065 </w:t>
            </w:r>
          </w:p>
        </w:tc>
      </w:tr>
      <w:tr w:rsidR="00271E37" w:rsidRPr="00427E01" w14:paraId="2551A7F6" w14:textId="77777777">
        <w:tc>
          <w:tcPr>
            <w:tcW w:w="7371" w:type="dxa"/>
            <w:tcBorders>
              <w:bottom w:val="single" w:sz="4" w:space="0" w:color="000000"/>
            </w:tcBorders>
          </w:tcPr>
          <w:p w14:paraId="37C52C1B" w14:textId="77777777" w:rsidR="00271E37" w:rsidRPr="00427E01" w:rsidRDefault="00271E37">
            <w:pPr>
              <w:jc w:val="left"/>
            </w:pPr>
            <w:r w:rsidRPr="00427E01">
              <w:t>Australia</w:t>
            </w:r>
          </w:p>
        </w:tc>
        <w:tc>
          <w:tcPr>
            <w:tcW w:w="1134" w:type="dxa"/>
            <w:tcBorders>
              <w:bottom w:val="single" w:sz="4" w:space="0" w:color="000000"/>
            </w:tcBorders>
            <w:vAlign w:val="center"/>
          </w:tcPr>
          <w:p w14:paraId="2239E073" w14:textId="77777777" w:rsidR="00271E37" w:rsidRPr="00AD3DED" w:rsidRDefault="00271E37">
            <w:pPr>
              <w:rPr>
                <w:b/>
                <w:bCs/>
              </w:rPr>
            </w:pPr>
            <w:r w:rsidRPr="00B931EC">
              <w:rPr>
                <w:rFonts w:cs="Arial"/>
                <w:b/>
                <w:color w:val="000000"/>
                <w:szCs w:val="16"/>
              </w:rPr>
              <w:t xml:space="preserve">2,758 </w:t>
            </w:r>
          </w:p>
        </w:tc>
        <w:tc>
          <w:tcPr>
            <w:tcW w:w="1134" w:type="dxa"/>
            <w:tcBorders>
              <w:bottom w:val="single" w:sz="4" w:space="0" w:color="000000"/>
            </w:tcBorders>
            <w:vAlign w:val="center"/>
          </w:tcPr>
          <w:p w14:paraId="2164710C" w14:textId="77777777" w:rsidR="00271E37" w:rsidRPr="006B42E0" w:rsidRDefault="00271E37">
            <w:r>
              <w:rPr>
                <w:rFonts w:cs="Arial"/>
                <w:color w:val="000000"/>
                <w:szCs w:val="16"/>
              </w:rPr>
              <w:t xml:space="preserve">2,566 </w:t>
            </w:r>
          </w:p>
        </w:tc>
      </w:tr>
      <w:tr w:rsidR="00271E37" w:rsidRPr="00BC55EA" w14:paraId="5CC2EEFC" w14:textId="77777777">
        <w:tc>
          <w:tcPr>
            <w:tcW w:w="7371" w:type="dxa"/>
            <w:tcBorders>
              <w:top w:val="single" w:sz="4" w:space="0" w:color="000000"/>
            </w:tcBorders>
          </w:tcPr>
          <w:p w14:paraId="48A55099" w14:textId="77777777" w:rsidR="00271E37" w:rsidRPr="00427E01" w:rsidRDefault="00271E37">
            <w:pPr>
              <w:jc w:val="left"/>
            </w:pPr>
          </w:p>
        </w:tc>
        <w:tc>
          <w:tcPr>
            <w:tcW w:w="1134" w:type="dxa"/>
            <w:tcBorders>
              <w:top w:val="single" w:sz="4" w:space="0" w:color="000000"/>
            </w:tcBorders>
            <w:vAlign w:val="center"/>
          </w:tcPr>
          <w:p w14:paraId="0911DB52" w14:textId="77777777" w:rsidR="00271E37" w:rsidRPr="006B42E0" w:rsidRDefault="00271E37">
            <w:pPr>
              <w:rPr>
                <w:b/>
                <w:bCs/>
              </w:rPr>
            </w:pPr>
            <w:r>
              <w:rPr>
                <w:rFonts w:cs="Arial"/>
                <w:b/>
                <w:bCs/>
                <w:color w:val="000000"/>
                <w:szCs w:val="16"/>
              </w:rPr>
              <w:t xml:space="preserve">10,088 </w:t>
            </w:r>
          </w:p>
        </w:tc>
        <w:tc>
          <w:tcPr>
            <w:tcW w:w="1134" w:type="dxa"/>
            <w:tcBorders>
              <w:top w:val="single" w:sz="4" w:space="0" w:color="000000"/>
            </w:tcBorders>
            <w:vAlign w:val="center"/>
          </w:tcPr>
          <w:p w14:paraId="0D17952F" w14:textId="77777777" w:rsidR="00271E37" w:rsidRPr="00BC55EA" w:rsidRDefault="00271E37">
            <w:r w:rsidRPr="00BC55EA">
              <w:rPr>
                <w:rFonts w:cs="Arial"/>
                <w:color w:val="000000"/>
                <w:szCs w:val="16"/>
              </w:rPr>
              <w:t xml:space="preserve">9,704 </w:t>
            </w:r>
          </w:p>
        </w:tc>
      </w:tr>
    </w:tbl>
    <w:p w14:paraId="3D571B41" w14:textId="77777777" w:rsidR="00271E37" w:rsidRDefault="00271E37" w:rsidP="002E39D4"/>
    <w:p w14:paraId="51BD610F" w14:textId="77777777" w:rsidR="00271E37" w:rsidRDefault="00271E37" w:rsidP="002E39D4">
      <w:r>
        <w:t>All goodwill balances have arisen as a result of acquisitions and are not internally generated.</w:t>
      </w:r>
    </w:p>
    <w:p w14:paraId="69414B1F" w14:textId="77777777" w:rsidR="00271E37" w:rsidRDefault="00271E37" w:rsidP="002E39D4"/>
    <w:p w14:paraId="08EBD9D4" w14:textId="77777777" w:rsidR="00271E37" w:rsidRPr="00FC029C" w:rsidRDefault="00271E37" w:rsidP="002E39D4">
      <w:pPr>
        <w:rPr>
          <w:b/>
          <w:bCs/>
          <w:i/>
          <w:iCs/>
        </w:rPr>
      </w:pPr>
      <w:r w:rsidRPr="00FC029C">
        <w:rPr>
          <w:b/>
          <w:bCs/>
          <w:i/>
          <w:iCs/>
        </w:rPr>
        <w:t>Impairment</w:t>
      </w:r>
    </w:p>
    <w:p w14:paraId="5B104D44" w14:textId="77777777" w:rsidR="00271E37" w:rsidRPr="00B8452B" w:rsidRDefault="00271E37" w:rsidP="212C44CD">
      <w:pPr>
        <w:rPr>
          <w:b/>
          <w:i/>
        </w:rPr>
      </w:pPr>
    </w:p>
    <w:p w14:paraId="1B710CD6" w14:textId="72A439BF" w:rsidR="00271E37" w:rsidRDefault="00271E37">
      <w:r>
        <w:t>The Group tests goodwill annually for impairment, or more frequently</w:t>
      </w:r>
      <w:r w:rsidR="00B91F6D">
        <w:t>,</w:t>
      </w:r>
      <w:r>
        <w:t xml:space="preserve"> when there are indicators that it may be impaired. </w:t>
      </w:r>
    </w:p>
    <w:p w14:paraId="5B062D21" w14:textId="77777777" w:rsidR="00271E37" w:rsidRDefault="00271E37" w:rsidP="63447AFD">
      <w:r>
        <w:t xml:space="preserve"> </w:t>
      </w:r>
    </w:p>
    <w:p w14:paraId="16FE3E75" w14:textId="77777777" w:rsidR="00271E37" w:rsidRDefault="00271E37" w:rsidP="63447AFD">
      <w:r>
        <w:t xml:space="preserve">Goodwill is allocated to the cash-generating units (CGUs) or groups of CGUs that are expected to benefit from the synergies of the related business combinations. This represents the lowest level at which goodwill is monitored for internal management purposes. The recoverable amounts of CGUs are determined as the higher of value in use (VIU) and fair value less costs to sell (FVLCTS). </w:t>
      </w:r>
    </w:p>
    <w:p w14:paraId="6A25E4C9" w14:textId="77777777" w:rsidR="00C26C13" w:rsidRDefault="00C26C13" w:rsidP="63447AFD"/>
    <w:p w14:paraId="32AEBE76" w14:textId="6C844A56" w:rsidR="00271E37" w:rsidRDefault="00271E37" w:rsidP="63447AFD">
      <w:r>
        <w:t xml:space="preserve">The Group has prepared detailed cash flow forecasts for each CGU covering a three-year period. These forecasts, approved by management and the Board, are based on historical performance, current trading conditions and management's expectations for future developments. The forecasts incorporate assumptions on sales growth, EBITDA margins, and overhead costs. </w:t>
      </w:r>
    </w:p>
    <w:p w14:paraId="74CD71EE" w14:textId="77777777" w:rsidR="00271E37" w:rsidRDefault="00271E37" w:rsidP="63447AFD">
      <w:r>
        <w:t xml:space="preserve"> </w:t>
      </w:r>
    </w:p>
    <w:p w14:paraId="0898B917" w14:textId="77777777" w:rsidR="00271E37" w:rsidRDefault="00271E37" w:rsidP="63447AFD">
      <w:r>
        <w:t xml:space="preserve">Climate change is recognised as a risk that could affect future cash flows and the recoverable amounts of CGUs, including goodwill. The Group’s current modelling primarily captures immediate, quantifiable impacts of climate-related risks. Medium and long-term effects are not yet fully reflected due to inherent uncertainty. The Group will continue to monitor and refine its assessment of the impact of climate change in future reporting periods. </w:t>
      </w:r>
    </w:p>
    <w:p w14:paraId="6601641F" w14:textId="77777777" w:rsidR="00271E37" w:rsidRDefault="00271E37" w:rsidP="63447AFD">
      <w:r>
        <w:t xml:space="preserve"> </w:t>
      </w:r>
    </w:p>
    <w:p w14:paraId="5E6ADF03" w14:textId="77777777" w:rsidR="00271E37" w:rsidRDefault="00271E37" w:rsidP="63447AFD">
      <w:r>
        <w:t xml:space="preserve">The key assumptions used in the VIU calculations include sales growth, EBITDA margins, discount rates, and long-term growth rates. Long-term growth rates do not exceed the long-term economic growth expectations for the countries in which the CGUs operate. Discount rates used are pre-tax rates that reflect current market assessments of the time value of money and risks specific to each CGU. </w:t>
      </w:r>
    </w:p>
    <w:p w14:paraId="44FA698E" w14:textId="77777777" w:rsidR="00271E37" w:rsidRDefault="00271E37" w:rsidP="63447AFD">
      <w:r>
        <w:t xml:space="preserve"> </w:t>
      </w:r>
    </w:p>
    <w:p w14:paraId="55B042E7" w14:textId="77777777" w:rsidR="00271E37" w:rsidRDefault="00271E37">
      <w:r>
        <w:t>For the year ended 31 March 2026, the Group’s post-tax weighted average cost of capital (WACC) was 11.3% (2025: 11.2%). Pre-tax discount rates used in the impairment testing were derived from this WACC and adjusted for relevant jurisdictional tax rates.</w:t>
      </w:r>
    </w:p>
    <w:p w14:paraId="66037B59" w14:textId="77777777" w:rsidR="00271E37" w:rsidRPr="00610B08" w:rsidRDefault="00271E37" w:rsidP="002E39D4"/>
    <w:p w14:paraId="2E9FE099" w14:textId="77777777" w:rsidR="00271E37" w:rsidRPr="00610B08" w:rsidRDefault="00271E37" w:rsidP="002E39D4">
      <w:r>
        <w:t>Pre-tax discount rates used were:</w:t>
      </w:r>
    </w:p>
    <w:tbl>
      <w:tblPr>
        <w:tblStyle w:val="tableDUL"/>
        <w:tblW w:w="9639" w:type="dxa"/>
        <w:tblLayout w:type="fixed"/>
        <w:tblLook w:val="04A0" w:firstRow="1" w:lastRow="0" w:firstColumn="1" w:lastColumn="0" w:noHBand="0" w:noVBand="1"/>
      </w:tblPr>
      <w:tblGrid>
        <w:gridCol w:w="7371"/>
        <w:gridCol w:w="1134"/>
        <w:gridCol w:w="1134"/>
      </w:tblGrid>
      <w:tr w:rsidR="00271E37" w:rsidRPr="00427E01" w14:paraId="1D1431A2" w14:textId="77777777" w:rsidTr="4E817743">
        <w:tc>
          <w:tcPr>
            <w:tcW w:w="7371" w:type="dxa"/>
            <w:tcBorders>
              <w:bottom w:val="single" w:sz="4" w:space="0" w:color="000000" w:themeColor="text1"/>
            </w:tcBorders>
          </w:tcPr>
          <w:p w14:paraId="46780A33" w14:textId="77777777" w:rsidR="00271E37" w:rsidRPr="00610B08" w:rsidRDefault="00271E37" w:rsidP="00427E01">
            <w:pPr>
              <w:jc w:val="left"/>
            </w:pPr>
          </w:p>
        </w:tc>
        <w:tc>
          <w:tcPr>
            <w:tcW w:w="1134" w:type="dxa"/>
            <w:tcBorders>
              <w:bottom w:val="single" w:sz="4" w:space="0" w:color="000000" w:themeColor="text1"/>
            </w:tcBorders>
          </w:tcPr>
          <w:p w14:paraId="062C1E59" w14:textId="77777777" w:rsidR="00271E37" w:rsidRPr="00610B08" w:rsidRDefault="00271E37" w:rsidP="000923EA">
            <w:pPr>
              <w:rPr>
                <w:b/>
              </w:rPr>
            </w:pPr>
            <w:r w:rsidRPr="4D932072">
              <w:rPr>
                <w:b/>
              </w:rPr>
              <w:t>202</w:t>
            </w:r>
            <w:r>
              <w:rPr>
                <w:b/>
              </w:rPr>
              <w:t>6</w:t>
            </w:r>
          </w:p>
        </w:tc>
        <w:tc>
          <w:tcPr>
            <w:tcW w:w="1134" w:type="dxa"/>
            <w:tcBorders>
              <w:bottom w:val="single" w:sz="4" w:space="0" w:color="000000" w:themeColor="text1"/>
            </w:tcBorders>
          </w:tcPr>
          <w:p w14:paraId="6594EB4F" w14:textId="77777777" w:rsidR="00271E37" w:rsidRPr="00610B08" w:rsidRDefault="00271E37" w:rsidP="000923EA">
            <w:r>
              <w:t>2025</w:t>
            </w:r>
          </w:p>
        </w:tc>
      </w:tr>
      <w:tr w:rsidR="00271E37" w:rsidRPr="00427E01" w14:paraId="5E144D41" w14:textId="77777777" w:rsidTr="4E817743">
        <w:tc>
          <w:tcPr>
            <w:tcW w:w="7371" w:type="dxa"/>
            <w:tcBorders>
              <w:top w:val="single" w:sz="4" w:space="0" w:color="000000" w:themeColor="text1"/>
            </w:tcBorders>
          </w:tcPr>
          <w:p w14:paraId="2AC0D7F7" w14:textId="77777777" w:rsidR="00271E37" w:rsidRPr="00610B08" w:rsidRDefault="00271E37">
            <w:pPr>
              <w:jc w:val="left"/>
            </w:pPr>
            <w:r>
              <w:t>UK and Asia</w:t>
            </w:r>
          </w:p>
        </w:tc>
        <w:tc>
          <w:tcPr>
            <w:tcW w:w="1134" w:type="dxa"/>
            <w:tcBorders>
              <w:top w:val="single" w:sz="4" w:space="0" w:color="000000" w:themeColor="text1"/>
            </w:tcBorders>
          </w:tcPr>
          <w:p w14:paraId="4329D67A" w14:textId="77777777" w:rsidR="00271E37" w:rsidRPr="00610B08" w:rsidRDefault="00271E37">
            <w:pPr>
              <w:rPr>
                <w:b/>
                <w:bCs/>
              </w:rPr>
            </w:pPr>
            <w:r w:rsidRPr="00973582">
              <w:rPr>
                <w:b/>
                <w:bCs/>
              </w:rPr>
              <w:t>15.0%</w:t>
            </w:r>
            <w:r w:rsidRPr="00973582">
              <w:t> </w:t>
            </w:r>
          </w:p>
        </w:tc>
        <w:tc>
          <w:tcPr>
            <w:tcW w:w="1134" w:type="dxa"/>
            <w:tcBorders>
              <w:top w:val="single" w:sz="4" w:space="0" w:color="000000" w:themeColor="text1"/>
            </w:tcBorders>
          </w:tcPr>
          <w:p w14:paraId="3715E58E" w14:textId="77777777" w:rsidR="00271E37" w:rsidRPr="00E75839" w:rsidRDefault="00271E37">
            <w:r w:rsidRPr="002C63B4">
              <w:t xml:space="preserve">15.0% </w:t>
            </w:r>
          </w:p>
        </w:tc>
      </w:tr>
      <w:tr w:rsidR="00271E37" w:rsidRPr="00427E01" w14:paraId="0EDB683B" w14:textId="77777777" w:rsidTr="4E817743">
        <w:tc>
          <w:tcPr>
            <w:tcW w:w="7371" w:type="dxa"/>
          </w:tcPr>
          <w:p w14:paraId="4BE49A31" w14:textId="77777777" w:rsidR="00271E37" w:rsidRPr="00610B08" w:rsidRDefault="00271E37">
            <w:pPr>
              <w:jc w:val="left"/>
            </w:pPr>
            <w:r>
              <w:t xml:space="preserve">Europe </w:t>
            </w:r>
          </w:p>
        </w:tc>
        <w:tc>
          <w:tcPr>
            <w:tcW w:w="1134" w:type="dxa"/>
          </w:tcPr>
          <w:p w14:paraId="1BFC3301" w14:textId="77777777" w:rsidR="00271E37" w:rsidRPr="00610B08" w:rsidRDefault="00271E37">
            <w:pPr>
              <w:rPr>
                <w:b/>
                <w:bCs/>
              </w:rPr>
            </w:pPr>
            <w:r w:rsidRPr="00973582">
              <w:rPr>
                <w:b/>
                <w:bCs/>
              </w:rPr>
              <w:t>15.1%</w:t>
            </w:r>
            <w:r w:rsidRPr="00973582">
              <w:t> </w:t>
            </w:r>
          </w:p>
        </w:tc>
        <w:tc>
          <w:tcPr>
            <w:tcW w:w="1134" w:type="dxa"/>
          </w:tcPr>
          <w:p w14:paraId="353D61BD" w14:textId="77777777" w:rsidR="00271E37" w:rsidRPr="00E75839" w:rsidRDefault="00271E37">
            <w:r w:rsidRPr="002C63B4">
              <w:t xml:space="preserve">15.1% </w:t>
            </w:r>
          </w:p>
        </w:tc>
      </w:tr>
      <w:tr w:rsidR="00271E37" w:rsidRPr="00F40F76" w14:paraId="0839A2EE" w14:textId="77777777" w:rsidTr="4E817743">
        <w:tc>
          <w:tcPr>
            <w:tcW w:w="7371" w:type="dxa"/>
          </w:tcPr>
          <w:p w14:paraId="123A4760" w14:textId="77777777" w:rsidR="00271E37" w:rsidRPr="00610B08" w:rsidRDefault="00271E37">
            <w:pPr>
              <w:jc w:val="left"/>
            </w:pPr>
            <w:r>
              <w:t>Australia</w:t>
            </w:r>
          </w:p>
        </w:tc>
        <w:tc>
          <w:tcPr>
            <w:tcW w:w="1134" w:type="dxa"/>
          </w:tcPr>
          <w:p w14:paraId="60D0DA3B" w14:textId="77777777" w:rsidR="00271E37" w:rsidRPr="00610B08" w:rsidRDefault="00271E37">
            <w:pPr>
              <w:rPr>
                <w:b/>
                <w:bCs/>
              </w:rPr>
            </w:pPr>
            <w:r w:rsidRPr="00973582">
              <w:rPr>
                <w:b/>
                <w:bCs/>
              </w:rPr>
              <w:t>16.1%</w:t>
            </w:r>
            <w:r w:rsidRPr="00973582">
              <w:t> </w:t>
            </w:r>
          </w:p>
        </w:tc>
        <w:tc>
          <w:tcPr>
            <w:tcW w:w="1134" w:type="dxa"/>
          </w:tcPr>
          <w:p w14:paraId="4750F7A7" w14:textId="77777777" w:rsidR="00271E37" w:rsidRPr="00E75839" w:rsidRDefault="00271E37">
            <w:r w:rsidRPr="002C63B4">
              <w:t xml:space="preserve">15.9% </w:t>
            </w:r>
          </w:p>
        </w:tc>
      </w:tr>
    </w:tbl>
    <w:p w14:paraId="262C2F19" w14:textId="77777777" w:rsidR="00271E37" w:rsidRPr="00610B08" w:rsidRDefault="00271E37" w:rsidP="00F40F76"/>
    <w:p w14:paraId="08179320" w14:textId="77777777" w:rsidR="00271E37" w:rsidRPr="00610B08" w:rsidRDefault="00271E37" w:rsidP="002E39D4">
      <w:r>
        <w:t xml:space="preserve">Long-term growth rates used were: </w:t>
      </w:r>
    </w:p>
    <w:tbl>
      <w:tblPr>
        <w:tblStyle w:val="tableDUL"/>
        <w:tblW w:w="9639" w:type="dxa"/>
        <w:tblLayout w:type="fixed"/>
        <w:tblLook w:val="04A0" w:firstRow="1" w:lastRow="0" w:firstColumn="1" w:lastColumn="0" w:noHBand="0" w:noVBand="1"/>
      </w:tblPr>
      <w:tblGrid>
        <w:gridCol w:w="7371"/>
        <w:gridCol w:w="1134"/>
        <w:gridCol w:w="1134"/>
      </w:tblGrid>
      <w:tr w:rsidR="00271E37" w:rsidRPr="00427E01" w14:paraId="435D274F" w14:textId="77777777" w:rsidTr="4D932072">
        <w:tc>
          <w:tcPr>
            <w:tcW w:w="7371" w:type="dxa"/>
            <w:tcBorders>
              <w:bottom w:val="single" w:sz="4" w:space="0" w:color="000000" w:themeColor="text1"/>
            </w:tcBorders>
          </w:tcPr>
          <w:p w14:paraId="0B73D937" w14:textId="77777777" w:rsidR="00271E37" w:rsidRPr="00610B08" w:rsidRDefault="00271E37" w:rsidP="00427E01">
            <w:pPr>
              <w:jc w:val="left"/>
            </w:pPr>
          </w:p>
        </w:tc>
        <w:tc>
          <w:tcPr>
            <w:tcW w:w="1134" w:type="dxa"/>
            <w:tcBorders>
              <w:bottom w:val="single" w:sz="4" w:space="0" w:color="000000" w:themeColor="text1"/>
            </w:tcBorders>
          </w:tcPr>
          <w:p w14:paraId="7660DB5C" w14:textId="77777777" w:rsidR="00271E37" w:rsidRPr="00610B08" w:rsidRDefault="00271E37" w:rsidP="000923EA">
            <w:pPr>
              <w:rPr>
                <w:b/>
              </w:rPr>
            </w:pPr>
            <w:r w:rsidRPr="4D932072">
              <w:rPr>
                <w:b/>
              </w:rPr>
              <w:t>202</w:t>
            </w:r>
            <w:r>
              <w:rPr>
                <w:b/>
              </w:rPr>
              <w:t>6</w:t>
            </w:r>
          </w:p>
        </w:tc>
        <w:tc>
          <w:tcPr>
            <w:tcW w:w="1134" w:type="dxa"/>
            <w:tcBorders>
              <w:bottom w:val="single" w:sz="4" w:space="0" w:color="000000" w:themeColor="text1"/>
            </w:tcBorders>
          </w:tcPr>
          <w:p w14:paraId="7CCC4417" w14:textId="77777777" w:rsidR="00271E37" w:rsidRPr="00610B08" w:rsidRDefault="00271E37" w:rsidP="000923EA">
            <w:r>
              <w:t>2025</w:t>
            </w:r>
          </w:p>
        </w:tc>
      </w:tr>
      <w:tr w:rsidR="00271E37" w:rsidRPr="00427E01" w14:paraId="60D90C56" w14:textId="77777777" w:rsidTr="4D932072">
        <w:tc>
          <w:tcPr>
            <w:tcW w:w="7371" w:type="dxa"/>
            <w:tcBorders>
              <w:top w:val="single" w:sz="4" w:space="0" w:color="000000" w:themeColor="text1"/>
            </w:tcBorders>
          </w:tcPr>
          <w:p w14:paraId="67B9CC67" w14:textId="77777777" w:rsidR="00271E37" w:rsidRPr="00610B08" w:rsidRDefault="00271E37">
            <w:pPr>
              <w:jc w:val="left"/>
            </w:pPr>
            <w:r>
              <w:t>UK and Asia</w:t>
            </w:r>
          </w:p>
        </w:tc>
        <w:tc>
          <w:tcPr>
            <w:tcW w:w="1134" w:type="dxa"/>
            <w:tcBorders>
              <w:top w:val="single" w:sz="4" w:space="0" w:color="000000" w:themeColor="text1"/>
            </w:tcBorders>
          </w:tcPr>
          <w:p w14:paraId="5DE368ED" w14:textId="77777777" w:rsidR="00271E37" w:rsidRPr="00610B08" w:rsidRDefault="00271E37">
            <w:pPr>
              <w:rPr>
                <w:b/>
              </w:rPr>
            </w:pPr>
            <w:r w:rsidRPr="00BC0E3C">
              <w:rPr>
                <w:b/>
                <w:bCs/>
              </w:rPr>
              <w:t>2.0%</w:t>
            </w:r>
            <w:r w:rsidRPr="00BC0E3C">
              <w:t> </w:t>
            </w:r>
          </w:p>
        </w:tc>
        <w:tc>
          <w:tcPr>
            <w:tcW w:w="1134" w:type="dxa"/>
            <w:tcBorders>
              <w:top w:val="single" w:sz="4" w:space="0" w:color="000000" w:themeColor="text1"/>
            </w:tcBorders>
          </w:tcPr>
          <w:p w14:paraId="783D404F" w14:textId="77777777" w:rsidR="00271E37" w:rsidRPr="00E75839" w:rsidRDefault="00271E37">
            <w:r w:rsidRPr="00BC0E3C">
              <w:t xml:space="preserve">2.0% </w:t>
            </w:r>
          </w:p>
        </w:tc>
      </w:tr>
      <w:tr w:rsidR="00271E37" w:rsidRPr="00427E01" w14:paraId="62290AA9" w14:textId="77777777" w:rsidTr="00427E01">
        <w:tc>
          <w:tcPr>
            <w:tcW w:w="7371" w:type="dxa"/>
          </w:tcPr>
          <w:p w14:paraId="01BB1FFB" w14:textId="77777777" w:rsidR="00271E37" w:rsidRPr="00610B08" w:rsidRDefault="00271E37">
            <w:pPr>
              <w:jc w:val="left"/>
            </w:pPr>
            <w:r>
              <w:t xml:space="preserve">Europe </w:t>
            </w:r>
          </w:p>
        </w:tc>
        <w:tc>
          <w:tcPr>
            <w:tcW w:w="1134" w:type="dxa"/>
          </w:tcPr>
          <w:p w14:paraId="02C68068" w14:textId="75842C3F" w:rsidR="00271E37" w:rsidRPr="00610B08" w:rsidRDefault="00271E37">
            <w:pPr>
              <w:rPr>
                <w:b/>
              </w:rPr>
            </w:pPr>
            <w:r w:rsidRPr="00BC0E3C">
              <w:rPr>
                <w:b/>
                <w:bCs/>
              </w:rPr>
              <w:t>2.</w:t>
            </w:r>
            <w:r w:rsidR="00192D5B">
              <w:rPr>
                <w:b/>
                <w:bCs/>
              </w:rPr>
              <w:t>0</w:t>
            </w:r>
            <w:r w:rsidRPr="00BC0E3C">
              <w:rPr>
                <w:b/>
                <w:bCs/>
              </w:rPr>
              <w:t>%</w:t>
            </w:r>
            <w:r w:rsidRPr="00BC0E3C">
              <w:t> </w:t>
            </w:r>
          </w:p>
        </w:tc>
        <w:tc>
          <w:tcPr>
            <w:tcW w:w="1134" w:type="dxa"/>
          </w:tcPr>
          <w:p w14:paraId="1438CD4F" w14:textId="77777777" w:rsidR="00271E37" w:rsidRPr="00E75839" w:rsidRDefault="00271E37">
            <w:r w:rsidRPr="00BC0E3C">
              <w:t xml:space="preserve">2.0% </w:t>
            </w:r>
          </w:p>
        </w:tc>
      </w:tr>
      <w:tr w:rsidR="00271E37" w:rsidRPr="00427E01" w14:paraId="2B443F7E" w14:textId="77777777" w:rsidTr="00427E01">
        <w:tc>
          <w:tcPr>
            <w:tcW w:w="7371" w:type="dxa"/>
          </w:tcPr>
          <w:p w14:paraId="5B8AEC19" w14:textId="77777777" w:rsidR="00271E37" w:rsidRPr="00610B08" w:rsidRDefault="00271E37">
            <w:pPr>
              <w:jc w:val="left"/>
            </w:pPr>
            <w:r>
              <w:t>Australia</w:t>
            </w:r>
          </w:p>
        </w:tc>
        <w:tc>
          <w:tcPr>
            <w:tcW w:w="1134" w:type="dxa"/>
          </w:tcPr>
          <w:p w14:paraId="7B9068A0" w14:textId="6AA25F60" w:rsidR="00271E37" w:rsidRPr="00610B08" w:rsidRDefault="00271E37">
            <w:pPr>
              <w:rPr>
                <w:b/>
              </w:rPr>
            </w:pPr>
            <w:r w:rsidRPr="00BC0E3C">
              <w:rPr>
                <w:b/>
                <w:bCs/>
              </w:rPr>
              <w:t>2.</w:t>
            </w:r>
            <w:r w:rsidR="00192D5B">
              <w:rPr>
                <w:b/>
                <w:bCs/>
              </w:rPr>
              <w:t>4</w:t>
            </w:r>
            <w:r w:rsidRPr="00BC0E3C">
              <w:rPr>
                <w:b/>
                <w:bCs/>
              </w:rPr>
              <w:t>%</w:t>
            </w:r>
            <w:r w:rsidRPr="00BC0E3C">
              <w:t> </w:t>
            </w:r>
          </w:p>
        </w:tc>
        <w:tc>
          <w:tcPr>
            <w:tcW w:w="1134" w:type="dxa"/>
          </w:tcPr>
          <w:p w14:paraId="6E0AB164" w14:textId="77777777" w:rsidR="00271E37" w:rsidRPr="00E75839" w:rsidRDefault="00271E37">
            <w:r w:rsidRPr="00BC0E3C">
              <w:t xml:space="preserve">2.5% </w:t>
            </w:r>
          </w:p>
        </w:tc>
      </w:tr>
    </w:tbl>
    <w:p w14:paraId="7444897B" w14:textId="77777777" w:rsidR="00271E37" w:rsidRPr="00B8452B" w:rsidRDefault="00271E37" w:rsidP="00F40F76"/>
    <w:p w14:paraId="045B232E" w14:textId="77777777" w:rsidR="00271E37" w:rsidRDefault="00271E37" w:rsidP="1918396E">
      <w:pPr>
        <w:rPr>
          <w:rFonts w:eastAsia="Arial" w:cs="Arial"/>
        </w:rPr>
      </w:pPr>
    </w:p>
    <w:p w14:paraId="376159FA" w14:textId="2A24BF74" w:rsidR="00271E37" w:rsidRDefault="00271E37" w:rsidP="1918396E">
      <w:pPr>
        <w:rPr>
          <w:rFonts w:eastAsia="Arial" w:cs="Arial"/>
        </w:rPr>
      </w:pPr>
      <w:r w:rsidRPr="5E6A2A18">
        <w:rPr>
          <w:rFonts w:eastAsia="Arial" w:cs="Arial"/>
        </w:rPr>
        <w:t>No impairment was identified for any CGUs</w:t>
      </w:r>
      <w:r>
        <w:rPr>
          <w:rFonts w:eastAsia="Arial" w:cs="Arial"/>
        </w:rPr>
        <w:t xml:space="preserve"> as t</w:t>
      </w:r>
      <w:r w:rsidRPr="5E6A2A18">
        <w:rPr>
          <w:rFonts w:eastAsia="Arial" w:cs="Arial"/>
        </w:rPr>
        <w:t>he recoverable amount exceeded the carrying amount</w:t>
      </w:r>
      <w:r>
        <w:rPr>
          <w:rFonts w:eastAsia="Arial" w:cs="Arial"/>
        </w:rPr>
        <w:t xml:space="preserve"> of tested assets</w:t>
      </w:r>
      <w:r w:rsidRPr="5E6A2A18">
        <w:rPr>
          <w:rFonts w:eastAsia="Arial" w:cs="Arial"/>
        </w:rPr>
        <w:t>. Management performed sensitivity analysis to assess the impact of changes in key assumptions. A 100</w:t>
      </w:r>
      <w:r w:rsidR="004A1217">
        <w:rPr>
          <w:rFonts w:eastAsia="Arial" w:cs="Arial"/>
        </w:rPr>
        <w:t xml:space="preserve"> </w:t>
      </w:r>
      <w:r w:rsidRPr="5E6A2A18">
        <w:rPr>
          <w:rFonts w:eastAsia="Arial" w:cs="Arial"/>
        </w:rPr>
        <w:t>basis</w:t>
      </w:r>
      <w:r w:rsidR="004A1217">
        <w:rPr>
          <w:rFonts w:eastAsia="Arial" w:cs="Arial"/>
        </w:rPr>
        <w:t>-</w:t>
      </w:r>
      <w:r w:rsidR="00826CC5">
        <w:rPr>
          <w:rFonts w:eastAsia="Arial" w:cs="Arial"/>
        </w:rPr>
        <w:t>point</w:t>
      </w:r>
      <w:r w:rsidRPr="5E6A2A18">
        <w:rPr>
          <w:rFonts w:eastAsia="Arial" w:cs="Arial"/>
        </w:rPr>
        <w:t xml:space="preserve"> increase in the discount rate, a 0.5% reduction in terminal growth rate, and a </w:t>
      </w:r>
      <w:r w:rsidRPr="00205551">
        <w:rPr>
          <w:rFonts w:eastAsia="Arial" w:cs="Arial"/>
        </w:rPr>
        <w:t>7.5%</w:t>
      </w:r>
      <w:r w:rsidRPr="5E6A2A18">
        <w:rPr>
          <w:rFonts w:eastAsia="Arial" w:cs="Arial"/>
        </w:rPr>
        <w:t xml:space="preserve"> reduction in forecast cash flows and reallocation of central costs against remaining CGUs post DG Americas sale were applied. Under these stress-tested scenarios, all CGUs maintained </w:t>
      </w:r>
      <w:r>
        <w:rPr>
          <w:rFonts w:eastAsia="Arial" w:cs="Arial"/>
        </w:rPr>
        <w:t xml:space="preserve">sufficient </w:t>
      </w:r>
      <w:r w:rsidRPr="5E6A2A18">
        <w:rPr>
          <w:rFonts w:eastAsia="Arial" w:cs="Arial"/>
        </w:rPr>
        <w:t xml:space="preserve">headroom, and no impairment </w:t>
      </w:r>
      <w:r>
        <w:rPr>
          <w:rFonts w:eastAsia="Arial" w:cs="Arial"/>
        </w:rPr>
        <w:t>was</w:t>
      </w:r>
      <w:r w:rsidRPr="5E6A2A18">
        <w:rPr>
          <w:rFonts w:eastAsia="Arial" w:cs="Arial"/>
        </w:rPr>
        <w:t xml:space="preserve"> required. </w:t>
      </w:r>
    </w:p>
    <w:p w14:paraId="2CC5A37D" w14:textId="77777777" w:rsidR="00271E37" w:rsidRDefault="00271E37" w:rsidP="1918396E">
      <w:pPr>
        <w:rPr>
          <w:rFonts w:eastAsia="Arial" w:cs="Arial"/>
        </w:rPr>
      </w:pPr>
    </w:p>
    <w:p w14:paraId="351DB9D1" w14:textId="77777777" w:rsidR="00271E37" w:rsidRDefault="00271E37">
      <w:pPr>
        <w:rPr>
          <w:rFonts w:eastAsia="Arial" w:cs="Arial"/>
        </w:rPr>
      </w:pPr>
      <w:r w:rsidRPr="1918396E">
        <w:rPr>
          <w:rFonts w:eastAsia="Arial" w:cs="Arial"/>
        </w:rPr>
        <w:t xml:space="preserve">An impairment loss </w:t>
      </w:r>
      <w:r w:rsidRPr="00B071CF">
        <w:rPr>
          <w:rFonts w:eastAsia="Arial" w:cs="Arial"/>
        </w:rPr>
        <w:t>of £42.0 m</w:t>
      </w:r>
      <w:r w:rsidRPr="1918396E">
        <w:rPr>
          <w:rFonts w:eastAsia="Arial" w:cs="Arial"/>
        </w:rPr>
        <w:t>illion was recognised during the year ended 31 March 2025. This include</w:t>
      </w:r>
      <w:r>
        <w:rPr>
          <w:rFonts w:eastAsia="Arial" w:cs="Arial"/>
        </w:rPr>
        <w:t>d</w:t>
      </w:r>
      <w:r w:rsidRPr="1918396E">
        <w:rPr>
          <w:rFonts w:eastAsia="Arial" w:cs="Arial"/>
        </w:rPr>
        <w:t xml:space="preserve"> </w:t>
      </w:r>
      <w:r>
        <w:rPr>
          <w:rFonts w:eastAsia="Arial" w:cs="Arial"/>
        </w:rPr>
        <w:t>£37.8</w:t>
      </w:r>
      <w:r w:rsidRPr="1918396E">
        <w:rPr>
          <w:rFonts w:eastAsia="Arial" w:cs="Arial"/>
        </w:rPr>
        <w:t xml:space="preserve"> million relating to goodwill on the acquisition of DG Americas, </w:t>
      </w:r>
      <w:r>
        <w:rPr>
          <w:rFonts w:eastAsia="Arial" w:cs="Arial"/>
        </w:rPr>
        <w:t>£</w:t>
      </w:r>
      <w:r w:rsidRPr="1918396E">
        <w:rPr>
          <w:rFonts w:eastAsia="Arial" w:cs="Arial"/>
        </w:rPr>
        <w:t>1.</w:t>
      </w:r>
      <w:r>
        <w:rPr>
          <w:rFonts w:eastAsia="Arial" w:cs="Arial"/>
        </w:rPr>
        <w:t>3</w:t>
      </w:r>
      <w:r w:rsidRPr="1918396E">
        <w:rPr>
          <w:rFonts w:eastAsia="Arial" w:cs="Arial"/>
        </w:rPr>
        <w:t xml:space="preserve"> million in intangible assets, and </w:t>
      </w:r>
      <w:r>
        <w:rPr>
          <w:rFonts w:eastAsia="Arial" w:cs="Arial"/>
        </w:rPr>
        <w:t>£2.9</w:t>
      </w:r>
      <w:r w:rsidRPr="1918396E">
        <w:rPr>
          <w:rFonts w:eastAsia="Arial" w:cs="Arial"/>
        </w:rPr>
        <w:t xml:space="preserve"> million in plant and equipment. The impairment was triggered by a deterioration in DG Americas’ performance, including the Group’s fourth-largest customer entering Chapter 11 bankruptcy. </w:t>
      </w:r>
      <w:r>
        <w:rPr>
          <w:rFonts w:eastAsia="Arial" w:cs="Arial"/>
        </w:rPr>
        <w:t xml:space="preserve">DG Americas division was subsequently sold in FY2026 and relevant loss on disposal was recognised in the Income Statement. </w:t>
      </w:r>
    </w:p>
    <w:p w14:paraId="506E64BC" w14:textId="77777777" w:rsidR="00271E37" w:rsidRDefault="00271E37" w:rsidP="14988E6E">
      <w:pPr>
        <w:rPr>
          <w:rFonts w:eastAsia="Arial" w:cs="Arial"/>
        </w:rPr>
      </w:pPr>
    </w:p>
    <w:p w14:paraId="361B6A06" w14:textId="77777777" w:rsidR="00271E37" w:rsidRDefault="00271E37" w:rsidP="1918396E">
      <w:r w:rsidRPr="1918396E">
        <w:rPr>
          <w:rFonts w:eastAsia="Arial" w:cs="Arial"/>
        </w:rPr>
        <w:t xml:space="preserve">The Directors are satisfied that the assumptions used in the impairment assessment are appropriate and supported by external benchmarks and internal projections. They do not believe that reasonably possible changes in key assumptions would lead to impairment in any other CGUs. </w:t>
      </w:r>
    </w:p>
    <w:p w14:paraId="54BF26F8" w14:textId="77777777" w:rsidR="00271E37" w:rsidRDefault="00271E37" w:rsidP="002E39D4">
      <w:pPr>
        <w:rPr>
          <w:b/>
          <w:bCs/>
        </w:rPr>
      </w:pPr>
    </w:p>
    <w:p w14:paraId="4446DA2D" w14:textId="77777777" w:rsidR="00271E37" w:rsidRPr="00CE6E1B" w:rsidRDefault="00271E37">
      <w:pPr>
        <w:pStyle w:val="Heading2"/>
      </w:pPr>
      <w:r w:rsidRPr="00CE6E1B">
        <w:t>10 Right-of-use assets and lease liabilities</w:t>
      </w:r>
    </w:p>
    <w:p w14:paraId="6D2CC145" w14:textId="77777777" w:rsidR="00271E37" w:rsidRPr="00CE6E1B" w:rsidRDefault="00271E37" w:rsidP="002E39D4">
      <w:pPr>
        <w:rPr>
          <w:b/>
          <w:bCs/>
          <w:i/>
          <w:iCs/>
        </w:rPr>
      </w:pPr>
      <w:r w:rsidRPr="00CE6E1B">
        <w:rPr>
          <w:b/>
          <w:bCs/>
          <w:i/>
          <w:iCs/>
        </w:rPr>
        <w:t>Right-of-use assets</w:t>
      </w:r>
    </w:p>
    <w:tbl>
      <w:tblPr>
        <w:tblStyle w:val="tableDUL"/>
        <w:tblW w:w="9418" w:type="dxa"/>
        <w:tblLayout w:type="fixed"/>
        <w:tblLook w:val="04A0" w:firstRow="1" w:lastRow="0" w:firstColumn="1" w:lastColumn="0" w:noHBand="0" w:noVBand="1"/>
      </w:tblPr>
      <w:tblGrid>
        <w:gridCol w:w="3878"/>
        <w:gridCol w:w="1108"/>
        <w:gridCol w:w="1108"/>
        <w:gridCol w:w="1108"/>
        <w:gridCol w:w="1108"/>
        <w:gridCol w:w="1108"/>
      </w:tblGrid>
      <w:tr w:rsidR="00271E37" w:rsidRPr="00427E01" w14:paraId="24645AD4" w14:textId="77777777">
        <w:trPr>
          <w:trHeight w:val="449"/>
        </w:trPr>
        <w:tc>
          <w:tcPr>
            <w:tcW w:w="3878" w:type="dxa"/>
            <w:tcBorders>
              <w:bottom w:val="nil"/>
            </w:tcBorders>
          </w:tcPr>
          <w:p w14:paraId="68FF547F" w14:textId="77777777" w:rsidR="00271E37" w:rsidRPr="00427E01" w:rsidRDefault="00271E37" w:rsidP="00427E01">
            <w:pPr>
              <w:jc w:val="left"/>
            </w:pPr>
          </w:p>
        </w:tc>
        <w:tc>
          <w:tcPr>
            <w:tcW w:w="1108" w:type="dxa"/>
            <w:tcBorders>
              <w:bottom w:val="nil"/>
            </w:tcBorders>
            <w:vAlign w:val="bottom"/>
          </w:tcPr>
          <w:p w14:paraId="265983A6" w14:textId="77777777" w:rsidR="00271E37" w:rsidRPr="00427E01" w:rsidRDefault="00271E37">
            <w:r w:rsidRPr="00427E01">
              <w:t xml:space="preserve">Land and buildings </w:t>
            </w:r>
          </w:p>
        </w:tc>
        <w:tc>
          <w:tcPr>
            <w:tcW w:w="1108" w:type="dxa"/>
            <w:tcBorders>
              <w:bottom w:val="nil"/>
            </w:tcBorders>
            <w:vAlign w:val="bottom"/>
          </w:tcPr>
          <w:p w14:paraId="531C4647" w14:textId="77777777" w:rsidR="00271E37" w:rsidRPr="00427E01" w:rsidRDefault="00271E37" w:rsidP="00427E01">
            <w:r w:rsidRPr="00427E01">
              <w:t xml:space="preserve">Plant and machinery </w:t>
            </w:r>
          </w:p>
        </w:tc>
        <w:tc>
          <w:tcPr>
            <w:tcW w:w="1108" w:type="dxa"/>
            <w:tcBorders>
              <w:bottom w:val="nil"/>
            </w:tcBorders>
            <w:vAlign w:val="bottom"/>
          </w:tcPr>
          <w:p w14:paraId="7EC0FCDD" w14:textId="77777777" w:rsidR="00271E37" w:rsidRDefault="00271E37" w:rsidP="00427E01">
            <w:r w:rsidRPr="00427E01">
              <w:t xml:space="preserve">Motor </w:t>
            </w:r>
          </w:p>
          <w:p w14:paraId="4CB199C7" w14:textId="77777777" w:rsidR="00271E37" w:rsidRPr="00427E01" w:rsidRDefault="00271E37">
            <w:r w:rsidRPr="00427E01">
              <w:t xml:space="preserve">vehicles </w:t>
            </w:r>
          </w:p>
        </w:tc>
        <w:tc>
          <w:tcPr>
            <w:tcW w:w="1108" w:type="dxa"/>
            <w:tcBorders>
              <w:bottom w:val="nil"/>
            </w:tcBorders>
            <w:vAlign w:val="bottom"/>
          </w:tcPr>
          <w:p w14:paraId="54654BEC" w14:textId="77777777" w:rsidR="00271E37" w:rsidRPr="00427E01" w:rsidRDefault="00271E37" w:rsidP="00427E01">
            <w:r w:rsidRPr="00427E01">
              <w:t xml:space="preserve">Office equipment </w:t>
            </w:r>
          </w:p>
        </w:tc>
        <w:tc>
          <w:tcPr>
            <w:tcW w:w="1108" w:type="dxa"/>
            <w:tcBorders>
              <w:bottom w:val="nil"/>
            </w:tcBorders>
            <w:vAlign w:val="bottom"/>
          </w:tcPr>
          <w:p w14:paraId="4D1E7466" w14:textId="77777777" w:rsidR="00271E37" w:rsidRPr="00427E01" w:rsidRDefault="00271E37">
            <w:r w:rsidRPr="00427E01">
              <w:t xml:space="preserve">Total </w:t>
            </w:r>
          </w:p>
        </w:tc>
      </w:tr>
      <w:tr w:rsidR="00271E37" w:rsidRPr="00427E01" w14:paraId="541AC0A0" w14:textId="77777777">
        <w:trPr>
          <w:trHeight w:val="224"/>
        </w:trPr>
        <w:tc>
          <w:tcPr>
            <w:tcW w:w="3878" w:type="dxa"/>
            <w:tcBorders>
              <w:bottom w:val="single" w:sz="4" w:space="0" w:color="000000"/>
            </w:tcBorders>
          </w:tcPr>
          <w:p w14:paraId="38FD2E77" w14:textId="77777777" w:rsidR="00271E37" w:rsidRPr="00427E01" w:rsidRDefault="00271E37" w:rsidP="00427E01"/>
        </w:tc>
        <w:tc>
          <w:tcPr>
            <w:tcW w:w="1108" w:type="dxa"/>
            <w:tcBorders>
              <w:bottom w:val="single" w:sz="4" w:space="0" w:color="000000"/>
            </w:tcBorders>
            <w:vAlign w:val="bottom"/>
          </w:tcPr>
          <w:p w14:paraId="63EC4E97" w14:textId="77777777" w:rsidR="00271E37" w:rsidRPr="00427E01" w:rsidRDefault="00271E37" w:rsidP="00427E01">
            <w:r>
              <w:t>£000</w:t>
            </w:r>
          </w:p>
        </w:tc>
        <w:tc>
          <w:tcPr>
            <w:tcW w:w="1108" w:type="dxa"/>
            <w:tcBorders>
              <w:bottom w:val="single" w:sz="4" w:space="0" w:color="000000"/>
            </w:tcBorders>
            <w:vAlign w:val="bottom"/>
          </w:tcPr>
          <w:p w14:paraId="7B8FDC01" w14:textId="77777777" w:rsidR="00271E37" w:rsidRPr="00427E01" w:rsidRDefault="00271E37" w:rsidP="00427E01">
            <w:r>
              <w:t>£000</w:t>
            </w:r>
          </w:p>
        </w:tc>
        <w:tc>
          <w:tcPr>
            <w:tcW w:w="1108" w:type="dxa"/>
            <w:tcBorders>
              <w:bottom w:val="single" w:sz="4" w:space="0" w:color="000000"/>
            </w:tcBorders>
            <w:vAlign w:val="bottom"/>
          </w:tcPr>
          <w:p w14:paraId="58F81ACE" w14:textId="77777777" w:rsidR="00271E37" w:rsidRPr="00427E01" w:rsidRDefault="00271E37" w:rsidP="00427E01">
            <w:r>
              <w:t>£000</w:t>
            </w:r>
          </w:p>
        </w:tc>
        <w:tc>
          <w:tcPr>
            <w:tcW w:w="1108" w:type="dxa"/>
            <w:tcBorders>
              <w:bottom w:val="single" w:sz="4" w:space="0" w:color="000000"/>
            </w:tcBorders>
            <w:vAlign w:val="bottom"/>
          </w:tcPr>
          <w:p w14:paraId="41294832" w14:textId="77777777" w:rsidR="00271E37" w:rsidRPr="00427E01" w:rsidRDefault="00271E37" w:rsidP="00427E01">
            <w:r>
              <w:t>£000</w:t>
            </w:r>
          </w:p>
        </w:tc>
        <w:tc>
          <w:tcPr>
            <w:tcW w:w="1108" w:type="dxa"/>
            <w:tcBorders>
              <w:bottom w:val="single" w:sz="4" w:space="0" w:color="000000"/>
            </w:tcBorders>
            <w:vAlign w:val="bottom"/>
          </w:tcPr>
          <w:p w14:paraId="67C38D90" w14:textId="77777777" w:rsidR="00271E37" w:rsidRPr="00427E01" w:rsidRDefault="00271E37" w:rsidP="00427E01">
            <w:r>
              <w:t>£000</w:t>
            </w:r>
          </w:p>
        </w:tc>
      </w:tr>
      <w:tr w:rsidR="00271E37" w:rsidRPr="00427E01" w14:paraId="7D0C5646" w14:textId="77777777">
        <w:trPr>
          <w:trHeight w:val="224"/>
        </w:trPr>
        <w:tc>
          <w:tcPr>
            <w:tcW w:w="3878" w:type="dxa"/>
            <w:tcBorders>
              <w:top w:val="single" w:sz="4" w:space="0" w:color="000000"/>
            </w:tcBorders>
          </w:tcPr>
          <w:p w14:paraId="215CA8DF" w14:textId="77777777" w:rsidR="00271E37" w:rsidRPr="00427E01" w:rsidRDefault="00271E37">
            <w:pPr>
              <w:jc w:val="left"/>
            </w:pPr>
            <w:r w:rsidRPr="00427E01">
              <w:lastRenderedPageBreak/>
              <w:t>Net book value at 1 April 202</w:t>
            </w:r>
            <w:r>
              <w:t>4</w:t>
            </w:r>
          </w:p>
        </w:tc>
        <w:tc>
          <w:tcPr>
            <w:tcW w:w="1108" w:type="dxa"/>
            <w:tcBorders>
              <w:top w:val="single" w:sz="4" w:space="0" w:color="000000"/>
            </w:tcBorders>
            <w:vAlign w:val="center"/>
          </w:tcPr>
          <w:p w14:paraId="7AC73851" w14:textId="77777777" w:rsidR="00271E37" w:rsidRPr="00E01F6F" w:rsidRDefault="00271E37">
            <w:r w:rsidRPr="00E01F6F">
              <w:rPr>
                <w:rFonts w:cs="Arial"/>
                <w:szCs w:val="16"/>
              </w:rPr>
              <w:t xml:space="preserve">45,966 </w:t>
            </w:r>
          </w:p>
        </w:tc>
        <w:tc>
          <w:tcPr>
            <w:tcW w:w="1108" w:type="dxa"/>
            <w:tcBorders>
              <w:top w:val="single" w:sz="4" w:space="0" w:color="000000"/>
            </w:tcBorders>
            <w:vAlign w:val="center"/>
          </w:tcPr>
          <w:p w14:paraId="47C87C4D" w14:textId="77777777" w:rsidR="00271E37" w:rsidRPr="00E01F6F" w:rsidRDefault="00271E37">
            <w:r w:rsidRPr="00E01F6F">
              <w:rPr>
                <w:rFonts w:cs="Arial"/>
                <w:szCs w:val="16"/>
              </w:rPr>
              <w:t xml:space="preserve">430 </w:t>
            </w:r>
          </w:p>
        </w:tc>
        <w:tc>
          <w:tcPr>
            <w:tcW w:w="1108" w:type="dxa"/>
            <w:tcBorders>
              <w:top w:val="single" w:sz="4" w:space="0" w:color="000000"/>
            </w:tcBorders>
            <w:vAlign w:val="center"/>
          </w:tcPr>
          <w:p w14:paraId="71557FFE" w14:textId="77777777" w:rsidR="00271E37" w:rsidRPr="00E01F6F" w:rsidRDefault="00271E37">
            <w:r w:rsidRPr="00E01F6F">
              <w:rPr>
                <w:rFonts w:cs="Arial"/>
                <w:szCs w:val="16"/>
              </w:rPr>
              <w:t xml:space="preserve">258 </w:t>
            </w:r>
          </w:p>
        </w:tc>
        <w:tc>
          <w:tcPr>
            <w:tcW w:w="1108" w:type="dxa"/>
            <w:tcBorders>
              <w:top w:val="single" w:sz="4" w:space="0" w:color="000000"/>
            </w:tcBorders>
            <w:vAlign w:val="center"/>
          </w:tcPr>
          <w:p w14:paraId="781C344C" w14:textId="77777777" w:rsidR="00271E37" w:rsidRPr="00E01F6F" w:rsidRDefault="00271E37">
            <w:r w:rsidRPr="00E01F6F">
              <w:rPr>
                <w:rFonts w:cs="Arial"/>
                <w:szCs w:val="16"/>
              </w:rPr>
              <w:t xml:space="preserve">195 </w:t>
            </w:r>
          </w:p>
        </w:tc>
        <w:tc>
          <w:tcPr>
            <w:tcW w:w="1108" w:type="dxa"/>
            <w:tcBorders>
              <w:top w:val="single" w:sz="4" w:space="0" w:color="000000"/>
            </w:tcBorders>
            <w:vAlign w:val="center"/>
          </w:tcPr>
          <w:p w14:paraId="6D0F3FB8" w14:textId="77777777" w:rsidR="00271E37" w:rsidRPr="00E01F6F" w:rsidRDefault="00271E37">
            <w:r w:rsidRPr="00E01F6F">
              <w:rPr>
                <w:rFonts w:cs="Arial"/>
                <w:szCs w:val="16"/>
              </w:rPr>
              <w:t xml:space="preserve">46,849 </w:t>
            </w:r>
          </w:p>
        </w:tc>
      </w:tr>
      <w:tr w:rsidR="00271E37" w:rsidRPr="00427E01" w14:paraId="57E82C0E" w14:textId="77777777">
        <w:trPr>
          <w:trHeight w:val="224"/>
        </w:trPr>
        <w:tc>
          <w:tcPr>
            <w:tcW w:w="3878" w:type="dxa"/>
          </w:tcPr>
          <w:p w14:paraId="5D56B2F0" w14:textId="77777777" w:rsidR="00271E37" w:rsidRPr="00427E01" w:rsidRDefault="00271E37">
            <w:pPr>
              <w:jc w:val="left"/>
            </w:pPr>
            <w:r w:rsidRPr="00427E01">
              <w:t>Additions</w:t>
            </w:r>
          </w:p>
        </w:tc>
        <w:tc>
          <w:tcPr>
            <w:tcW w:w="1108" w:type="dxa"/>
            <w:vAlign w:val="center"/>
          </w:tcPr>
          <w:p w14:paraId="621B9699" w14:textId="77777777" w:rsidR="00271E37" w:rsidRPr="00E01F6F" w:rsidRDefault="00271E37">
            <w:r w:rsidRPr="00E01F6F">
              <w:rPr>
                <w:rFonts w:cs="Arial"/>
                <w:szCs w:val="16"/>
              </w:rPr>
              <w:t xml:space="preserve">17,031 </w:t>
            </w:r>
          </w:p>
        </w:tc>
        <w:tc>
          <w:tcPr>
            <w:tcW w:w="1108" w:type="dxa"/>
            <w:vAlign w:val="center"/>
          </w:tcPr>
          <w:p w14:paraId="576D5D9F" w14:textId="77777777" w:rsidR="00271E37" w:rsidRPr="00E01F6F" w:rsidRDefault="00271E37">
            <w:r w:rsidRPr="00E01F6F">
              <w:rPr>
                <w:rFonts w:cs="Arial"/>
                <w:szCs w:val="16"/>
              </w:rPr>
              <w:t xml:space="preserve">835 </w:t>
            </w:r>
          </w:p>
        </w:tc>
        <w:tc>
          <w:tcPr>
            <w:tcW w:w="1108" w:type="dxa"/>
            <w:vAlign w:val="center"/>
          </w:tcPr>
          <w:p w14:paraId="19AD8823" w14:textId="77777777" w:rsidR="00271E37" w:rsidRPr="00E01F6F" w:rsidRDefault="00271E37">
            <w:r w:rsidRPr="00E01F6F">
              <w:rPr>
                <w:rFonts w:cs="Arial"/>
                <w:szCs w:val="16"/>
              </w:rPr>
              <w:t xml:space="preserve">376 </w:t>
            </w:r>
          </w:p>
        </w:tc>
        <w:tc>
          <w:tcPr>
            <w:tcW w:w="1108" w:type="dxa"/>
            <w:vAlign w:val="center"/>
          </w:tcPr>
          <w:p w14:paraId="314C655B" w14:textId="77777777" w:rsidR="00271E37" w:rsidRPr="00E01F6F" w:rsidRDefault="00271E37">
            <w:r w:rsidRPr="00E01F6F">
              <w:rPr>
                <w:rFonts w:cs="Arial"/>
                <w:szCs w:val="16"/>
              </w:rPr>
              <w:t xml:space="preserve">17 </w:t>
            </w:r>
          </w:p>
        </w:tc>
        <w:tc>
          <w:tcPr>
            <w:tcW w:w="1108" w:type="dxa"/>
            <w:vAlign w:val="center"/>
          </w:tcPr>
          <w:p w14:paraId="5AD92834" w14:textId="77777777" w:rsidR="00271E37" w:rsidRPr="00E01F6F" w:rsidRDefault="00271E37">
            <w:r w:rsidRPr="00E01F6F">
              <w:rPr>
                <w:rFonts w:cs="Arial"/>
                <w:szCs w:val="16"/>
              </w:rPr>
              <w:t xml:space="preserve">18,259 </w:t>
            </w:r>
          </w:p>
        </w:tc>
      </w:tr>
      <w:tr w:rsidR="00271E37" w:rsidRPr="00427E01" w14:paraId="499ED25A" w14:textId="77777777">
        <w:trPr>
          <w:trHeight w:val="224"/>
        </w:trPr>
        <w:tc>
          <w:tcPr>
            <w:tcW w:w="3878" w:type="dxa"/>
          </w:tcPr>
          <w:p w14:paraId="00EEF4C6" w14:textId="77777777" w:rsidR="00271E37" w:rsidRPr="00427E01" w:rsidRDefault="00271E37">
            <w:pPr>
              <w:jc w:val="left"/>
            </w:pPr>
            <w:r w:rsidRPr="00427E01">
              <w:t>Disposals</w:t>
            </w:r>
          </w:p>
        </w:tc>
        <w:tc>
          <w:tcPr>
            <w:tcW w:w="1108" w:type="dxa"/>
            <w:vAlign w:val="center"/>
          </w:tcPr>
          <w:p w14:paraId="6A3101AE" w14:textId="77777777" w:rsidR="00271E37" w:rsidRPr="00E01F6F" w:rsidRDefault="00271E37">
            <w:r w:rsidRPr="00E01F6F">
              <w:rPr>
                <w:rFonts w:cs="Arial"/>
                <w:szCs w:val="16"/>
              </w:rPr>
              <w:t>(787)</w:t>
            </w:r>
          </w:p>
        </w:tc>
        <w:tc>
          <w:tcPr>
            <w:tcW w:w="1108" w:type="dxa"/>
            <w:vAlign w:val="center"/>
          </w:tcPr>
          <w:p w14:paraId="751A616D" w14:textId="77777777" w:rsidR="00271E37" w:rsidRPr="00E01F6F" w:rsidRDefault="00271E37">
            <w:r w:rsidRPr="00E01F6F">
              <w:rPr>
                <w:rFonts w:cs="Arial"/>
                <w:szCs w:val="16"/>
              </w:rPr>
              <w:t xml:space="preserve"> - </w:t>
            </w:r>
          </w:p>
        </w:tc>
        <w:tc>
          <w:tcPr>
            <w:tcW w:w="1108" w:type="dxa"/>
            <w:vAlign w:val="center"/>
          </w:tcPr>
          <w:p w14:paraId="10188983" w14:textId="77777777" w:rsidR="00271E37" w:rsidRPr="00E01F6F" w:rsidRDefault="00271E37">
            <w:r w:rsidRPr="00E01F6F">
              <w:rPr>
                <w:rFonts w:cs="Arial"/>
                <w:szCs w:val="16"/>
              </w:rPr>
              <w:t xml:space="preserve"> - </w:t>
            </w:r>
          </w:p>
        </w:tc>
        <w:tc>
          <w:tcPr>
            <w:tcW w:w="1108" w:type="dxa"/>
            <w:vAlign w:val="center"/>
          </w:tcPr>
          <w:p w14:paraId="18602442" w14:textId="77777777" w:rsidR="00271E37" w:rsidRPr="00E01F6F" w:rsidRDefault="00271E37">
            <w:r w:rsidRPr="00E01F6F">
              <w:rPr>
                <w:rFonts w:cs="Arial"/>
                <w:szCs w:val="16"/>
              </w:rPr>
              <w:t xml:space="preserve"> - </w:t>
            </w:r>
          </w:p>
        </w:tc>
        <w:tc>
          <w:tcPr>
            <w:tcW w:w="1108" w:type="dxa"/>
            <w:vAlign w:val="center"/>
          </w:tcPr>
          <w:p w14:paraId="3B5BBE43" w14:textId="77777777" w:rsidR="00271E37" w:rsidRPr="00E01F6F" w:rsidRDefault="00271E37">
            <w:r w:rsidRPr="00E01F6F">
              <w:rPr>
                <w:rFonts w:cs="Arial"/>
                <w:szCs w:val="16"/>
              </w:rPr>
              <w:t>(787)</w:t>
            </w:r>
          </w:p>
        </w:tc>
      </w:tr>
      <w:tr w:rsidR="00271E37" w:rsidRPr="00427E01" w14:paraId="2E8D862C" w14:textId="77777777">
        <w:trPr>
          <w:trHeight w:val="235"/>
        </w:trPr>
        <w:tc>
          <w:tcPr>
            <w:tcW w:w="3878" w:type="dxa"/>
          </w:tcPr>
          <w:p w14:paraId="6CF8A182" w14:textId="77777777" w:rsidR="00271E37" w:rsidRPr="00427E01" w:rsidRDefault="00271E37">
            <w:pPr>
              <w:jc w:val="left"/>
            </w:pPr>
            <w:r w:rsidRPr="00427E01">
              <w:t>Depreciation charge</w:t>
            </w:r>
          </w:p>
        </w:tc>
        <w:tc>
          <w:tcPr>
            <w:tcW w:w="1108" w:type="dxa"/>
            <w:vAlign w:val="center"/>
          </w:tcPr>
          <w:p w14:paraId="1958D7C3" w14:textId="77777777" w:rsidR="00271E37" w:rsidRPr="00E01F6F" w:rsidRDefault="00271E37">
            <w:r w:rsidRPr="00E01F6F">
              <w:rPr>
                <w:rFonts w:cs="Arial"/>
                <w:szCs w:val="16"/>
              </w:rPr>
              <w:t>(11,523)</w:t>
            </w:r>
          </w:p>
        </w:tc>
        <w:tc>
          <w:tcPr>
            <w:tcW w:w="1108" w:type="dxa"/>
            <w:vAlign w:val="center"/>
          </w:tcPr>
          <w:p w14:paraId="005A1E19" w14:textId="77777777" w:rsidR="00271E37" w:rsidRPr="00E01F6F" w:rsidRDefault="00271E37">
            <w:r w:rsidRPr="00E01F6F">
              <w:rPr>
                <w:rFonts w:cs="Arial"/>
                <w:szCs w:val="16"/>
              </w:rPr>
              <w:t>(339)</w:t>
            </w:r>
          </w:p>
        </w:tc>
        <w:tc>
          <w:tcPr>
            <w:tcW w:w="1108" w:type="dxa"/>
            <w:vAlign w:val="center"/>
          </w:tcPr>
          <w:p w14:paraId="1C4158C9" w14:textId="77777777" w:rsidR="00271E37" w:rsidRPr="00E01F6F" w:rsidRDefault="00271E37">
            <w:r w:rsidRPr="00E01F6F">
              <w:rPr>
                <w:rFonts w:cs="Arial"/>
                <w:szCs w:val="16"/>
              </w:rPr>
              <w:t>(190)</w:t>
            </w:r>
          </w:p>
        </w:tc>
        <w:tc>
          <w:tcPr>
            <w:tcW w:w="1108" w:type="dxa"/>
            <w:vAlign w:val="center"/>
          </w:tcPr>
          <w:p w14:paraId="11F7D73D" w14:textId="77777777" w:rsidR="00271E37" w:rsidRPr="00E01F6F" w:rsidRDefault="00271E37">
            <w:r w:rsidRPr="00E01F6F">
              <w:rPr>
                <w:rFonts w:cs="Arial"/>
                <w:szCs w:val="16"/>
              </w:rPr>
              <w:t>(107)</w:t>
            </w:r>
          </w:p>
        </w:tc>
        <w:tc>
          <w:tcPr>
            <w:tcW w:w="1108" w:type="dxa"/>
            <w:vAlign w:val="center"/>
          </w:tcPr>
          <w:p w14:paraId="6C08F435" w14:textId="77777777" w:rsidR="00271E37" w:rsidRPr="00E01F6F" w:rsidRDefault="00271E37">
            <w:r w:rsidRPr="00E01F6F">
              <w:rPr>
                <w:rFonts w:cs="Arial"/>
                <w:szCs w:val="16"/>
              </w:rPr>
              <w:t>(12,159)</w:t>
            </w:r>
          </w:p>
        </w:tc>
      </w:tr>
      <w:tr w:rsidR="00271E37" w:rsidRPr="00427E01" w14:paraId="7EC37ED7" w14:textId="77777777">
        <w:trPr>
          <w:trHeight w:val="224"/>
        </w:trPr>
        <w:tc>
          <w:tcPr>
            <w:tcW w:w="3878" w:type="dxa"/>
          </w:tcPr>
          <w:p w14:paraId="066115A3" w14:textId="77777777" w:rsidR="00271E37" w:rsidRPr="00427E01" w:rsidRDefault="00271E37">
            <w:pPr>
              <w:jc w:val="left"/>
            </w:pPr>
            <w:r>
              <w:t>I</w:t>
            </w:r>
            <w:r w:rsidRPr="00427E01">
              <w:t>mpairment</w:t>
            </w:r>
          </w:p>
        </w:tc>
        <w:tc>
          <w:tcPr>
            <w:tcW w:w="1108" w:type="dxa"/>
            <w:vAlign w:val="center"/>
          </w:tcPr>
          <w:p w14:paraId="5587C4E9" w14:textId="77777777" w:rsidR="00271E37" w:rsidRPr="00E01F6F" w:rsidRDefault="00271E37">
            <w:r w:rsidRPr="00E01F6F">
              <w:rPr>
                <w:rFonts w:cs="Arial"/>
                <w:szCs w:val="16"/>
              </w:rPr>
              <w:t>(646)</w:t>
            </w:r>
          </w:p>
        </w:tc>
        <w:tc>
          <w:tcPr>
            <w:tcW w:w="1108" w:type="dxa"/>
            <w:vAlign w:val="center"/>
          </w:tcPr>
          <w:p w14:paraId="549A0F69" w14:textId="77777777" w:rsidR="00271E37" w:rsidRPr="00E01F6F" w:rsidRDefault="00271E37">
            <w:r w:rsidRPr="00E01F6F">
              <w:rPr>
                <w:rFonts w:cs="Arial"/>
                <w:szCs w:val="16"/>
              </w:rPr>
              <w:t xml:space="preserve"> - </w:t>
            </w:r>
          </w:p>
        </w:tc>
        <w:tc>
          <w:tcPr>
            <w:tcW w:w="1108" w:type="dxa"/>
            <w:vAlign w:val="center"/>
          </w:tcPr>
          <w:p w14:paraId="354E1725" w14:textId="77777777" w:rsidR="00271E37" w:rsidRPr="00E01F6F" w:rsidRDefault="00271E37">
            <w:r w:rsidRPr="00E01F6F">
              <w:rPr>
                <w:rFonts w:cs="Arial"/>
                <w:szCs w:val="16"/>
              </w:rPr>
              <w:t xml:space="preserve"> - </w:t>
            </w:r>
          </w:p>
        </w:tc>
        <w:tc>
          <w:tcPr>
            <w:tcW w:w="1108" w:type="dxa"/>
            <w:vAlign w:val="center"/>
          </w:tcPr>
          <w:p w14:paraId="0FDAC4C8" w14:textId="77777777" w:rsidR="00271E37" w:rsidRPr="00E01F6F" w:rsidRDefault="00271E37">
            <w:r w:rsidRPr="00E01F6F">
              <w:rPr>
                <w:rFonts w:cs="Arial"/>
                <w:szCs w:val="16"/>
              </w:rPr>
              <w:t xml:space="preserve"> - </w:t>
            </w:r>
          </w:p>
        </w:tc>
        <w:tc>
          <w:tcPr>
            <w:tcW w:w="1108" w:type="dxa"/>
            <w:vAlign w:val="center"/>
          </w:tcPr>
          <w:p w14:paraId="56BBD411" w14:textId="77777777" w:rsidR="00271E37" w:rsidRPr="00E01F6F" w:rsidRDefault="00271E37">
            <w:r w:rsidRPr="00E01F6F">
              <w:rPr>
                <w:rFonts w:cs="Arial"/>
                <w:szCs w:val="16"/>
              </w:rPr>
              <w:t>(646)</w:t>
            </w:r>
          </w:p>
        </w:tc>
      </w:tr>
      <w:tr w:rsidR="00271E37" w:rsidRPr="00427E01" w14:paraId="36B4E46F" w14:textId="77777777">
        <w:trPr>
          <w:trHeight w:val="224"/>
        </w:trPr>
        <w:tc>
          <w:tcPr>
            <w:tcW w:w="3878" w:type="dxa"/>
            <w:tcBorders>
              <w:bottom w:val="single" w:sz="4" w:space="0" w:color="000000"/>
            </w:tcBorders>
          </w:tcPr>
          <w:p w14:paraId="2CE6092D" w14:textId="77777777" w:rsidR="00271E37" w:rsidRPr="00427E01" w:rsidRDefault="00271E37">
            <w:pPr>
              <w:jc w:val="left"/>
            </w:pPr>
            <w:r w:rsidRPr="00427E01">
              <w:t>Effect of movements in foreign exchange</w:t>
            </w:r>
          </w:p>
        </w:tc>
        <w:tc>
          <w:tcPr>
            <w:tcW w:w="1108" w:type="dxa"/>
            <w:tcBorders>
              <w:bottom w:val="single" w:sz="4" w:space="0" w:color="000000"/>
            </w:tcBorders>
            <w:vAlign w:val="center"/>
          </w:tcPr>
          <w:p w14:paraId="0FFABB9F" w14:textId="77777777" w:rsidR="00271E37" w:rsidRPr="00E01F6F" w:rsidRDefault="00271E37">
            <w:r w:rsidRPr="00E01F6F">
              <w:rPr>
                <w:rFonts w:cs="Arial"/>
                <w:szCs w:val="16"/>
              </w:rPr>
              <w:t>(1,241)</w:t>
            </w:r>
          </w:p>
        </w:tc>
        <w:tc>
          <w:tcPr>
            <w:tcW w:w="1108" w:type="dxa"/>
            <w:tcBorders>
              <w:bottom w:val="single" w:sz="4" w:space="0" w:color="000000"/>
            </w:tcBorders>
            <w:vAlign w:val="center"/>
          </w:tcPr>
          <w:p w14:paraId="20FC860D" w14:textId="77777777" w:rsidR="00271E37" w:rsidRPr="00E01F6F" w:rsidRDefault="00271E37">
            <w:r w:rsidRPr="00E01F6F">
              <w:rPr>
                <w:rFonts w:cs="Arial"/>
                <w:szCs w:val="16"/>
              </w:rPr>
              <w:t>(12)</w:t>
            </w:r>
          </w:p>
        </w:tc>
        <w:tc>
          <w:tcPr>
            <w:tcW w:w="1108" w:type="dxa"/>
            <w:tcBorders>
              <w:bottom w:val="single" w:sz="4" w:space="0" w:color="000000"/>
            </w:tcBorders>
            <w:vAlign w:val="center"/>
          </w:tcPr>
          <w:p w14:paraId="12AF588C" w14:textId="77777777" w:rsidR="00271E37" w:rsidRPr="00E01F6F" w:rsidRDefault="00271E37">
            <w:r w:rsidRPr="00E01F6F">
              <w:rPr>
                <w:rFonts w:cs="Arial"/>
                <w:szCs w:val="16"/>
              </w:rPr>
              <w:t>(4)</w:t>
            </w:r>
          </w:p>
        </w:tc>
        <w:tc>
          <w:tcPr>
            <w:tcW w:w="1108" w:type="dxa"/>
            <w:tcBorders>
              <w:bottom w:val="single" w:sz="4" w:space="0" w:color="000000"/>
            </w:tcBorders>
            <w:vAlign w:val="center"/>
          </w:tcPr>
          <w:p w14:paraId="6BE4B2B2" w14:textId="77777777" w:rsidR="00271E37" w:rsidRPr="00E01F6F" w:rsidRDefault="00271E37">
            <w:r w:rsidRPr="00E01F6F">
              <w:rPr>
                <w:rFonts w:cs="Arial"/>
                <w:szCs w:val="16"/>
              </w:rPr>
              <w:t>(30)</w:t>
            </w:r>
          </w:p>
        </w:tc>
        <w:tc>
          <w:tcPr>
            <w:tcW w:w="1108" w:type="dxa"/>
            <w:tcBorders>
              <w:bottom w:val="single" w:sz="4" w:space="0" w:color="000000"/>
            </w:tcBorders>
            <w:vAlign w:val="center"/>
          </w:tcPr>
          <w:p w14:paraId="3FA84D93" w14:textId="77777777" w:rsidR="00271E37" w:rsidRPr="00E01F6F" w:rsidRDefault="00271E37">
            <w:r w:rsidRPr="00E01F6F">
              <w:rPr>
                <w:rFonts w:cs="Arial"/>
                <w:szCs w:val="16"/>
              </w:rPr>
              <w:t>(1,287)</w:t>
            </w:r>
          </w:p>
        </w:tc>
      </w:tr>
      <w:tr w:rsidR="00271E37" w:rsidRPr="00427E01" w14:paraId="13731409" w14:textId="77777777">
        <w:trPr>
          <w:trHeight w:val="224"/>
        </w:trPr>
        <w:tc>
          <w:tcPr>
            <w:tcW w:w="3878" w:type="dxa"/>
            <w:tcBorders>
              <w:top w:val="single" w:sz="4" w:space="0" w:color="000000"/>
            </w:tcBorders>
          </w:tcPr>
          <w:p w14:paraId="54AC3C9B" w14:textId="77777777" w:rsidR="00271E37" w:rsidRPr="00427E01" w:rsidRDefault="00271E37">
            <w:pPr>
              <w:jc w:val="left"/>
            </w:pPr>
            <w:r w:rsidRPr="00427E01">
              <w:t>Net book value at 31 March 202</w:t>
            </w:r>
            <w:r>
              <w:t>5</w:t>
            </w:r>
          </w:p>
        </w:tc>
        <w:tc>
          <w:tcPr>
            <w:tcW w:w="1108" w:type="dxa"/>
            <w:tcBorders>
              <w:top w:val="single" w:sz="4" w:space="0" w:color="000000"/>
            </w:tcBorders>
            <w:vAlign w:val="center"/>
          </w:tcPr>
          <w:p w14:paraId="6E9DEEAE" w14:textId="77777777" w:rsidR="00271E37" w:rsidRPr="00E01F6F" w:rsidRDefault="00271E37">
            <w:r w:rsidRPr="00E01F6F">
              <w:rPr>
                <w:rFonts w:cs="Arial"/>
                <w:b/>
                <w:bCs/>
                <w:szCs w:val="16"/>
              </w:rPr>
              <w:t xml:space="preserve">48,800 </w:t>
            </w:r>
          </w:p>
        </w:tc>
        <w:tc>
          <w:tcPr>
            <w:tcW w:w="1108" w:type="dxa"/>
            <w:tcBorders>
              <w:top w:val="single" w:sz="4" w:space="0" w:color="000000"/>
            </w:tcBorders>
            <w:vAlign w:val="center"/>
          </w:tcPr>
          <w:p w14:paraId="3BDA8A63" w14:textId="77777777" w:rsidR="00271E37" w:rsidRPr="00E01F6F" w:rsidRDefault="00271E37">
            <w:r w:rsidRPr="00E01F6F">
              <w:rPr>
                <w:rFonts w:cs="Arial"/>
                <w:b/>
                <w:bCs/>
                <w:szCs w:val="16"/>
              </w:rPr>
              <w:t xml:space="preserve">914 </w:t>
            </w:r>
          </w:p>
        </w:tc>
        <w:tc>
          <w:tcPr>
            <w:tcW w:w="1108" w:type="dxa"/>
            <w:tcBorders>
              <w:top w:val="single" w:sz="4" w:space="0" w:color="000000"/>
            </w:tcBorders>
            <w:vAlign w:val="center"/>
          </w:tcPr>
          <w:p w14:paraId="49FBD780" w14:textId="77777777" w:rsidR="00271E37" w:rsidRPr="00E01F6F" w:rsidRDefault="00271E37">
            <w:r w:rsidRPr="00E01F6F">
              <w:rPr>
                <w:rFonts w:cs="Arial"/>
                <w:b/>
                <w:bCs/>
                <w:szCs w:val="16"/>
              </w:rPr>
              <w:t xml:space="preserve">440 </w:t>
            </w:r>
          </w:p>
        </w:tc>
        <w:tc>
          <w:tcPr>
            <w:tcW w:w="1108" w:type="dxa"/>
            <w:tcBorders>
              <w:top w:val="single" w:sz="4" w:space="0" w:color="000000"/>
            </w:tcBorders>
            <w:vAlign w:val="center"/>
          </w:tcPr>
          <w:p w14:paraId="5D8713AD" w14:textId="77777777" w:rsidR="00271E37" w:rsidRPr="00E01F6F" w:rsidRDefault="00271E37">
            <w:r w:rsidRPr="00E01F6F">
              <w:rPr>
                <w:rFonts w:cs="Arial"/>
                <w:b/>
                <w:bCs/>
                <w:szCs w:val="16"/>
              </w:rPr>
              <w:t xml:space="preserve">75 </w:t>
            </w:r>
          </w:p>
        </w:tc>
        <w:tc>
          <w:tcPr>
            <w:tcW w:w="1108" w:type="dxa"/>
            <w:tcBorders>
              <w:top w:val="single" w:sz="4" w:space="0" w:color="000000"/>
            </w:tcBorders>
            <w:vAlign w:val="center"/>
          </w:tcPr>
          <w:p w14:paraId="220ACD4F" w14:textId="77777777" w:rsidR="00271E37" w:rsidRPr="00E01F6F" w:rsidRDefault="00271E37">
            <w:r w:rsidRPr="00E01F6F">
              <w:rPr>
                <w:rFonts w:cs="Arial"/>
                <w:b/>
                <w:bCs/>
                <w:szCs w:val="16"/>
              </w:rPr>
              <w:t xml:space="preserve">50,229 </w:t>
            </w:r>
          </w:p>
        </w:tc>
      </w:tr>
      <w:tr w:rsidR="00271E37" w:rsidRPr="00427E01" w14:paraId="34A14ECC" w14:textId="77777777">
        <w:trPr>
          <w:trHeight w:val="224"/>
        </w:trPr>
        <w:tc>
          <w:tcPr>
            <w:tcW w:w="3878" w:type="dxa"/>
          </w:tcPr>
          <w:p w14:paraId="40D469EC" w14:textId="77777777" w:rsidR="00271E37" w:rsidRPr="00427E01" w:rsidRDefault="00271E37">
            <w:pPr>
              <w:jc w:val="left"/>
            </w:pPr>
            <w:r w:rsidRPr="00427E01">
              <w:t>Additions</w:t>
            </w:r>
          </w:p>
        </w:tc>
        <w:tc>
          <w:tcPr>
            <w:tcW w:w="1108" w:type="dxa"/>
            <w:vAlign w:val="center"/>
          </w:tcPr>
          <w:p w14:paraId="2FF0559B" w14:textId="77777777" w:rsidR="00271E37" w:rsidRPr="00E01F6F" w:rsidRDefault="00271E37">
            <w:pPr>
              <w:rPr>
                <w:b/>
                <w:bCs/>
              </w:rPr>
            </w:pPr>
            <w:r w:rsidRPr="00E01F6F">
              <w:rPr>
                <w:rFonts w:cs="Arial"/>
                <w:szCs w:val="16"/>
              </w:rPr>
              <w:t xml:space="preserve">3,734 </w:t>
            </w:r>
          </w:p>
        </w:tc>
        <w:tc>
          <w:tcPr>
            <w:tcW w:w="1108" w:type="dxa"/>
            <w:vAlign w:val="center"/>
          </w:tcPr>
          <w:p w14:paraId="3210F11A" w14:textId="77777777" w:rsidR="00271E37" w:rsidRPr="00E01F6F" w:rsidRDefault="00271E37">
            <w:pPr>
              <w:rPr>
                <w:b/>
                <w:bCs/>
              </w:rPr>
            </w:pPr>
            <w:r w:rsidRPr="00E01F6F">
              <w:rPr>
                <w:rFonts w:cs="Arial"/>
                <w:szCs w:val="16"/>
              </w:rPr>
              <w:t xml:space="preserve">328 </w:t>
            </w:r>
          </w:p>
        </w:tc>
        <w:tc>
          <w:tcPr>
            <w:tcW w:w="1108" w:type="dxa"/>
            <w:vAlign w:val="center"/>
          </w:tcPr>
          <w:p w14:paraId="4EFE4B76" w14:textId="77777777" w:rsidR="00271E37" w:rsidRPr="00E01F6F" w:rsidRDefault="00271E37">
            <w:pPr>
              <w:rPr>
                <w:b/>
                <w:bCs/>
              </w:rPr>
            </w:pPr>
            <w:r w:rsidRPr="00E01F6F">
              <w:rPr>
                <w:rFonts w:cs="Arial"/>
                <w:szCs w:val="16"/>
              </w:rPr>
              <w:t xml:space="preserve">345 </w:t>
            </w:r>
          </w:p>
        </w:tc>
        <w:tc>
          <w:tcPr>
            <w:tcW w:w="1108" w:type="dxa"/>
            <w:vAlign w:val="center"/>
          </w:tcPr>
          <w:p w14:paraId="0CA1BF9E" w14:textId="77777777" w:rsidR="00271E37" w:rsidRPr="00E01F6F" w:rsidRDefault="00271E37">
            <w:pPr>
              <w:rPr>
                <w:b/>
                <w:bCs/>
              </w:rPr>
            </w:pPr>
            <w:r w:rsidRPr="00E01F6F">
              <w:rPr>
                <w:rFonts w:cs="Arial"/>
                <w:szCs w:val="16"/>
              </w:rPr>
              <w:t xml:space="preserve">274 </w:t>
            </w:r>
          </w:p>
        </w:tc>
        <w:tc>
          <w:tcPr>
            <w:tcW w:w="1108" w:type="dxa"/>
            <w:vAlign w:val="center"/>
          </w:tcPr>
          <w:p w14:paraId="3440CA65" w14:textId="77777777" w:rsidR="00271E37" w:rsidRPr="00E01F6F" w:rsidRDefault="00271E37">
            <w:pPr>
              <w:rPr>
                <w:b/>
                <w:bCs/>
              </w:rPr>
            </w:pPr>
            <w:r w:rsidRPr="00E01F6F">
              <w:rPr>
                <w:rFonts w:cs="Arial"/>
                <w:szCs w:val="16"/>
              </w:rPr>
              <w:t xml:space="preserve">4,681 </w:t>
            </w:r>
          </w:p>
        </w:tc>
      </w:tr>
      <w:tr w:rsidR="00271E37" w:rsidRPr="00427E01" w14:paraId="707D0CC8" w14:textId="77777777">
        <w:trPr>
          <w:trHeight w:val="224"/>
        </w:trPr>
        <w:tc>
          <w:tcPr>
            <w:tcW w:w="3878" w:type="dxa"/>
            <w:vAlign w:val="bottom"/>
          </w:tcPr>
          <w:p w14:paraId="2B58B43D" w14:textId="77777777" w:rsidR="00271E37" w:rsidRPr="00427E01" w:rsidRDefault="00271E37">
            <w:pPr>
              <w:jc w:val="left"/>
            </w:pPr>
            <w:r w:rsidRPr="006448A5">
              <w:t>Derecognition on disposal of division</w:t>
            </w:r>
          </w:p>
        </w:tc>
        <w:tc>
          <w:tcPr>
            <w:tcW w:w="1108" w:type="dxa"/>
            <w:vAlign w:val="center"/>
          </w:tcPr>
          <w:p w14:paraId="0507509F" w14:textId="77777777" w:rsidR="00271E37" w:rsidRPr="00E01F6F" w:rsidRDefault="00271E37">
            <w:pPr>
              <w:rPr>
                <w:b/>
                <w:bCs/>
              </w:rPr>
            </w:pPr>
            <w:r w:rsidRPr="00E01F6F">
              <w:rPr>
                <w:rFonts w:cs="Arial"/>
                <w:szCs w:val="16"/>
              </w:rPr>
              <w:t>(19,590)</w:t>
            </w:r>
          </w:p>
        </w:tc>
        <w:tc>
          <w:tcPr>
            <w:tcW w:w="1108" w:type="dxa"/>
            <w:vAlign w:val="center"/>
          </w:tcPr>
          <w:p w14:paraId="04AC89AE" w14:textId="77777777" w:rsidR="00271E37" w:rsidRPr="00E01F6F" w:rsidRDefault="00271E37">
            <w:pPr>
              <w:rPr>
                <w:b/>
                <w:bCs/>
              </w:rPr>
            </w:pPr>
            <w:r w:rsidRPr="00E01F6F">
              <w:rPr>
                <w:rFonts w:cs="Arial"/>
                <w:szCs w:val="16"/>
              </w:rPr>
              <w:t>(477)</w:t>
            </w:r>
          </w:p>
        </w:tc>
        <w:tc>
          <w:tcPr>
            <w:tcW w:w="1108" w:type="dxa"/>
            <w:vAlign w:val="center"/>
          </w:tcPr>
          <w:p w14:paraId="6A2A883D" w14:textId="77777777" w:rsidR="00271E37" w:rsidRPr="00E01F6F" w:rsidRDefault="00271E37">
            <w:pPr>
              <w:rPr>
                <w:b/>
                <w:bCs/>
              </w:rPr>
            </w:pPr>
            <w:r w:rsidRPr="00E01F6F">
              <w:rPr>
                <w:rFonts w:cs="Arial"/>
                <w:szCs w:val="16"/>
              </w:rPr>
              <w:t>(1)</w:t>
            </w:r>
          </w:p>
        </w:tc>
        <w:tc>
          <w:tcPr>
            <w:tcW w:w="1108" w:type="dxa"/>
            <w:vAlign w:val="center"/>
          </w:tcPr>
          <w:p w14:paraId="7CB9768E" w14:textId="77777777" w:rsidR="00271E37" w:rsidRPr="00E01F6F" w:rsidRDefault="00271E37">
            <w:pPr>
              <w:rPr>
                <w:b/>
                <w:bCs/>
              </w:rPr>
            </w:pPr>
            <w:r w:rsidRPr="00E01F6F">
              <w:rPr>
                <w:rFonts w:cs="Arial"/>
                <w:szCs w:val="16"/>
              </w:rPr>
              <w:t>(29)</w:t>
            </w:r>
          </w:p>
        </w:tc>
        <w:tc>
          <w:tcPr>
            <w:tcW w:w="1108" w:type="dxa"/>
            <w:vAlign w:val="center"/>
          </w:tcPr>
          <w:p w14:paraId="72062317" w14:textId="77777777" w:rsidR="00271E37" w:rsidRPr="00E01F6F" w:rsidRDefault="00271E37">
            <w:pPr>
              <w:rPr>
                <w:b/>
                <w:bCs/>
              </w:rPr>
            </w:pPr>
            <w:r w:rsidRPr="00E01F6F">
              <w:rPr>
                <w:rFonts w:cs="Arial"/>
                <w:szCs w:val="16"/>
              </w:rPr>
              <w:t>(20,097)</w:t>
            </w:r>
          </w:p>
        </w:tc>
      </w:tr>
      <w:tr w:rsidR="00271E37" w:rsidRPr="00427E01" w14:paraId="1517F822" w14:textId="77777777">
        <w:trPr>
          <w:trHeight w:val="224"/>
        </w:trPr>
        <w:tc>
          <w:tcPr>
            <w:tcW w:w="3878" w:type="dxa"/>
          </w:tcPr>
          <w:p w14:paraId="0860565C" w14:textId="77777777" w:rsidR="00271E37" w:rsidRPr="00427E01" w:rsidRDefault="00271E37">
            <w:pPr>
              <w:jc w:val="left"/>
            </w:pPr>
            <w:r w:rsidRPr="00427E01">
              <w:t>Disposals</w:t>
            </w:r>
          </w:p>
        </w:tc>
        <w:tc>
          <w:tcPr>
            <w:tcW w:w="1108" w:type="dxa"/>
            <w:vAlign w:val="center"/>
          </w:tcPr>
          <w:p w14:paraId="72DDCB14" w14:textId="77777777" w:rsidR="00271E37" w:rsidRPr="00E01F6F" w:rsidRDefault="00271E37">
            <w:pPr>
              <w:rPr>
                <w:b/>
                <w:bCs/>
              </w:rPr>
            </w:pPr>
            <w:r w:rsidRPr="00E01F6F">
              <w:rPr>
                <w:rFonts w:cs="Arial"/>
                <w:szCs w:val="16"/>
              </w:rPr>
              <w:t xml:space="preserve"> - </w:t>
            </w:r>
          </w:p>
        </w:tc>
        <w:tc>
          <w:tcPr>
            <w:tcW w:w="1108" w:type="dxa"/>
            <w:vAlign w:val="center"/>
          </w:tcPr>
          <w:p w14:paraId="41C4BF4B" w14:textId="77777777" w:rsidR="00271E37" w:rsidRPr="00E01F6F" w:rsidRDefault="00271E37">
            <w:pPr>
              <w:rPr>
                <w:b/>
                <w:bCs/>
              </w:rPr>
            </w:pPr>
            <w:r w:rsidRPr="00E01F6F">
              <w:rPr>
                <w:rFonts w:cs="Arial"/>
                <w:szCs w:val="16"/>
              </w:rPr>
              <w:t xml:space="preserve"> - </w:t>
            </w:r>
          </w:p>
        </w:tc>
        <w:tc>
          <w:tcPr>
            <w:tcW w:w="1108" w:type="dxa"/>
            <w:vAlign w:val="center"/>
          </w:tcPr>
          <w:p w14:paraId="33EB71FE" w14:textId="77777777" w:rsidR="00271E37" w:rsidRPr="00E01F6F" w:rsidRDefault="00271E37">
            <w:pPr>
              <w:rPr>
                <w:b/>
                <w:bCs/>
              </w:rPr>
            </w:pPr>
            <w:r w:rsidRPr="00E01F6F">
              <w:rPr>
                <w:rFonts w:cs="Arial"/>
                <w:szCs w:val="16"/>
              </w:rPr>
              <w:t>(8)</w:t>
            </w:r>
          </w:p>
        </w:tc>
        <w:tc>
          <w:tcPr>
            <w:tcW w:w="1108" w:type="dxa"/>
            <w:vAlign w:val="center"/>
          </w:tcPr>
          <w:p w14:paraId="6A80FDA1" w14:textId="77777777" w:rsidR="00271E37" w:rsidRPr="00E01F6F" w:rsidRDefault="00271E37">
            <w:pPr>
              <w:rPr>
                <w:b/>
                <w:bCs/>
              </w:rPr>
            </w:pPr>
            <w:r w:rsidRPr="00E01F6F">
              <w:rPr>
                <w:rFonts w:cs="Arial"/>
                <w:szCs w:val="16"/>
              </w:rPr>
              <w:t>(16)</w:t>
            </w:r>
          </w:p>
        </w:tc>
        <w:tc>
          <w:tcPr>
            <w:tcW w:w="1108" w:type="dxa"/>
            <w:vAlign w:val="center"/>
          </w:tcPr>
          <w:p w14:paraId="718EF9F4" w14:textId="77777777" w:rsidR="00271E37" w:rsidRPr="00E01F6F" w:rsidRDefault="00271E37">
            <w:pPr>
              <w:rPr>
                <w:b/>
                <w:bCs/>
              </w:rPr>
            </w:pPr>
            <w:r w:rsidRPr="00E01F6F">
              <w:rPr>
                <w:rFonts w:cs="Arial"/>
                <w:szCs w:val="16"/>
              </w:rPr>
              <w:t>(24)</w:t>
            </w:r>
          </w:p>
        </w:tc>
      </w:tr>
      <w:tr w:rsidR="00271E37" w:rsidRPr="00427E01" w14:paraId="5A81B332" w14:textId="77777777">
        <w:trPr>
          <w:trHeight w:val="224"/>
        </w:trPr>
        <w:tc>
          <w:tcPr>
            <w:tcW w:w="3878" w:type="dxa"/>
          </w:tcPr>
          <w:p w14:paraId="5396F8CE" w14:textId="77777777" w:rsidR="00271E37" w:rsidRPr="00427E01" w:rsidRDefault="00271E37">
            <w:pPr>
              <w:jc w:val="left"/>
            </w:pPr>
            <w:r w:rsidRPr="00427E01">
              <w:t>Depreciation charge</w:t>
            </w:r>
          </w:p>
        </w:tc>
        <w:tc>
          <w:tcPr>
            <w:tcW w:w="1108" w:type="dxa"/>
            <w:vAlign w:val="center"/>
          </w:tcPr>
          <w:p w14:paraId="61D3E979" w14:textId="77777777" w:rsidR="00271E37" w:rsidRPr="00E01F6F" w:rsidRDefault="00271E37">
            <w:pPr>
              <w:rPr>
                <w:b/>
                <w:bCs/>
              </w:rPr>
            </w:pPr>
            <w:r w:rsidRPr="00E01F6F">
              <w:rPr>
                <w:rFonts w:cs="Arial"/>
                <w:szCs w:val="16"/>
              </w:rPr>
              <w:t>(4,460)</w:t>
            </w:r>
          </w:p>
        </w:tc>
        <w:tc>
          <w:tcPr>
            <w:tcW w:w="1108" w:type="dxa"/>
            <w:vAlign w:val="center"/>
          </w:tcPr>
          <w:p w14:paraId="19B0C3B7" w14:textId="77777777" w:rsidR="00271E37" w:rsidRPr="00E01F6F" w:rsidRDefault="00271E37">
            <w:pPr>
              <w:rPr>
                <w:b/>
                <w:bCs/>
              </w:rPr>
            </w:pPr>
            <w:r w:rsidRPr="00E01F6F">
              <w:rPr>
                <w:rFonts w:cs="Arial"/>
                <w:szCs w:val="16"/>
              </w:rPr>
              <w:t>(217)</w:t>
            </w:r>
          </w:p>
        </w:tc>
        <w:tc>
          <w:tcPr>
            <w:tcW w:w="1108" w:type="dxa"/>
            <w:vAlign w:val="center"/>
          </w:tcPr>
          <w:p w14:paraId="2D510784" w14:textId="77777777" w:rsidR="00271E37" w:rsidRPr="00E01F6F" w:rsidRDefault="00271E37">
            <w:pPr>
              <w:rPr>
                <w:b/>
                <w:bCs/>
              </w:rPr>
            </w:pPr>
            <w:r w:rsidRPr="00E01F6F">
              <w:rPr>
                <w:rFonts w:cs="Arial"/>
                <w:szCs w:val="16"/>
              </w:rPr>
              <w:t>(246)</w:t>
            </w:r>
          </w:p>
        </w:tc>
        <w:tc>
          <w:tcPr>
            <w:tcW w:w="1108" w:type="dxa"/>
            <w:vAlign w:val="center"/>
          </w:tcPr>
          <w:p w14:paraId="189A2A19" w14:textId="77777777" w:rsidR="00271E37" w:rsidRPr="00E01F6F" w:rsidRDefault="00271E37">
            <w:pPr>
              <w:rPr>
                <w:b/>
                <w:bCs/>
              </w:rPr>
            </w:pPr>
            <w:r w:rsidRPr="00E01F6F">
              <w:rPr>
                <w:rFonts w:cs="Arial"/>
                <w:szCs w:val="16"/>
              </w:rPr>
              <w:t>(59)</w:t>
            </w:r>
          </w:p>
        </w:tc>
        <w:tc>
          <w:tcPr>
            <w:tcW w:w="1108" w:type="dxa"/>
            <w:vAlign w:val="center"/>
          </w:tcPr>
          <w:p w14:paraId="6D4DBE12" w14:textId="77777777" w:rsidR="00271E37" w:rsidRPr="00E01F6F" w:rsidRDefault="00271E37">
            <w:pPr>
              <w:rPr>
                <w:b/>
                <w:bCs/>
              </w:rPr>
            </w:pPr>
            <w:r w:rsidRPr="00E01F6F">
              <w:rPr>
                <w:rFonts w:cs="Arial"/>
                <w:szCs w:val="16"/>
              </w:rPr>
              <w:t>(4,982)</w:t>
            </w:r>
          </w:p>
        </w:tc>
      </w:tr>
      <w:tr w:rsidR="00271E37" w:rsidRPr="00427E01" w14:paraId="6423BAD6" w14:textId="77777777">
        <w:trPr>
          <w:trHeight w:val="224"/>
        </w:trPr>
        <w:tc>
          <w:tcPr>
            <w:tcW w:w="3878" w:type="dxa"/>
            <w:tcBorders>
              <w:bottom w:val="single" w:sz="4" w:space="0" w:color="000000"/>
            </w:tcBorders>
          </w:tcPr>
          <w:p w14:paraId="3CC46C57" w14:textId="77777777" w:rsidR="00271E37" w:rsidRPr="00427E01" w:rsidRDefault="00271E37">
            <w:pPr>
              <w:jc w:val="left"/>
            </w:pPr>
            <w:r w:rsidRPr="00427E01">
              <w:t>Effect of movements in foreign exchange</w:t>
            </w:r>
          </w:p>
        </w:tc>
        <w:tc>
          <w:tcPr>
            <w:tcW w:w="1108" w:type="dxa"/>
            <w:tcBorders>
              <w:bottom w:val="single" w:sz="4" w:space="0" w:color="000000"/>
            </w:tcBorders>
            <w:vAlign w:val="center"/>
          </w:tcPr>
          <w:p w14:paraId="567D2404" w14:textId="77777777" w:rsidR="00271E37" w:rsidRPr="00E01F6F" w:rsidRDefault="00271E37">
            <w:pPr>
              <w:rPr>
                <w:b/>
                <w:bCs/>
              </w:rPr>
            </w:pPr>
            <w:r w:rsidRPr="00E01F6F">
              <w:rPr>
                <w:rFonts w:cs="Arial"/>
                <w:szCs w:val="16"/>
              </w:rPr>
              <w:t xml:space="preserve">224 </w:t>
            </w:r>
          </w:p>
        </w:tc>
        <w:tc>
          <w:tcPr>
            <w:tcW w:w="1108" w:type="dxa"/>
            <w:tcBorders>
              <w:bottom w:val="single" w:sz="4" w:space="0" w:color="000000"/>
            </w:tcBorders>
            <w:vAlign w:val="center"/>
          </w:tcPr>
          <w:p w14:paraId="19DB8233" w14:textId="77777777" w:rsidR="00271E37" w:rsidRPr="00E01F6F" w:rsidRDefault="00271E37">
            <w:pPr>
              <w:rPr>
                <w:b/>
                <w:bCs/>
              </w:rPr>
            </w:pPr>
            <w:r w:rsidRPr="00E01F6F">
              <w:rPr>
                <w:rFonts w:cs="Arial"/>
                <w:szCs w:val="16"/>
              </w:rPr>
              <w:t>(15)</w:t>
            </w:r>
          </w:p>
        </w:tc>
        <w:tc>
          <w:tcPr>
            <w:tcW w:w="1108" w:type="dxa"/>
            <w:tcBorders>
              <w:bottom w:val="single" w:sz="4" w:space="0" w:color="000000"/>
            </w:tcBorders>
            <w:vAlign w:val="center"/>
          </w:tcPr>
          <w:p w14:paraId="151EA2B7" w14:textId="77777777" w:rsidR="00271E37" w:rsidRPr="00E01F6F" w:rsidRDefault="00271E37">
            <w:pPr>
              <w:rPr>
                <w:b/>
                <w:bCs/>
              </w:rPr>
            </w:pPr>
            <w:r w:rsidRPr="00E01F6F">
              <w:rPr>
                <w:rFonts w:cs="Arial"/>
                <w:szCs w:val="16"/>
              </w:rPr>
              <w:t xml:space="preserve">6 </w:t>
            </w:r>
          </w:p>
        </w:tc>
        <w:tc>
          <w:tcPr>
            <w:tcW w:w="1108" w:type="dxa"/>
            <w:tcBorders>
              <w:bottom w:val="single" w:sz="4" w:space="0" w:color="000000"/>
            </w:tcBorders>
            <w:vAlign w:val="center"/>
          </w:tcPr>
          <w:p w14:paraId="53550532" w14:textId="77777777" w:rsidR="00271E37" w:rsidRPr="00E01F6F" w:rsidRDefault="00271E37">
            <w:pPr>
              <w:rPr>
                <w:b/>
                <w:bCs/>
              </w:rPr>
            </w:pPr>
            <w:r w:rsidRPr="00E01F6F">
              <w:rPr>
                <w:rFonts w:cs="Arial"/>
                <w:szCs w:val="16"/>
              </w:rPr>
              <w:t xml:space="preserve">5 </w:t>
            </w:r>
          </w:p>
        </w:tc>
        <w:tc>
          <w:tcPr>
            <w:tcW w:w="1108" w:type="dxa"/>
            <w:tcBorders>
              <w:bottom w:val="single" w:sz="4" w:space="0" w:color="000000"/>
            </w:tcBorders>
            <w:vAlign w:val="center"/>
          </w:tcPr>
          <w:p w14:paraId="7FB52A46" w14:textId="77777777" w:rsidR="00271E37" w:rsidRPr="00E01F6F" w:rsidRDefault="00271E37">
            <w:pPr>
              <w:rPr>
                <w:b/>
                <w:bCs/>
              </w:rPr>
            </w:pPr>
            <w:r w:rsidRPr="00E01F6F">
              <w:rPr>
                <w:rFonts w:cs="Arial"/>
                <w:szCs w:val="16"/>
              </w:rPr>
              <w:t xml:space="preserve">220 </w:t>
            </w:r>
          </w:p>
        </w:tc>
      </w:tr>
      <w:tr w:rsidR="00271E37" w:rsidRPr="00427E01" w14:paraId="1677B8FA" w14:textId="77777777">
        <w:trPr>
          <w:trHeight w:val="224"/>
        </w:trPr>
        <w:tc>
          <w:tcPr>
            <w:tcW w:w="3878" w:type="dxa"/>
            <w:tcBorders>
              <w:top w:val="single" w:sz="4" w:space="0" w:color="000000"/>
            </w:tcBorders>
          </w:tcPr>
          <w:p w14:paraId="49C383E0" w14:textId="77777777" w:rsidR="00271E37" w:rsidRPr="00427E01" w:rsidRDefault="00271E37">
            <w:pPr>
              <w:jc w:val="left"/>
              <w:rPr>
                <w:b/>
                <w:bCs/>
              </w:rPr>
            </w:pPr>
            <w:r w:rsidRPr="00427E01">
              <w:rPr>
                <w:b/>
                <w:bCs/>
              </w:rPr>
              <w:t>Net book value at 31 March 202</w:t>
            </w:r>
            <w:r>
              <w:rPr>
                <w:b/>
                <w:bCs/>
              </w:rPr>
              <w:t>6</w:t>
            </w:r>
          </w:p>
        </w:tc>
        <w:tc>
          <w:tcPr>
            <w:tcW w:w="1108" w:type="dxa"/>
            <w:tcBorders>
              <w:top w:val="single" w:sz="4" w:space="0" w:color="000000"/>
            </w:tcBorders>
            <w:vAlign w:val="center"/>
          </w:tcPr>
          <w:p w14:paraId="6CA703EF" w14:textId="77777777" w:rsidR="00271E37" w:rsidRPr="00E01F6F" w:rsidRDefault="00271E37">
            <w:pPr>
              <w:rPr>
                <w:b/>
                <w:bCs/>
              </w:rPr>
            </w:pPr>
            <w:r w:rsidRPr="00E01F6F">
              <w:rPr>
                <w:rFonts w:cs="Arial"/>
                <w:b/>
                <w:bCs/>
                <w:szCs w:val="16"/>
              </w:rPr>
              <w:t xml:space="preserve">28,708 </w:t>
            </w:r>
          </w:p>
        </w:tc>
        <w:tc>
          <w:tcPr>
            <w:tcW w:w="1108" w:type="dxa"/>
            <w:tcBorders>
              <w:top w:val="single" w:sz="4" w:space="0" w:color="000000"/>
            </w:tcBorders>
            <w:vAlign w:val="center"/>
          </w:tcPr>
          <w:p w14:paraId="5E4EE6AD" w14:textId="77777777" w:rsidR="00271E37" w:rsidRPr="00E01F6F" w:rsidRDefault="00271E37">
            <w:pPr>
              <w:rPr>
                <w:b/>
                <w:bCs/>
              </w:rPr>
            </w:pPr>
            <w:r w:rsidRPr="00E01F6F">
              <w:rPr>
                <w:rFonts w:cs="Arial"/>
                <w:b/>
                <w:bCs/>
                <w:szCs w:val="16"/>
              </w:rPr>
              <w:t xml:space="preserve">533 </w:t>
            </w:r>
          </w:p>
        </w:tc>
        <w:tc>
          <w:tcPr>
            <w:tcW w:w="1108" w:type="dxa"/>
            <w:tcBorders>
              <w:top w:val="single" w:sz="4" w:space="0" w:color="000000"/>
            </w:tcBorders>
            <w:vAlign w:val="center"/>
          </w:tcPr>
          <w:p w14:paraId="13F4689F" w14:textId="77777777" w:rsidR="00271E37" w:rsidRPr="00E01F6F" w:rsidRDefault="00271E37">
            <w:pPr>
              <w:rPr>
                <w:b/>
                <w:bCs/>
              </w:rPr>
            </w:pPr>
            <w:r w:rsidRPr="00E01F6F">
              <w:rPr>
                <w:rFonts w:cs="Arial"/>
                <w:b/>
                <w:bCs/>
                <w:szCs w:val="16"/>
              </w:rPr>
              <w:t xml:space="preserve">536 </w:t>
            </w:r>
          </w:p>
        </w:tc>
        <w:tc>
          <w:tcPr>
            <w:tcW w:w="1108" w:type="dxa"/>
            <w:tcBorders>
              <w:top w:val="single" w:sz="4" w:space="0" w:color="000000"/>
            </w:tcBorders>
            <w:vAlign w:val="center"/>
          </w:tcPr>
          <w:p w14:paraId="225E5336" w14:textId="77777777" w:rsidR="00271E37" w:rsidRPr="00E01F6F" w:rsidRDefault="00271E37">
            <w:pPr>
              <w:rPr>
                <w:b/>
                <w:bCs/>
              </w:rPr>
            </w:pPr>
            <w:r w:rsidRPr="00E01F6F">
              <w:rPr>
                <w:rFonts w:cs="Arial"/>
                <w:b/>
                <w:bCs/>
                <w:szCs w:val="16"/>
              </w:rPr>
              <w:t xml:space="preserve">250 </w:t>
            </w:r>
          </w:p>
        </w:tc>
        <w:tc>
          <w:tcPr>
            <w:tcW w:w="1108" w:type="dxa"/>
            <w:tcBorders>
              <w:top w:val="single" w:sz="4" w:space="0" w:color="000000"/>
            </w:tcBorders>
            <w:vAlign w:val="center"/>
          </w:tcPr>
          <w:p w14:paraId="17AB01FB" w14:textId="77777777" w:rsidR="00271E37" w:rsidRPr="00E01F6F" w:rsidRDefault="00271E37">
            <w:pPr>
              <w:rPr>
                <w:b/>
                <w:bCs/>
              </w:rPr>
            </w:pPr>
            <w:r w:rsidRPr="00E01F6F">
              <w:rPr>
                <w:rFonts w:cs="Arial"/>
                <w:b/>
                <w:bCs/>
                <w:szCs w:val="16"/>
              </w:rPr>
              <w:t xml:space="preserve">30,027 </w:t>
            </w:r>
          </w:p>
        </w:tc>
      </w:tr>
    </w:tbl>
    <w:p w14:paraId="0A000A8B" w14:textId="77777777" w:rsidR="00271E37" w:rsidRDefault="00271E37" w:rsidP="002E39D4"/>
    <w:p w14:paraId="3EA1210E" w14:textId="77777777" w:rsidR="00271E37" w:rsidRDefault="00271E37" w:rsidP="00D331AD">
      <w:pPr>
        <w:rPr>
          <w:rFonts w:eastAsia="Arial" w:cs="Arial"/>
          <w:szCs w:val="16"/>
        </w:rPr>
      </w:pPr>
      <w:r w:rsidRPr="00153F30">
        <w:rPr>
          <w:rFonts w:eastAsia="Arial" w:cs="Arial"/>
          <w:szCs w:val="16"/>
        </w:rPr>
        <w:t>In the prior year, the Group entered into a new lease in DG Australia for a warehouse facility, resulting in the recognition of a right-of-use asset of £13.5 million.</w:t>
      </w:r>
      <w:r>
        <w:rPr>
          <w:rFonts w:eastAsia="Arial" w:cs="Arial"/>
          <w:szCs w:val="16"/>
        </w:rPr>
        <w:t xml:space="preserve"> </w:t>
      </w:r>
      <w:r w:rsidRPr="00A53B0C">
        <w:rPr>
          <w:rFonts w:eastAsia="Arial" w:cs="Arial"/>
          <w:szCs w:val="16"/>
        </w:rPr>
        <w:t>Additions include lease modifications and extensions of £2.2 million (2025: £3</w:t>
      </w:r>
      <w:r>
        <w:rPr>
          <w:rFonts w:eastAsia="Arial" w:cs="Arial"/>
          <w:szCs w:val="16"/>
        </w:rPr>
        <w:t>.0</w:t>
      </w:r>
      <w:r w:rsidRPr="00A53B0C">
        <w:rPr>
          <w:rFonts w:eastAsia="Arial" w:cs="Arial"/>
          <w:szCs w:val="16"/>
        </w:rPr>
        <w:t xml:space="preserve"> million).</w:t>
      </w:r>
    </w:p>
    <w:p w14:paraId="467DF685" w14:textId="77777777" w:rsidR="00271E37" w:rsidRPr="00D331AD" w:rsidRDefault="00271E37" w:rsidP="00D331AD">
      <w:pPr>
        <w:rPr>
          <w:rFonts w:eastAsia="Arial" w:cs="Arial"/>
          <w:szCs w:val="16"/>
        </w:rPr>
      </w:pPr>
    </w:p>
    <w:p w14:paraId="69671D63" w14:textId="77777777" w:rsidR="00271E37" w:rsidRPr="00D331AD" w:rsidRDefault="00271E37" w:rsidP="00D331AD">
      <w:pPr>
        <w:rPr>
          <w:rFonts w:eastAsia="Arial" w:cs="Arial"/>
          <w:szCs w:val="16"/>
        </w:rPr>
      </w:pPr>
      <w:r>
        <w:rPr>
          <w:rFonts w:eastAsia="Arial" w:cs="Arial"/>
          <w:szCs w:val="16"/>
        </w:rPr>
        <w:t>No impairment charges were recognised during the year. Impairment charges in 2025 of £646,000 related to discontinued operations.</w:t>
      </w:r>
    </w:p>
    <w:p w14:paraId="33DF4D56" w14:textId="77777777" w:rsidR="00271E37" w:rsidRDefault="00271E37" w:rsidP="002E39D4"/>
    <w:p w14:paraId="18A6A513" w14:textId="77777777" w:rsidR="00271E37" w:rsidRPr="00F90CC7" w:rsidRDefault="00271E37" w:rsidP="002E39D4">
      <w:pPr>
        <w:rPr>
          <w:b/>
          <w:bCs/>
          <w:i/>
          <w:iCs/>
        </w:rPr>
      </w:pPr>
      <w:r w:rsidRPr="00F90CC7">
        <w:rPr>
          <w:b/>
          <w:bCs/>
          <w:i/>
          <w:iCs/>
        </w:rPr>
        <w:t>Income statement</w:t>
      </w:r>
    </w:p>
    <w:p w14:paraId="4C1792A8" w14:textId="77777777" w:rsidR="00271E37" w:rsidRPr="00F90CC7" w:rsidRDefault="00271E37" w:rsidP="002E39D4">
      <w:r w:rsidRPr="00F90CC7">
        <w:t>The income statement shows the following charges relating to leases</w:t>
      </w:r>
      <w:r>
        <w:t xml:space="preserve"> for continuing operations</w:t>
      </w:r>
      <w:r w:rsidRPr="00F90CC7">
        <w:t>:</w:t>
      </w:r>
    </w:p>
    <w:tbl>
      <w:tblPr>
        <w:tblStyle w:val="tableDUL"/>
        <w:tblW w:w="9488" w:type="dxa"/>
        <w:tblLook w:val="04A0" w:firstRow="1" w:lastRow="0" w:firstColumn="1" w:lastColumn="0" w:noHBand="0" w:noVBand="1"/>
      </w:tblPr>
      <w:tblGrid>
        <w:gridCol w:w="7256"/>
        <w:gridCol w:w="1116"/>
        <w:gridCol w:w="1116"/>
      </w:tblGrid>
      <w:tr w:rsidR="00271E37" w:rsidRPr="00F90CC7" w14:paraId="02029EB0" w14:textId="77777777">
        <w:trPr>
          <w:trHeight w:val="245"/>
        </w:trPr>
        <w:tc>
          <w:tcPr>
            <w:tcW w:w="0" w:type="auto"/>
            <w:tcBorders>
              <w:bottom w:val="nil"/>
            </w:tcBorders>
          </w:tcPr>
          <w:p w14:paraId="3F621F2F" w14:textId="77777777" w:rsidR="00271E37" w:rsidRPr="00F90CC7" w:rsidRDefault="00271E37" w:rsidP="00F90CC7">
            <w:pPr>
              <w:jc w:val="left"/>
            </w:pPr>
          </w:p>
        </w:tc>
        <w:tc>
          <w:tcPr>
            <w:tcW w:w="1116" w:type="dxa"/>
            <w:tcBorders>
              <w:bottom w:val="nil"/>
            </w:tcBorders>
          </w:tcPr>
          <w:p w14:paraId="325313FC" w14:textId="77777777" w:rsidR="00271E37" w:rsidRPr="00232D9A" w:rsidRDefault="00271E37" w:rsidP="000923EA">
            <w:pPr>
              <w:rPr>
                <w:b/>
                <w:bCs/>
              </w:rPr>
            </w:pPr>
            <w:r w:rsidRPr="00232D9A">
              <w:rPr>
                <w:b/>
                <w:bCs/>
              </w:rPr>
              <w:t>202</w:t>
            </w:r>
            <w:r>
              <w:rPr>
                <w:b/>
                <w:bCs/>
              </w:rPr>
              <w:t>6</w:t>
            </w:r>
          </w:p>
        </w:tc>
        <w:tc>
          <w:tcPr>
            <w:tcW w:w="1116" w:type="dxa"/>
            <w:tcBorders>
              <w:bottom w:val="nil"/>
            </w:tcBorders>
          </w:tcPr>
          <w:p w14:paraId="38327015" w14:textId="77777777" w:rsidR="00271E37" w:rsidRPr="00F90CC7" w:rsidRDefault="00271E37" w:rsidP="000923EA">
            <w:r w:rsidRPr="00F90CC7">
              <w:t>202</w:t>
            </w:r>
            <w:r>
              <w:t>5</w:t>
            </w:r>
          </w:p>
        </w:tc>
      </w:tr>
      <w:tr w:rsidR="00271E37" w:rsidRPr="00F90CC7" w14:paraId="7AD4DD4E" w14:textId="77777777">
        <w:trPr>
          <w:trHeight w:val="245"/>
        </w:trPr>
        <w:tc>
          <w:tcPr>
            <w:tcW w:w="0" w:type="auto"/>
            <w:tcBorders>
              <w:bottom w:val="single" w:sz="4" w:space="0" w:color="auto"/>
            </w:tcBorders>
          </w:tcPr>
          <w:p w14:paraId="398E7D3C" w14:textId="77777777" w:rsidR="00271E37" w:rsidRPr="00F90CC7" w:rsidRDefault="00271E37" w:rsidP="00F90CC7">
            <w:pPr>
              <w:jc w:val="left"/>
            </w:pPr>
          </w:p>
        </w:tc>
        <w:tc>
          <w:tcPr>
            <w:tcW w:w="1116" w:type="dxa"/>
            <w:tcBorders>
              <w:bottom w:val="single" w:sz="4" w:space="0" w:color="auto"/>
            </w:tcBorders>
          </w:tcPr>
          <w:p w14:paraId="2A674297" w14:textId="77777777" w:rsidR="00271E37" w:rsidRPr="00232D9A" w:rsidRDefault="00271E37" w:rsidP="000923EA">
            <w:pPr>
              <w:rPr>
                <w:b/>
                <w:bCs/>
              </w:rPr>
            </w:pPr>
            <w:r>
              <w:rPr>
                <w:b/>
                <w:bCs/>
              </w:rPr>
              <w:t>£</w:t>
            </w:r>
            <w:r w:rsidRPr="00232D9A">
              <w:rPr>
                <w:b/>
                <w:bCs/>
              </w:rPr>
              <w:t>000</w:t>
            </w:r>
          </w:p>
        </w:tc>
        <w:tc>
          <w:tcPr>
            <w:tcW w:w="1116" w:type="dxa"/>
            <w:tcBorders>
              <w:bottom w:val="single" w:sz="4" w:space="0" w:color="auto"/>
            </w:tcBorders>
          </w:tcPr>
          <w:p w14:paraId="56725287" w14:textId="77777777" w:rsidR="00271E37" w:rsidRPr="00F90CC7" w:rsidRDefault="00271E37" w:rsidP="000923EA">
            <w:r>
              <w:t>£</w:t>
            </w:r>
            <w:r w:rsidRPr="00F90CC7">
              <w:t>000</w:t>
            </w:r>
          </w:p>
        </w:tc>
      </w:tr>
      <w:tr w:rsidR="00271E37" w:rsidRPr="00F90CC7" w14:paraId="6E1FF258" w14:textId="77777777">
        <w:trPr>
          <w:trHeight w:val="245"/>
        </w:trPr>
        <w:tc>
          <w:tcPr>
            <w:tcW w:w="0" w:type="auto"/>
            <w:tcBorders>
              <w:top w:val="single" w:sz="4" w:space="0" w:color="auto"/>
            </w:tcBorders>
          </w:tcPr>
          <w:p w14:paraId="533AF87D" w14:textId="77777777" w:rsidR="00271E37" w:rsidRPr="00F90CC7" w:rsidRDefault="00271E37">
            <w:pPr>
              <w:jc w:val="left"/>
            </w:pPr>
            <w:r w:rsidRPr="00F90CC7">
              <w:t>Interest expense (included in finance costs)</w:t>
            </w:r>
          </w:p>
        </w:tc>
        <w:tc>
          <w:tcPr>
            <w:tcW w:w="1116" w:type="dxa"/>
            <w:tcBorders>
              <w:top w:val="single" w:sz="4" w:space="0" w:color="auto"/>
            </w:tcBorders>
            <w:vAlign w:val="center"/>
          </w:tcPr>
          <w:p w14:paraId="185BB6B1" w14:textId="77777777" w:rsidR="00271E37" w:rsidRPr="00215C99" w:rsidRDefault="00271E37">
            <w:pPr>
              <w:rPr>
                <w:b/>
                <w:bCs/>
              </w:rPr>
            </w:pPr>
            <w:r w:rsidRPr="00215C99">
              <w:rPr>
                <w:rFonts w:cs="Arial"/>
                <w:b/>
                <w:bCs/>
                <w:szCs w:val="16"/>
              </w:rPr>
              <w:t xml:space="preserve">1,502 </w:t>
            </w:r>
          </w:p>
        </w:tc>
        <w:tc>
          <w:tcPr>
            <w:tcW w:w="1116" w:type="dxa"/>
            <w:tcBorders>
              <w:top w:val="single" w:sz="4" w:space="0" w:color="auto"/>
            </w:tcBorders>
            <w:vAlign w:val="center"/>
          </w:tcPr>
          <w:p w14:paraId="117C71A1" w14:textId="77777777" w:rsidR="00271E37" w:rsidRPr="00215C99" w:rsidRDefault="00271E37">
            <w:r w:rsidRPr="00215C99">
              <w:rPr>
                <w:rFonts w:cs="Arial"/>
                <w:szCs w:val="16"/>
              </w:rPr>
              <w:t xml:space="preserve">945 </w:t>
            </w:r>
          </w:p>
        </w:tc>
      </w:tr>
      <w:tr w:rsidR="00271E37" w:rsidRPr="00F90CC7" w14:paraId="7C8E5AE3" w14:textId="77777777">
        <w:trPr>
          <w:trHeight w:val="245"/>
        </w:trPr>
        <w:tc>
          <w:tcPr>
            <w:tcW w:w="0" w:type="auto"/>
          </w:tcPr>
          <w:p w14:paraId="5AA11766" w14:textId="77777777" w:rsidR="00271E37" w:rsidRPr="00F90CC7" w:rsidRDefault="00271E37">
            <w:pPr>
              <w:jc w:val="left"/>
            </w:pPr>
            <w:r w:rsidRPr="00F90CC7">
              <w:t>Depreciation charge</w:t>
            </w:r>
          </w:p>
        </w:tc>
        <w:tc>
          <w:tcPr>
            <w:tcW w:w="1116" w:type="dxa"/>
            <w:vAlign w:val="center"/>
          </w:tcPr>
          <w:p w14:paraId="710B8097" w14:textId="7231D4B1" w:rsidR="00271E37" w:rsidRPr="00215C99" w:rsidRDefault="00271E37">
            <w:pPr>
              <w:rPr>
                <w:b/>
                <w:bCs/>
              </w:rPr>
            </w:pPr>
            <w:r w:rsidRPr="00215C99">
              <w:rPr>
                <w:rFonts w:cs="Arial"/>
                <w:b/>
                <w:bCs/>
                <w:szCs w:val="16"/>
              </w:rPr>
              <w:t>3,79</w:t>
            </w:r>
            <w:r w:rsidR="000016F3">
              <w:rPr>
                <w:rFonts w:cs="Arial"/>
                <w:b/>
                <w:bCs/>
                <w:szCs w:val="16"/>
              </w:rPr>
              <w:t>7</w:t>
            </w:r>
            <w:r w:rsidRPr="00215C99">
              <w:rPr>
                <w:rFonts w:cs="Arial"/>
                <w:b/>
                <w:bCs/>
                <w:szCs w:val="16"/>
              </w:rPr>
              <w:t xml:space="preserve"> </w:t>
            </w:r>
          </w:p>
        </w:tc>
        <w:tc>
          <w:tcPr>
            <w:tcW w:w="1116" w:type="dxa"/>
            <w:vAlign w:val="center"/>
          </w:tcPr>
          <w:p w14:paraId="61510735" w14:textId="7CB97CF0" w:rsidR="00271E37" w:rsidRPr="00215C99" w:rsidRDefault="00271E37">
            <w:r w:rsidRPr="00215C99">
              <w:rPr>
                <w:rFonts w:cs="Arial"/>
                <w:szCs w:val="16"/>
              </w:rPr>
              <w:t>3,91</w:t>
            </w:r>
            <w:r w:rsidR="000016F3">
              <w:rPr>
                <w:rFonts w:cs="Arial"/>
                <w:szCs w:val="16"/>
              </w:rPr>
              <w:t>3</w:t>
            </w:r>
            <w:r w:rsidRPr="00215C99">
              <w:rPr>
                <w:rFonts w:cs="Arial"/>
                <w:szCs w:val="16"/>
              </w:rPr>
              <w:t xml:space="preserve"> </w:t>
            </w:r>
          </w:p>
        </w:tc>
      </w:tr>
      <w:tr w:rsidR="00271E37" w:rsidRPr="00F90CC7" w14:paraId="28F1CBA3" w14:textId="77777777">
        <w:trPr>
          <w:trHeight w:val="245"/>
        </w:trPr>
        <w:tc>
          <w:tcPr>
            <w:tcW w:w="0" w:type="auto"/>
          </w:tcPr>
          <w:p w14:paraId="7C41A01C" w14:textId="77777777" w:rsidR="00271E37" w:rsidRPr="00F90CC7" w:rsidRDefault="00271E37">
            <w:pPr>
              <w:jc w:val="left"/>
            </w:pPr>
            <w:r w:rsidRPr="00F90CC7">
              <w:t>Expense relating to short-term leases</w:t>
            </w:r>
          </w:p>
        </w:tc>
        <w:tc>
          <w:tcPr>
            <w:tcW w:w="1116" w:type="dxa"/>
            <w:vAlign w:val="center"/>
          </w:tcPr>
          <w:p w14:paraId="7CA856DE" w14:textId="77777777" w:rsidR="00271E37" w:rsidRPr="00215C99" w:rsidRDefault="00271E37">
            <w:pPr>
              <w:rPr>
                <w:b/>
                <w:bCs/>
              </w:rPr>
            </w:pPr>
            <w:r w:rsidRPr="00215C99">
              <w:rPr>
                <w:rFonts w:cs="Arial"/>
                <w:b/>
                <w:bCs/>
                <w:szCs w:val="16"/>
              </w:rPr>
              <w:t xml:space="preserve">207 </w:t>
            </w:r>
          </w:p>
        </w:tc>
        <w:tc>
          <w:tcPr>
            <w:tcW w:w="1116" w:type="dxa"/>
            <w:vAlign w:val="center"/>
          </w:tcPr>
          <w:p w14:paraId="611976DC" w14:textId="77777777" w:rsidR="00271E37" w:rsidRPr="00215C99" w:rsidRDefault="00271E37">
            <w:r w:rsidRPr="00215C99">
              <w:rPr>
                <w:rFonts w:cs="Arial"/>
                <w:szCs w:val="16"/>
              </w:rPr>
              <w:t xml:space="preserve">79 </w:t>
            </w:r>
          </w:p>
        </w:tc>
      </w:tr>
    </w:tbl>
    <w:p w14:paraId="5F1DED67" w14:textId="77777777" w:rsidR="00271E37" w:rsidRDefault="00271E37" w:rsidP="002E39D4"/>
    <w:p w14:paraId="1A29634F" w14:textId="77777777" w:rsidR="00271E37" w:rsidRDefault="00271E37" w:rsidP="002E39D4">
      <w:r>
        <w:t>Low-value lease costs were negligible in the year.</w:t>
      </w:r>
    </w:p>
    <w:p w14:paraId="40D38DD7" w14:textId="77777777" w:rsidR="00271E37" w:rsidRDefault="00271E37" w:rsidP="002E39D4"/>
    <w:p w14:paraId="0EF5372B" w14:textId="77777777" w:rsidR="00271E37" w:rsidRDefault="00271E37" w:rsidP="002E39D4">
      <w:r>
        <w:t>At 31 March 2026, the Group had no estimated lease commitments for leases not yet commenced.</w:t>
      </w:r>
    </w:p>
    <w:p w14:paraId="705219BA" w14:textId="77777777" w:rsidR="00271E37" w:rsidRDefault="00271E37" w:rsidP="002E39D4"/>
    <w:p w14:paraId="18B1DBC0" w14:textId="77777777" w:rsidR="00271E37" w:rsidRPr="00232D9A" w:rsidRDefault="00271E37" w:rsidP="002E39D4">
      <w:pPr>
        <w:rPr>
          <w:b/>
          <w:bCs/>
          <w:i/>
          <w:iCs/>
        </w:rPr>
      </w:pPr>
      <w:r w:rsidRPr="00232D9A">
        <w:rPr>
          <w:b/>
          <w:bCs/>
          <w:i/>
          <w:iCs/>
        </w:rPr>
        <w:t>Movement in lease liabilities</w:t>
      </w:r>
    </w:p>
    <w:tbl>
      <w:tblPr>
        <w:tblStyle w:val="tableDUL"/>
        <w:tblW w:w="9639" w:type="dxa"/>
        <w:tblLook w:val="04A0" w:firstRow="1" w:lastRow="0" w:firstColumn="1" w:lastColumn="0" w:noHBand="0" w:noVBand="1"/>
      </w:tblPr>
      <w:tblGrid>
        <w:gridCol w:w="7313"/>
        <w:gridCol w:w="1134"/>
        <w:gridCol w:w="1192"/>
      </w:tblGrid>
      <w:tr w:rsidR="00271E37" w:rsidRPr="00232D9A" w14:paraId="4C4C214E" w14:textId="77777777" w:rsidTr="006B42E0">
        <w:tc>
          <w:tcPr>
            <w:tcW w:w="0" w:type="auto"/>
            <w:tcBorders>
              <w:bottom w:val="nil"/>
            </w:tcBorders>
          </w:tcPr>
          <w:p w14:paraId="7A480CDE" w14:textId="77777777" w:rsidR="00271E37" w:rsidRPr="00232D9A" w:rsidRDefault="00271E37" w:rsidP="00232D9A">
            <w:pPr>
              <w:jc w:val="left"/>
            </w:pPr>
          </w:p>
        </w:tc>
        <w:tc>
          <w:tcPr>
            <w:tcW w:w="1134" w:type="dxa"/>
            <w:tcBorders>
              <w:bottom w:val="nil"/>
            </w:tcBorders>
          </w:tcPr>
          <w:p w14:paraId="3922A2BA" w14:textId="77777777" w:rsidR="00271E37" w:rsidRPr="00232D9A" w:rsidRDefault="00271E37" w:rsidP="000923EA">
            <w:pPr>
              <w:rPr>
                <w:b/>
                <w:bCs/>
              </w:rPr>
            </w:pPr>
            <w:r w:rsidRPr="00232D9A">
              <w:rPr>
                <w:b/>
                <w:bCs/>
              </w:rPr>
              <w:t>202</w:t>
            </w:r>
            <w:r>
              <w:rPr>
                <w:b/>
                <w:bCs/>
              </w:rPr>
              <w:t>6</w:t>
            </w:r>
          </w:p>
        </w:tc>
        <w:tc>
          <w:tcPr>
            <w:tcW w:w="1192" w:type="dxa"/>
            <w:tcBorders>
              <w:bottom w:val="nil"/>
            </w:tcBorders>
          </w:tcPr>
          <w:p w14:paraId="00C979A3" w14:textId="77777777" w:rsidR="00271E37" w:rsidRPr="00232D9A" w:rsidRDefault="00271E37" w:rsidP="000923EA">
            <w:r w:rsidRPr="00232D9A">
              <w:t>202</w:t>
            </w:r>
            <w:r>
              <w:t>5</w:t>
            </w:r>
          </w:p>
        </w:tc>
      </w:tr>
      <w:tr w:rsidR="00271E37" w:rsidRPr="00232D9A" w14:paraId="1943EAAC" w14:textId="77777777" w:rsidTr="006B42E0">
        <w:tc>
          <w:tcPr>
            <w:tcW w:w="0" w:type="auto"/>
            <w:tcBorders>
              <w:bottom w:val="single" w:sz="4" w:space="0" w:color="auto"/>
            </w:tcBorders>
          </w:tcPr>
          <w:p w14:paraId="1FA684EE" w14:textId="77777777" w:rsidR="00271E37" w:rsidRPr="00232D9A" w:rsidRDefault="00271E37" w:rsidP="00232D9A">
            <w:pPr>
              <w:jc w:val="left"/>
            </w:pPr>
          </w:p>
        </w:tc>
        <w:tc>
          <w:tcPr>
            <w:tcW w:w="1134" w:type="dxa"/>
            <w:tcBorders>
              <w:bottom w:val="single" w:sz="4" w:space="0" w:color="auto"/>
            </w:tcBorders>
          </w:tcPr>
          <w:p w14:paraId="52466A5D" w14:textId="77777777" w:rsidR="00271E37" w:rsidRPr="00232D9A" w:rsidRDefault="00271E37" w:rsidP="000923EA">
            <w:pPr>
              <w:rPr>
                <w:b/>
                <w:bCs/>
              </w:rPr>
            </w:pPr>
            <w:r>
              <w:rPr>
                <w:b/>
                <w:bCs/>
              </w:rPr>
              <w:t>£</w:t>
            </w:r>
            <w:r w:rsidRPr="00232D9A">
              <w:rPr>
                <w:b/>
                <w:bCs/>
              </w:rPr>
              <w:t>000</w:t>
            </w:r>
          </w:p>
        </w:tc>
        <w:tc>
          <w:tcPr>
            <w:tcW w:w="1192" w:type="dxa"/>
            <w:tcBorders>
              <w:bottom w:val="single" w:sz="4" w:space="0" w:color="auto"/>
            </w:tcBorders>
          </w:tcPr>
          <w:p w14:paraId="726B4BB2" w14:textId="77777777" w:rsidR="00271E37" w:rsidRPr="00232D9A" w:rsidRDefault="00271E37" w:rsidP="000923EA">
            <w:r>
              <w:t>£</w:t>
            </w:r>
            <w:r w:rsidRPr="00232D9A">
              <w:t>000</w:t>
            </w:r>
          </w:p>
        </w:tc>
      </w:tr>
      <w:tr w:rsidR="00271E37" w:rsidRPr="00232D9A" w14:paraId="68AD0B3D" w14:textId="77777777">
        <w:tc>
          <w:tcPr>
            <w:tcW w:w="0" w:type="auto"/>
            <w:tcBorders>
              <w:top w:val="single" w:sz="4" w:space="0" w:color="auto"/>
            </w:tcBorders>
          </w:tcPr>
          <w:p w14:paraId="5D8E7777" w14:textId="77777777" w:rsidR="00271E37" w:rsidRPr="00232D9A" w:rsidRDefault="00271E37">
            <w:pPr>
              <w:jc w:val="left"/>
            </w:pPr>
            <w:r w:rsidRPr="00232D9A">
              <w:t>Balance at 1 April</w:t>
            </w:r>
          </w:p>
        </w:tc>
        <w:tc>
          <w:tcPr>
            <w:tcW w:w="1134" w:type="dxa"/>
            <w:tcBorders>
              <w:top w:val="single" w:sz="4" w:space="0" w:color="auto"/>
            </w:tcBorders>
            <w:vAlign w:val="center"/>
          </w:tcPr>
          <w:p w14:paraId="3D89E5CD" w14:textId="377ABFBA" w:rsidR="00271E37" w:rsidRPr="00B8452B" w:rsidRDefault="00271E37">
            <w:pPr>
              <w:rPr>
                <w:b/>
              </w:rPr>
            </w:pPr>
            <w:r w:rsidRPr="00B8452B">
              <w:rPr>
                <w:rFonts w:cs="Arial"/>
                <w:b/>
                <w:szCs w:val="16"/>
              </w:rPr>
              <w:t>56,54</w:t>
            </w:r>
            <w:r w:rsidR="00DE3F7F" w:rsidRPr="00B8452B">
              <w:rPr>
                <w:rFonts w:cs="Arial"/>
                <w:b/>
                <w:szCs w:val="16"/>
              </w:rPr>
              <w:t>5</w:t>
            </w:r>
            <w:r w:rsidRPr="00B8452B">
              <w:rPr>
                <w:rFonts w:cs="Arial"/>
                <w:b/>
                <w:szCs w:val="16"/>
              </w:rPr>
              <w:t xml:space="preserve"> </w:t>
            </w:r>
          </w:p>
        </w:tc>
        <w:tc>
          <w:tcPr>
            <w:tcW w:w="1192" w:type="dxa"/>
            <w:tcBorders>
              <w:top w:val="single" w:sz="4" w:space="0" w:color="auto"/>
            </w:tcBorders>
            <w:vAlign w:val="center"/>
          </w:tcPr>
          <w:p w14:paraId="6E41AD94" w14:textId="77777777" w:rsidR="00271E37" w:rsidRPr="00215C99" w:rsidRDefault="00271E37">
            <w:r w:rsidRPr="00215C99">
              <w:rPr>
                <w:rFonts w:cs="Arial"/>
                <w:szCs w:val="16"/>
              </w:rPr>
              <w:t xml:space="preserve">53,372 </w:t>
            </w:r>
          </w:p>
        </w:tc>
      </w:tr>
      <w:tr w:rsidR="00271E37" w:rsidRPr="00232D9A" w14:paraId="4834BB33" w14:textId="77777777">
        <w:tc>
          <w:tcPr>
            <w:tcW w:w="0" w:type="auto"/>
          </w:tcPr>
          <w:p w14:paraId="51950265" w14:textId="77777777" w:rsidR="00271E37" w:rsidRPr="00232D9A" w:rsidRDefault="00271E37">
            <w:pPr>
              <w:jc w:val="left"/>
            </w:pPr>
            <w:r w:rsidRPr="00232D9A">
              <w:t>Cash flow – financing activities</w:t>
            </w:r>
          </w:p>
        </w:tc>
        <w:tc>
          <w:tcPr>
            <w:tcW w:w="1134" w:type="dxa"/>
            <w:vAlign w:val="center"/>
          </w:tcPr>
          <w:p w14:paraId="5C89B15C" w14:textId="77777777" w:rsidR="00271E37" w:rsidRPr="00215C99" w:rsidRDefault="00271E37">
            <w:pPr>
              <w:rPr>
                <w:b/>
                <w:bCs/>
              </w:rPr>
            </w:pPr>
            <w:r w:rsidRPr="00215C99">
              <w:rPr>
                <w:rFonts w:cs="Arial"/>
                <w:b/>
                <w:bCs/>
                <w:szCs w:val="16"/>
              </w:rPr>
              <w:t>(4,580)</w:t>
            </w:r>
          </w:p>
        </w:tc>
        <w:tc>
          <w:tcPr>
            <w:tcW w:w="1192" w:type="dxa"/>
            <w:vAlign w:val="center"/>
          </w:tcPr>
          <w:p w14:paraId="2965FA01" w14:textId="77777777" w:rsidR="00271E37" w:rsidRPr="00215C99" w:rsidRDefault="00271E37">
            <w:r w:rsidRPr="00215C99">
              <w:rPr>
                <w:rFonts w:cs="Arial"/>
                <w:szCs w:val="16"/>
              </w:rPr>
              <w:t>(12,935)</w:t>
            </w:r>
          </w:p>
        </w:tc>
      </w:tr>
      <w:tr w:rsidR="00271E37" w:rsidRPr="00232D9A" w14:paraId="21A490DF" w14:textId="77777777">
        <w:tc>
          <w:tcPr>
            <w:tcW w:w="0" w:type="auto"/>
          </w:tcPr>
          <w:p w14:paraId="29FE6E44" w14:textId="77777777" w:rsidR="00271E37" w:rsidRPr="00232D9A" w:rsidRDefault="00271E37">
            <w:pPr>
              <w:jc w:val="left"/>
            </w:pPr>
            <w:r w:rsidRPr="00232D9A">
              <w:t>Additions</w:t>
            </w:r>
          </w:p>
        </w:tc>
        <w:tc>
          <w:tcPr>
            <w:tcW w:w="1134" w:type="dxa"/>
            <w:vAlign w:val="center"/>
          </w:tcPr>
          <w:p w14:paraId="20D8FF45" w14:textId="77777777" w:rsidR="00271E37" w:rsidRPr="00215C99" w:rsidRDefault="00271E37">
            <w:pPr>
              <w:rPr>
                <w:b/>
                <w:bCs/>
              </w:rPr>
            </w:pPr>
            <w:r w:rsidRPr="00215C99">
              <w:rPr>
                <w:rFonts w:cs="Arial"/>
                <w:b/>
                <w:bCs/>
                <w:szCs w:val="16"/>
              </w:rPr>
              <w:t xml:space="preserve">4,682 </w:t>
            </w:r>
          </w:p>
        </w:tc>
        <w:tc>
          <w:tcPr>
            <w:tcW w:w="1192" w:type="dxa"/>
            <w:vAlign w:val="center"/>
          </w:tcPr>
          <w:p w14:paraId="3FC5C85E" w14:textId="77777777" w:rsidR="00271E37" w:rsidRPr="00215C99" w:rsidRDefault="00271E37">
            <w:r w:rsidRPr="00215C99">
              <w:rPr>
                <w:rFonts w:cs="Arial"/>
                <w:szCs w:val="16"/>
              </w:rPr>
              <w:t xml:space="preserve">18,250 </w:t>
            </w:r>
          </w:p>
        </w:tc>
      </w:tr>
      <w:tr w:rsidR="00271E37" w:rsidRPr="00232D9A" w14:paraId="114B4332" w14:textId="77777777">
        <w:tc>
          <w:tcPr>
            <w:tcW w:w="0" w:type="auto"/>
            <w:vAlign w:val="center"/>
          </w:tcPr>
          <w:p w14:paraId="415682DE" w14:textId="77777777" w:rsidR="00271E37" w:rsidRPr="00232D9A" w:rsidRDefault="00271E37">
            <w:pPr>
              <w:jc w:val="left"/>
            </w:pPr>
            <w:r w:rsidRPr="006448A5">
              <w:t>Derecognition on disposal of division</w:t>
            </w:r>
          </w:p>
        </w:tc>
        <w:tc>
          <w:tcPr>
            <w:tcW w:w="1134" w:type="dxa"/>
            <w:vAlign w:val="center"/>
          </w:tcPr>
          <w:p w14:paraId="2EE75FE8" w14:textId="77777777" w:rsidR="00271E37" w:rsidRPr="00215C99" w:rsidRDefault="00271E37">
            <w:pPr>
              <w:rPr>
                <w:b/>
                <w:bCs/>
              </w:rPr>
            </w:pPr>
            <w:r w:rsidRPr="00215C99">
              <w:rPr>
                <w:rFonts w:cs="Arial"/>
                <w:b/>
                <w:bCs/>
                <w:szCs w:val="16"/>
              </w:rPr>
              <w:t>(22,844)</w:t>
            </w:r>
          </w:p>
        </w:tc>
        <w:tc>
          <w:tcPr>
            <w:tcW w:w="1192" w:type="dxa"/>
            <w:vAlign w:val="center"/>
          </w:tcPr>
          <w:p w14:paraId="7D571846" w14:textId="77777777" w:rsidR="00271E37" w:rsidRPr="00215C99" w:rsidRDefault="00271E37">
            <w:r w:rsidRPr="00215C99">
              <w:rPr>
                <w:rFonts w:cs="Arial"/>
                <w:szCs w:val="16"/>
              </w:rPr>
              <w:t xml:space="preserve"> - </w:t>
            </w:r>
          </w:p>
        </w:tc>
      </w:tr>
      <w:tr w:rsidR="00271E37" w:rsidRPr="00232D9A" w14:paraId="66478BBE" w14:textId="77777777">
        <w:tc>
          <w:tcPr>
            <w:tcW w:w="0" w:type="auto"/>
            <w:tcBorders>
              <w:bottom w:val="nil"/>
            </w:tcBorders>
          </w:tcPr>
          <w:p w14:paraId="0F5DA21E" w14:textId="77777777" w:rsidR="00271E37" w:rsidRPr="00232D9A" w:rsidRDefault="00271E37">
            <w:pPr>
              <w:jc w:val="left"/>
            </w:pPr>
            <w:r w:rsidRPr="00232D9A">
              <w:t>Disposals</w:t>
            </w:r>
          </w:p>
        </w:tc>
        <w:tc>
          <w:tcPr>
            <w:tcW w:w="1134" w:type="dxa"/>
            <w:tcBorders>
              <w:bottom w:val="nil"/>
            </w:tcBorders>
            <w:vAlign w:val="center"/>
          </w:tcPr>
          <w:p w14:paraId="16212148" w14:textId="77777777" w:rsidR="00271E37" w:rsidRPr="00215C99" w:rsidRDefault="00271E37">
            <w:pPr>
              <w:rPr>
                <w:b/>
                <w:bCs/>
              </w:rPr>
            </w:pPr>
            <w:r w:rsidRPr="00215C99">
              <w:rPr>
                <w:rFonts w:cs="Arial"/>
                <w:b/>
                <w:bCs/>
                <w:szCs w:val="16"/>
              </w:rPr>
              <w:t>(22)</w:t>
            </w:r>
          </w:p>
        </w:tc>
        <w:tc>
          <w:tcPr>
            <w:tcW w:w="1192" w:type="dxa"/>
            <w:tcBorders>
              <w:bottom w:val="nil"/>
            </w:tcBorders>
            <w:vAlign w:val="center"/>
          </w:tcPr>
          <w:p w14:paraId="10068C78" w14:textId="77777777" w:rsidR="00271E37" w:rsidRPr="00215C99" w:rsidRDefault="00271E37">
            <w:r w:rsidRPr="00215C99">
              <w:rPr>
                <w:rFonts w:cs="Arial"/>
                <w:szCs w:val="16"/>
              </w:rPr>
              <w:t>(854)</w:t>
            </w:r>
          </w:p>
        </w:tc>
      </w:tr>
      <w:tr w:rsidR="00271E37" w:rsidRPr="00232D9A" w14:paraId="4098A8CA" w14:textId="77777777">
        <w:tc>
          <w:tcPr>
            <w:tcW w:w="0" w:type="auto"/>
            <w:tcBorders>
              <w:bottom w:val="single" w:sz="4" w:space="0" w:color="auto"/>
            </w:tcBorders>
          </w:tcPr>
          <w:p w14:paraId="61C8E20C" w14:textId="77777777" w:rsidR="00271E37" w:rsidRPr="00232D9A" w:rsidRDefault="00271E37">
            <w:pPr>
              <w:jc w:val="left"/>
            </w:pPr>
            <w:r w:rsidRPr="00232D9A">
              <w:t>Effect of movements in foreign exchange</w:t>
            </w:r>
          </w:p>
        </w:tc>
        <w:tc>
          <w:tcPr>
            <w:tcW w:w="1134" w:type="dxa"/>
            <w:tcBorders>
              <w:bottom w:val="single" w:sz="4" w:space="0" w:color="auto"/>
            </w:tcBorders>
            <w:vAlign w:val="center"/>
          </w:tcPr>
          <w:p w14:paraId="7294C105" w14:textId="7B1A2639" w:rsidR="00271E37" w:rsidRPr="00215C99" w:rsidRDefault="00271E37">
            <w:pPr>
              <w:rPr>
                <w:b/>
                <w:bCs/>
              </w:rPr>
            </w:pPr>
            <w:r w:rsidRPr="00B8452B">
              <w:rPr>
                <w:rFonts w:cs="Arial"/>
                <w:b/>
                <w:szCs w:val="16"/>
              </w:rPr>
              <w:t>(20</w:t>
            </w:r>
            <w:r w:rsidR="00DE3F7F" w:rsidRPr="00B8452B">
              <w:rPr>
                <w:rFonts w:cs="Arial"/>
                <w:b/>
                <w:szCs w:val="16"/>
              </w:rPr>
              <w:t>1</w:t>
            </w:r>
            <w:r w:rsidRPr="00B8452B">
              <w:rPr>
                <w:rFonts w:cs="Arial"/>
                <w:b/>
                <w:szCs w:val="16"/>
              </w:rPr>
              <w:t>)</w:t>
            </w:r>
          </w:p>
        </w:tc>
        <w:tc>
          <w:tcPr>
            <w:tcW w:w="1192" w:type="dxa"/>
            <w:tcBorders>
              <w:bottom w:val="single" w:sz="4" w:space="0" w:color="auto"/>
            </w:tcBorders>
            <w:vAlign w:val="center"/>
          </w:tcPr>
          <w:p w14:paraId="4FBDD4C7" w14:textId="77777777" w:rsidR="00271E37" w:rsidRPr="00215C99" w:rsidRDefault="00271E37">
            <w:r w:rsidRPr="00215C99">
              <w:rPr>
                <w:rFonts w:cs="Arial"/>
                <w:szCs w:val="16"/>
              </w:rPr>
              <w:t>(1,288)</w:t>
            </w:r>
          </w:p>
        </w:tc>
      </w:tr>
      <w:tr w:rsidR="00271E37" w:rsidRPr="00232D9A" w14:paraId="0787564C" w14:textId="77777777">
        <w:tc>
          <w:tcPr>
            <w:tcW w:w="0" w:type="auto"/>
            <w:tcBorders>
              <w:top w:val="single" w:sz="4" w:space="0" w:color="auto"/>
            </w:tcBorders>
          </w:tcPr>
          <w:p w14:paraId="3B9026B3" w14:textId="77777777" w:rsidR="00271E37" w:rsidRPr="00232D9A" w:rsidRDefault="00271E37">
            <w:pPr>
              <w:jc w:val="left"/>
              <w:rPr>
                <w:b/>
                <w:bCs/>
              </w:rPr>
            </w:pPr>
            <w:r w:rsidRPr="00232D9A">
              <w:rPr>
                <w:b/>
                <w:bCs/>
              </w:rPr>
              <w:t>Balance at 31 March</w:t>
            </w:r>
          </w:p>
        </w:tc>
        <w:tc>
          <w:tcPr>
            <w:tcW w:w="1134" w:type="dxa"/>
            <w:tcBorders>
              <w:top w:val="single" w:sz="4" w:space="0" w:color="auto"/>
            </w:tcBorders>
            <w:vAlign w:val="center"/>
          </w:tcPr>
          <w:p w14:paraId="24296849" w14:textId="77777777" w:rsidR="00271E37" w:rsidRPr="00215C99" w:rsidRDefault="00271E37">
            <w:pPr>
              <w:rPr>
                <w:b/>
                <w:bCs/>
              </w:rPr>
            </w:pPr>
            <w:r w:rsidRPr="00215C99">
              <w:rPr>
                <w:rFonts w:cs="Arial"/>
                <w:b/>
                <w:bCs/>
                <w:szCs w:val="16"/>
              </w:rPr>
              <w:t xml:space="preserve">33,580 </w:t>
            </w:r>
          </w:p>
        </w:tc>
        <w:tc>
          <w:tcPr>
            <w:tcW w:w="1192" w:type="dxa"/>
            <w:tcBorders>
              <w:top w:val="single" w:sz="4" w:space="0" w:color="auto"/>
            </w:tcBorders>
            <w:vAlign w:val="center"/>
          </w:tcPr>
          <w:p w14:paraId="63928864" w14:textId="77777777" w:rsidR="00271E37" w:rsidRPr="00215C99" w:rsidRDefault="00271E37">
            <w:r w:rsidRPr="00215C99">
              <w:rPr>
                <w:rFonts w:cs="Arial"/>
                <w:szCs w:val="16"/>
              </w:rPr>
              <w:t xml:space="preserve">56,545 </w:t>
            </w:r>
          </w:p>
        </w:tc>
      </w:tr>
    </w:tbl>
    <w:p w14:paraId="6E065FA6" w14:textId="77777777" w:rsidR="00271E37" w:rsidRDefault="00271E37" w:rsidP="002E39D4"/>
    <w:tbl>
      <w:tblPr>
        <w:tblStyle w:val="tableDUL"/>
        <w:tblW w:w="9639" w:type="dxa"/>
        <w:tblLook w:val="04A0" w:firstRow="1" w:lastRow="0" w:firstColumn="1" w:lastColumn="0" w:noHBand="0" w:noVBand="1"/>
      </w:tblPr>
      <w:tblGrid>
        <w:gridCol w:w="7371"/>
        <w:gridCol w:w="1134"/>
        <w:gridCol w:w="1134"/>
      </w:tblGrid>
      <w:tr w:rsidR="00271E37" w:rsidRPr="00EC193A" w14:paraId="5258A894" w14:textId="77777777" w:rsidTr="00EC193A">
        <w:tc>
          <w:tcPr>
            <w:tcW w:w="0" w:type="auto"/>
            <w:tcBorders>
              <w:bottom w:val="nil"/>
            </w:tcBorders>
          </w:tcPr>
          <w:p w14:paraId="05904C6F" w14:textId="77777777" w:rsidR="00271E37" w:rsidRPr="00EC193A" w:rsidRDefault="00271E37" w:rsidP="00EC193A">
            <w:pPr>
              <w:jc w:val="left"/>
            </w:pPr>
          </w:p>
        </w:tc>
        <w:tc>
          <w:tcPr>
            <w:tcW w:w="1134" w:type="dxa"/>
            <w:tcBorders>
              <w:bottom w:val="nil"/>
            </w:tcBorders>
          </w:tcPr>
          <w:p w14:paraId="0BD0EBCF" w14:textId="77777777" w:rsidR="00271E37" w:rsidRPr="00EC193A" w:rsidRDefault="00271E37" w:rsidP="000923EA">
            <w:pPr>
              <w:rPr>
                <w:b/>
                <w:bCs/>
              </w:rPr>
            </w:pPr>
            <w:r w:rsidRPr="00EC193A">
              <w:rPr>
                <w:b/>
                <w:bCs/>
              </w:rPr>
              <w:t>202</w:t>
            </w:r>
            <w:r>
              <w:rPr>
                <w:b/>
                <w:bCs/>
              </w:rPr>
              <w:t>6</w:t>
            </w:r>
          </w:p>
        </w:tc>
        <w:tc>
          <w:tcPr>
            <w:tcW w:w="1134" w:type="dxa"/>
            <w:tcBorders>
              <w:bottom w:val="nil"/>
            </w:tcBorders>
          </w:tcPr>
          <w:p w14:paraId="68F3217D" w14:textId="77777777" w:rsidR="00271E37" w:rsidRPr="00EC193A" w:rsidRDefault="00271E37" w:rsidP="000923EA">
            <w:r w:rsidRPr="00EC193A">
              <w:t>202</w:t>
            </w:r>
            <w:r>
              <w:t>5</w:t>
            </w:r>
          </w:p>
        </w:tc>
      </w:tr>
      <w:tr w:rsidR="00271E37" w:rsidRPr="00EC193A" w14:paraId="1CB628E9" w14:textId="77777777" w:rsidTr="00EC193A">
        <w:tc>
          <w:tcPr>
            <w:tcW w:w="0" w:type="auto"/>
            <w:tcBorders>
              <w:bottom w:val="single" w:sz="4" w:space="0" w:color="auto"/>
            </w:tcBorders>
          </w:tcPr>
          <w:p w14:paraId="2E480C62" w14:textId="77777777" w:rsidR="00271E37" w:rsidRPr="00EC193A" w:rsidRDefault="00271E37" w:rsidP="00EC193A">
            <w:pPr>
              <w:jc w:val="left"/>
            </w:pPr>
          </w:p>
        </w:tc>
        <w:tc>
          <w:tcPr>
            <w:tcW w:w="1134" w:type="dxa"/>
            <w:tcBorders>
              <w:bottom w:val="single" w:sz="4" w:space="0" w:color="auto"/>
            </w:tcBorders>
          </w:tcPr>
          <w:p w14:paraId="1D0FE48B" w14:textId="77777777" w:rsidR="00271E37" w:rsidRPr="00EC193A" w:rsidRDefault="00271E37" w:rsidP="000923EA">
            <w:pPr>
              <w:rPr>
                <w:b/>
                <w:bCs/>
              </w:rPr>
            </w:pPr>
            <w:r>
              <w:rPr>
                <w:b/>
                <w:bCs/>
              </w:rPr>
              <w:t>£</w:t>
            </w:r>
            <w:r w:rsidRPr="00EC193A">
              <w:rPr>
                <w:b/>
                <w:bCs/>
              </w:rPr>
              <w:t>000</w:t>
            </w:r>
          </w:p>
        </w:tc>
        <w:tc>
          <w:tcPr>
            <w:tcW w:w="1134" w:type="dxa"/>
            <w:tcBorders>
              <w:bottom w:val="single" w:sz="4" w:space="0" w:color="auto"/>
            </w:tcBorders>
          </w:tcPr>
          <w:p w14:paraId="05BF7347" w14:textId="77777777" w:rsidR="00271E37" w:rsidRPr="00EC193A" w:rsidRDefault="00271E37" w:rsidP="000923EA">
            <w:r>
              <w:t>£</w:t>
            </w:r>
            <w:r w:rsidRPr="00EC193A">
              <w:t>000</w:t>
            </w:r>
          </w:p>
        </w:tc>
      </w:tr>
      <w:tr w:rsidR="00271E37" w:rsidRPr="00EC193A" w14:paraId="67883E93" w14:textId="77777777">
        <w:tc>
          <w:tcPr>
            <w:tcW w:w="0" w:type="auto"/>
            <w:tcBorders>
              <w:top w:val="single" w:sz="4" w:space="0" w:color="auto"/>
              <w:bottom w:val="nil"/>
            </w:tcBorders>
          </w:tcPr>
          <w:p w14:paraId="134C3C61" w14:textId="77777777" w:rsidR="00271E37" w:rsidRPr="00EC193A" w:rsidRDefault="00271E37">
            <w:pPr>
              <w:jc w:val="left"/>
            </w:pPr>
            <w:r w:rsidRPr="00EC193A">
              <w:t>Non-current liabilities</w:t>
            </w:r>
          </w:p>
        </w:tc>
        <w:tc>
          <w:tcPr>
            <w:tcW w:w="1134" w:type="dxa"/>
            <w:tcBorders>
              <w:top w:val="single" w:sz="4" w:space="0" w:color="auto"/>
              <w:bottom w:val="nil"/>
            </w:tcBorders>
            <w:vAlign w:val="center"/>
          </w:tcPr>
          <w:p w14:paraId="6EB4FE85" w14:textId="77777777" w:rsidR="00271E37" w:rsidRPr="006B42E0" w:rsidRDefault="00271E37">
            <w:pPr>
              <w:rPr>
                <w:b/>
                <w:bCs/>
              </w:rPr>
            </w:pPr>
            <w:r>
              <w:rPr>
                <w:rFonts w:cs="Arial"/>
                <w:b/>
                <w:bCs/>
                <w:color w:val="000000"/>
                <w:szCs w:val="16"/>
              </w:rPr>
              <w:t xml:space="preserve">30,349 </w:t>
            </w:r>
          </w:p>
        </w:tc>
        <w:tc>
          <w:tcPr>
            <w:tcW w:w="1134" w:type="dxa"/>
            <w:tcBorders>
              <w:top w:val="single" w:sz="4" w:space="0" w:color="auto"/>
              <w:bottom w:val="nil"/>
            </w:tcBorders>
            <w:vAlign w:val="center"/>
          </w:tcPr>
          <w:p w14:paraId="309537BE" w14:textId="77777777" w:rsidR="00271E37" w:rsidRPr="006B42E0" w:rsidRDefault="00271E37">
            <w:r>
              <w:rPr>
                <w:rFonts w:cs="Arial"/>
                <w:color w:val="000000"/>
                <w:szCs w:val="16"/>
              </w:rPr>
              <w:t xml:space="preserve">46,098 </w:t>
            </w:r>
          </w:p>
        </w:tc>
      </w:tr>
      <w:tr w:rsidR="00271E37" w:rsidRPr="00EC193A" w14:paraId="17E70BB9" w14:textId="77777777">
        <w:tc>
          <w:tcPr>
            <w:tcW w:w="0" w:type="auto"/>
            <w:tcBorders>
              <w:bottom w:val="single" w:sz="4" w:space="0" w:color="auto"/>
            </w:tcBorders>
          </w:tcPr>
          <w:p w14:paraId="70D58356" w14:textId="77777777" w:rsidR="00271E37" w:rsidRPr="00EC193A" w:rsidRDefault="00271E37">
            <w:pPr>
              <w:jc w:val="left"/>
            </w:pPr>
            <w:r w:rsidRPr="00EC193A">
              <w:t>Current liabilities</w:t>
            </w:r>
          </w:p>
        </w:tc>
        <w:tc>
          <w:tcPr>
            <w:tcW w:w="1134" w:type="dxa"/>
            <w:tcBorders>
              <w:bottom w:val="single" w:sz="4" w:space="0" w:color="auto"/>
            </w:tcBorders>
            <w:vAlign w:val="center"/>
          </w:tcPr>
          <w:p w14:paraId="4A1C76B3" w14:textId="77777777" w:rsidR="00271E37" w:rsidRPr="006B42E0" w:rsidRDefault="00271E37">
            <w:pPr>
              <w:rPr>
                <w:b/>
                <w:bCs/>
              </w:rPr>
            </w:pPr>
            <w:r>
              <w:rPr>
                <w:rFonts w:cs="Arial"/>
                <w:b/>
                <w:bCs/>
                <w:color w:val="000000"/>
                <w:szCs w:val="16"/>
              </w:rPr>
              <w:t xml:space="preserve">3,231 </w:t>
            </w:r>
          </w:p>
        </w:tc>
        <w:tc>
          <w:tcPr>
            <w:tcW w:w="1134" w:type="dxa"/>
            <w:tcBorders>
              <w:bottom w:val="single" w:sz="4" w:space="0" w:color="auto"/>
            </w:tcBorders>
            <w:vAlign w:val="center"/>
          </w:tcPr>
          <w:p w14:paraId="41027FA1" w14:textId="77777777" w:rsidR="00271E37" w:rsidRPr="006B42E0" w:rsidRDefault="00271E37">
            <w:r>
              <w:rPr>
                <w:rFonts w:cs="Arial"/>
                <w:color w:val="000000"/>
                <w:szCs w:val="16"/>
              </w:rPr>
              <w:t xml:space="preserve">10,447 </w:t>
            </w:r>
          </w:p>
        </w:tc>
      </w:tr>
      <w:tr w:rsidR="00271E37" w:rsidRPr="00EC193A" w14:paraId="3FAA5890" w14:textId="77777777">
        <w:tc>
          <w:tcPr>
            <w:tcW w:w="0" w:type="auto"/>
            <w:tcBorders>
              <w:top w:val="single" w:sz="4" w:space="0" w:color="auto"/>
            </w:tcBorders>
          </w:tcPr>
          <w:p w14:paraId="15B96F95" w14:textId="77777777" w:rsidR="00271E37" w:rsidRPr="00EC193A" w:rsidRDefault="00271E37">
            <w:pPr>
              <w:jc w:val="left"/>
            </w:pPr>
          </w:p>
        </w:tc>
        <w:tc>
          <w:tcPr>
            <w:tcW w:w="1134" w:type="dxa"/>
            <w:tcBorders>
              <w:top w:val="single" w:sz="4" w:space="0" w:color="auto"/>
            </w:tcBorders>
            <w:vAlign w:val="center"/>
          </w:tcPr>
          <w:p w14:paraId="05FA6386" w14:textId="77777777" w:rsidR="00271E37" w:rsidRPr="006B42E0" w:rsidRDefault="00271E37">
            <w:pPr>
              <w:rPr>
                <w:b/>
                <w:bCs/>
              </w:rPr>
            </w:pPr>
            <w:r>
              <w:rPr>
                <w:rFonts w:cs="Arial"/>
                <w:b/>
                <w:bCs/>
                <w:color w:val="000000"/>
                <w:szCs w:val="16"/>
              </w:rPr>
              <w:t xml:space="preserve">33,580 </w:t>
            </w:r>
          </w:p>
        </w:tc>
        <w:tc>
          <w:tcPr>
            <w:tcW w:w="1134" w:type="dxa"/>
            <w:tcBorders>
              <w:top w:val="single" w:sz="4" w:space="0" w:color="auto"/>
            </w:tcBorders>
            <w:vAlign w:val="center"/>
          </w:tcPr>
          <w:p w14:paraId="71C8CE97" w14:textId="77777777" w:rsidR="00271E37" w:rsidRPr="006B42E0" w:rsidRDefault="00271E37">
            <w:r>
              <w:rPr>
                <w:rFonts w:cs="Arial"/>
                <w:color w:val="000000"/>
                <w:szCs w:val="16"/>
              </w:rPr>
              <w:t xml:space="preserve">56,545 </w:t>
            </w:r>
          </w:p>
        </w:tc>
      </w:tr>
    </w:tbl>
    <w:p w14:paraId="051460C3" w14:textId="77777777" w:rsidR="00271E37" w:rsidRDefault="00271E37" w:rsidP="002E39D4"/>
    <w:p w14:paraId="79D0C126" w14:textId="77777777" w:rsidR="00271E37" w:rsidRDefault="00271E37" w:rsidP="002E39D4">
      <w:r>
        <w:t>Total cash outflow in relation to leases is as follows:</w:t>
      </w:r>
    </w:p>
    <w:tbl>
      <w:tblPr>
        <w:tblStyle w:val="tableDUL"/>
        <w:tblW w:w="9639" w:type="dxa"/>
        <w:tblLook w:val="04A0" w:firstRow="1" w:lastRow="0" w:firstColumn="1" w:lastColumn="0" w:noHBand="0" w:noVBand="1"/>
      </w:tblPr>
      <w:tblGrid>
        <w:gridCol w:w="7371"/>
        <w:gridCol w:w="1134"/>
        <w:gridCol w:w="1134"/>
      </w:tblGrid>
      <w:tr w:rsidR="00271E37" w:rsidRPr="00EC193A" w14:paraId="7348C3BC" w14:textId="77777777" w:rsidTr="00EC193A">
        <w:tc>
          <w:tcPr>
            <w:tcW w:w="0" w:type="auto"/>
            <w:tcBorders>
              <w:bottom w:val="nil"/>
            </w:tcBorders>
          </w:tcPr>
          <w:p w14:paraId="588EC45E" w14:textId="77777777" w:rsidR="00271E37" w:rsidRPr="00EC193A" w:rsidRDefault="00271E37" w:rsidP="00EC193A">
            <w:pPr>
              <w:jc w:val="left"/>
            </w:pPr>
          </w:p>
        </w:tc>
        <w:tc>
          <w:tcPr>
            <w:tcW w:w="1134" w:type="dxa"/>
            <w:tcBorders>
              <w:bottom w:val="nil"/>
            </w:tcBorders>
          </w:tcPr>
          <w:p w14:paraId="781023D6" w14:textId="77777777" w:rsidR="00271E37" w:rsidRPr="00EC193A" w:rsidRDefault="00271E37" w:rsidP="000923EA">
            <w:pPr>
              <w:rPr>
                <w:b/>
                <w:bCs/>
              </w:rPr>
            </w:pPr>
            <w:r w:rsidRPr="00EC193A">
              <w:rPr>
                <w:b/>
                <w:bCs/>
              </w:rPr>
              <w:t>202</w:t>
            </w:r>
            <w:r>
              <w:rPr>
                <w:b/>
                <w:bCs/>
              </w:rPr>
              <w:t>6</w:t>
            </w:r>
          </w:p>
        </w:tc>
        <w:tc>
          <w:tcPr>
            <w:tcW w:w="1134" w:type="dxa"/>
            <w:tcBorders>
              <w:bottom w:val="nil"/>
            </w:tcBorders>
          </w:tcPr>
          <w:p w14:paraId="1E3BB2D8" w14:textId="77777777" w:rsidR="00271E37" w:rsidRPr="00EC193A" w:rsidRDefault="00271E37" w:rsidP="000923EA">
            <w:r w:rsidRPr="00EC193A">
              <w:t>202</w:t>
            </w:r>
            <w:r>
              <w:t>5</w:t>
            </w:r>
          </w:p>
        </w:tc>
      </w:tr>
      <w:tr w:rsidR="00271E37" w:rsidRPr="00EC193A" w14:paraId="37786F6D" w14:textId="77777777" w:rsidTr="00EC193A">
        <w:tc>
          <w:tcPr>
            <w:tcW w:w="0" w:type="auto"/>
            <w:tcBorders>
              <w:bottom w:val="single" w:sz="4" w:space="0" w:color="auto"/>
            </w:tcBorders>
          </w:tcPr>
          <w:p w14:paraId="4989F723" w14:textId="77777777" w:rsidR="00271E37" w:rsidRPr="00EC193A" w:rsidRDefault="00271E37" w:rsidP="00EC193A">
            <w:pPr>
              <w:jc w:val="left"/>
            </w:pPr>
          </w:p>
        </w:tc>
        <w:tc>
          <w:tcPr>
            <w:tcW w:w="1134" w:type="dxa"/>
            <w:tcBorders>
              <w:bottom w:val="single" w:sz="4" w:space="0" w:color="auto"/>
            </w:tcBorders>
          </w:tcPr>
          <w:p w14:paraId="4CDACCA9" w14:textId="77777777" w:rsidR="00271E37" w:rsidRPr="00EC193A" w:rsidRDefault="00271E37" w:rsidP="000923EA">
            <w:pPr>
              <w:rPr>
                <w:b/>
                <w:bCs/>
              </w:rPr>
            </w:pPr>
            <w:r>
              <w:rPr>
                <w:b/>
                <w:bCs/>
              </w:rPr>
              <w:t>£</w:t>
            </w:r>
            <w:r w:rsidRPr="00EC193A">
              <w:rPr>
                <w:b/>
                <w:bCs/>
              </w:rPr>
              <w:t>000</w:t>
            </w:r>
          </w:p>
        </w:tc>
        <w:tc>
          <w:tcPr>
            <w:tcW w:w="1134" w:type="dxa"/>
            <w:tcBorders>
              <w:bottom w:val="single" w:sz="4" w:space="0" w:color="auto"/>
            </w:tcBorders>
          </w:tcPr>
          <w:p w14:paraId="00EA4C29" w14:textId="77777777" w:rsidR="00271E37" w:rsidRPr="00EC193A" w:rsidRDefault="00271E37" w:rsidP="000923EA">
            <w:r>
              <w:t>£</w:t>
            </w:r>
            <w:r w:rsidRPr="00EC193A">
              <w:t>000</w:t>
            </w:r>
          </w:p>
        </w:tc>
      </w:tr>
      <w:tr w:rsidR="00271E37" w:rsidRPr="00EC193A" w14:paraId="367B4C2D" w14:textId="77777777">
        <w:tc>
          <w:tcPr>
            <w:tcW w:w="0" w:type="auto"/>
            <w:tcBorders>
              <w:top w:val="single" w:sz="4" w:space="0" w:color="auto"/>
            </w:tcBorders>
          </w:tcPr>
          <w:p w14:paraId="22577AB9" w14:textId="77777777" w:rsidR="00271E37" w:rsidRPr="00EC193A" w:rsidRDefault="00271E37">
            <w:pPr>
              <w:jc w:val="left"/>
            </w:pPr>
            <w:r w:rsidRPr="00EC193A">
              <w:t>Included in financing activities – payment of lease liabilities</w:t>
            </w:r>
          </w:p>
        </w:tc>
        <w:tc>
          <w:tcPr>
            <w:tcW w:w="1134" w:type="dxa"/>
            <w:tcBorders>
              <w:top w:val="single" w:sz="4" w:space="0" w:color="auto"/>
            </w:tcBorders>
            <w:vAlign w:val="center"/>
          </w:tcPr>
          <w:p w14:paraId="110BCD26" w14:textId="77777777" w:rsidR="00271E37" w:rsidRPr="006B42E0" w:rsidRDefault="00271E37">
            <w:pPr>
              <w:rPr>
                <w:b/>
                <w:bCs/>
              </w:rPr>
            </w:pPr>
            <w:r>
              <w:rPr>
                <w:rFonts w:cs="Arial"/>
                <w:b/>
                <w:bCs/>
                <w:color w:val="000000"/>
                <w:szCs w:val="16"/>
              </w:rPr>
              <w:t xml:space="preserve">4,580 </w:t>
            </w:r>
          </w:p>
        </w:tc>
        <w:tc>
          <w:tcPr>
            <w:tcW w:w="1134" w:type="dxa"/>
            <w:tcBorders>
              <w:top w:val="single" w:sz="4" w:space="0" w:color="auto"/>
            </w:tcBorders>
            <w:vAlign w:val="center"/>
          </w:tcPr>
          <w:p w14:paraId="0CC9D84A" w14:textId="77777777" w:rsidR="00271E37" w:rsidRPr="006B42E0" w:rsidRDefault="00271E37">
            <w:r>
              <w:rPr>
                <w:rFonts w:cs="Arial"/>
                <w:color w:val="000000"/>
                <w:szCs w:val="16"/>
              </w:rPr>
              <w:t xml:space="preserve">12,935 </w:t>
            </w:r>
          </w:p>
        </w:tc>
      </w:tr>
      <w:tr w:rsidR="00271E37" w:rsidRPr="00EC193A" w14:paraId="3076B526" w14:textId="77777777">
        <w:tc>
          <w:tcPr>
            <w:tcW w:w="0" w:type="auto"/>
            <w:tcBorders>
              <w:bottom w:val="nil"/>
            </w:tcBorders>
          </w:tcPr>
          <w:p w14:paraId="33262427" w14:textId="77777777" w:rsidR="00271E37" w:rsidRPr="00EC193A" w:rsidRDefault="00271E37">
            <w:pPr>
              <w:jc w:val="left"/>
            </w:pPr>
            <w:r w:rsidRPr="00EC193A">
              <w:t>Included in interest and similar charges paid</w:t>
            </w:r>
          </w:p>
        </w:tc>
        <w:tc>
          <w:tcPr>
            <w:tcW w:w="1134" w:type="dxa"/>
            <w:tcBorders>
              <w:bottom w:val="nil"/>
            </w:tcBorders>
            <w:vAlign w:val="center"/>
          </w:tcPr>
          <w:p w14:paraId="5945C2C9" w14:textId="77777777" w:rsidR="00271E37" w:rsidRPr="006B42E0" w:rsidRDefault="00271E37">
            <w:pPr>
              <w:rPr>
                <w:b/>
                <w:bCs/>
              </w:rPr>
            </w:pPr>
            <w:r>
              <w:rPr>
                <w:rFonts w:cs="Arial"/>
                <w:b/>
                <w:bCs/>
                <w:color w:val="000000"/>
                <w:szCs w:val="16"/>
              </w:rPr>
              <w:t xml:space="preserve">1,641 </w:t>
            </w:r>
          </w:p>
        </w:tc>
        <w:tc>
          <w:tcPr>
            <w:tcW w:w="1134" w:type="dxa"/>
            <w:tcBorders>
              <w:bottom w:val="nil"/>
            </w:tcBorders>
            <w:vAlign w:val="center"/>
          </w:tcPr>
          <w:p w14:paraId="644E71F5" w14:textId="77777777" w:rsidR="00271E37" w:rsidRPr="006B42E0" w:rsidRDefault="00271E37">
            <w:r>
              <w:rPr>
                <w:rFonts w:cs="Arial"/>
                <w:color w:val="000000"/>
                <w:szCs w:val="16"/>
              </w:rPr>
              <w:t xml:space="preserve">1,760 </w:t>
            </w:r>
          </w:p>
        </w:tc>
      </w:tr>
      <w:tr w:rsidR="00271E37" w:rsidRPr="00EC193A" w14:paraId="1EC57478" w14:textId="77777777">
        <w:tc>
          <w:tcPr>
            <w:tcW w:w="0" w:type="auto"/>
            <w:tcBorders>
              <w:top w:val="single" w:sz="4" w:space="0" w:color="auto"/>
            </w:tcBorders>
          </w:tcPr>
          <w:p w14:paraId="6C21FDE0" w14:textId="77777777" w:rsidR="00271E37" w:rsidRPr="00EC193A" w:rsidRDefault="00271E37">
            <w:pPr>
              <w:jc w:val="left"/>
            </w:pPr>
            <w:r w:rsidRPr="00EC193A">
              <w:t xml:space="preserve"> </w:t>
            </w:r>
          </w:p>
        </w:tc>
        <w:tc>
          <w:tcPr>
            <w:tcW w:w="1134" w:type="dxa"/>
            <w:tcBorders>
              <w:top w:val="single" w:sz="4" w:space="0" w:color="auto"/>
            </w:tcBorders>
            <w:vAlign w:val="center"/>
          </w:tcPr>
          <w:p w14:paraId="6F15625F" w14:textId="77777777" w:rsidR="00271E37" w:rsidRPr="006B42E0" w:rsidRDefault="00271E37">
            <w:pPr>
              <w:rPr>
                <w:b/>
                <w:bCs/>
              </w:rPr>
            </w:pPr>
            <w:r>
              <w:rPr>
                <w:rFonts w:cs="Arial"/>
                <w:b/>
                <w:bCs/>
                <w:color w:val="000000"/>
                <w:szCs w:val="16"/>
              </w:rPr>
              <w:t xml:space="preserve">6,221 </w:t>
            </w:r>
          </w:p>
        </w:tc>
        <w:tc>
          <w:tcPr>
            <w:tcW w:w="1134" w:type="dxa"/>
            <w:tcBorders>
              <w:top w:val="single" w:sz="4" w:space="0" w:color="auto"/>
            </w:tcBorders>
            <w:vAlign w:val="center"/>
          </w:tcPr>
          <w:p w14:paraId="226BDB36" w14:textId="77777777" w:rsidR="00271E37" w:rsidRPr="006B42E0" w:rsidRDefault="00271E37">
            <w:r>
              <w:rPr>
                <w:rFonts w:cs="Arial"/>
                <w:color w:val="000000"/>
                <w:szCs w:val="16"/>
              </w:rPr>
              <w:t xml:space="preserve">14,695 </w:t>
            </w:r>
          </w:p>
        </w:tc>
      </w:tr>
    </w:tbl>
    <w:p w14:paraId="1811EEDF" w14:textId="77777777" w:rsidR="00271E37" w:rsidRDefault="00271E37"/>
    <w:p w14:paraId="03059B3C" w14:textId="6401DE59" w:rsidR="00271E37" w:rsidRDefault="00271E37" w:rsidP="002E39D4">
      <w:r>
        <w:t>During the year</w:t>
      </w:r>
      <w:r w:rsidR="007A7FEC">
        <w:t>,</w:t>
      </w:r>
      <w:r>
        <w:t xml:space="preserve"> sub-lease income from right-of-use assets was £742,000 (2025: £330,000). </w:t>
      </w:r>
    </w:p>
    <w:p w14:paraId="09210572" w14:textId="77777777" w:rsidR="00271E37" w:rsidRDefault="00271E37" w:rsidP="002E39D4"/>
    <w:p w14:paraId="52DAA62E" w14:textId="77777777" w:rsidR="00271E37" w:rsidRDefault="00271E37" w:rsidP="002E39D4">
      <w:r>
        <w:t>Non-cancellable operating lease rentals are receivable as follows:</w:t>
      </w:r>
    </w:p>
    <w:tbl>
      <w:tblPr>
        <w:tblStyle w:val="tableDUL"/>
        <w:tblW w:w="9639" w:type="dxa"/>
        <w:tblLook w:val="04A0" w:firstRow="1" w:lastRow="0" w:firstColumn="1" w:lastColumn="0" w:noHBand="0" w:noVBand="1"/>
      </w:tblPr>
      <w:tblGrid>
        <w:gridCol w:w="7371"/>
        <w:gridCol w:w="1134"/>
        <w:gridCol w:w="1134"/>
      </w:tblGrid>
      <w:tr w:rsidR="00271E37" w:rsidRPr="00EC193A" w14:paraId="0100E2DF" w14:textId="77777777" w:rsidTr="00AF0340">
        <w:tc>
          <w:tcPr>
            <w:tcW w:w="0" w:type="auto"/>
            <w:tcBorders>
              <w:bottom w:val="nil"/>
            </w:tcBorders>
          </w:tcPr>
          <w:p w14:paraId="29261349" w14:textId="77777777" w:rsidR="00271E37" w:rsidRPr="00EC193A" w:rsidRDefault="00271E37" w:rsidP="00EC193A">
            <w:pPr>
              <w:jc w:val="left"/>
            </w:pPr>
          </w:p>
        </w:tc>
        <w:tc>
          <w:tcPr>
            <w:tcW w:w="1134" w:type="dxa"/>
            <w:tcBorders>
              <w:bottom w:val="nil"/>
            </w:tcBorders>
          </w:tcPr>
          <w:p w14:paraId="34BEA73F" w14:textId="77777777" w:rsidR="00271E37" w:rsidRPr="00EC193A" w:rsidRDefault="00271E37" w:rsidP="000923EA">
            <w:pPr>
              <w:rPr>
                <w:b/>
                <w:bCs/>
              </w:rPr>
            </w:pPr>
            <w:r w:rsidRPr="00EC193A">
              <w:rPr>
                <w:b/>
                <w:bCs/>
              </w:rPr>
              <w:t>202</w:t>
            </w:r>
            <w:r>
              <w:rPr>
                <w:b/>
                <w:bCs/>
              </w:rPr>
              <w:t>6</w:t>
            </w:r>
          </w:p>
        </w:tc>
        <w:tc>
          <w:tcPr>
            <w:tcW w:w="1134" w:type="dxa"/>
            <w:tcBorders>
              <w:bottom w:val="nil"/>
            </w:tcBorders>
          </w:tcPr>
          <w:p w14:paraId="1122D98E" w14:textId="77777777" w:rsidR="00271E37" w:rsidRPr="00EC193A" w:rsidRDefault="00271E37" w:rsidP="000923EA">
            <w:r w:rsidRPr="00EC193A">
              <w:t>202</w:t>
            </w:r>
            <w:r>
              <w:t>5</w:t>
            </w:r>
          </w:p>
        </w:tc>
      </w:tr>
      <w:tr w:rsidR="00271E37" w:rsidRPr="00EC193A" w14:paraId="51210190" w14:textId="77777777" w:rsidTr="00AF0340">
        <w:tc>
          <w:tcPr>
            <w:tcW w:w="0" w:type="auto"/>
            <w:tcBorders>
              <w:bottom w:val="single" w:sz="4" w:space="0" w:color="auto"/>
            </w:tcBorders>
          </w:tcPr>
          <w:p w14:paraId="1A0C4707" w14:textId="77777777" w:rsidR="00271E37" w:rsidRPr="00EC193A" w:rsidRDefault="00271E37" w:rsidP="00EC193A">
            <w:pPr>
              <w:jc w:val="left"/>
            </w:pPr>
          </w:p>
        </w:tc>
        <w:tc>
          <w:tcPr>
            <w:tcW w:w="1134" w:type="dxa"/>
            <w:tcBorders>
              <w:bottom w:val="single" w:sz="4" w:space="0" w:color="auto"/>
            </w:tcBorders>
          </w:tcPr>
          <w:p w14:paraId="640D8BFE" w14:textId="77777777" w:rsidR="00271E37" w:rsidRPr="00EC193A" w:rsidRDefault="00271E37" w:rsidP="000923EA">
            <w:pPr>
              <w:rPr>
                <w:b/>
                <w:bCs/>
              </w:rPr>
            </w:pPr>
            <w:r>
              <w:rPr>
                <w:b/>
                <w:bCs/>
              </w:rPr>
              <w:t>£</w:t>
            </w:r>
            <w:r w:rsidRPr="00EC193A">
              <w:rPr>
                <w:b/>
                <w:bCs/>
              </w:rPr>
              <w:t>000</w:t>
            </w:r>
          </w:p>
        </w:tc>
        <w:tc>
          <w:tcPr>
            <w:tcW w:w="1134" w:type="dxa"/>
            <w:tcBorders>
              <w:bottom w:val="single" w:sz="4" w:space="0" w:color="auto"/>
            </w:tcBorders>
          </w:tcPr>
          <w:p w14:paraId="76C07A4E" w14:textId="77777777" w:rsidR="00271E37" w:rsidRPr="00EC193A" w:rsidRDefault="00271E37" w:rsidP="000923EA">
            <w:r>
              <w:t>£</w:t>
            </w:r>
            <w:r w:rsidRPr="00EC193A">
              <w:t>000</w:t>
            </w:r>
          </w:p>
        </w:tc>
      </w:tr>
      <w:tr w:rsidR="00271E37" w:rsidRPr="00EC193A" w14:paraId="5B0057B6" w14:textId="77777777">
        <w:tc>
          <w:tcPr>
            <w:tcW w:w="0" w:type="auto"/>
            <w:tcBorders>
              <w:top w:val="single" w:sz="4" w:space="0" w:color="auto"/>
              <w:bottom w:val="nil"/>
            </w:tcBorders>
          </w:tcPr>
          <w:p w14:paraId="7A45DBA2" w14:textId="77777777" w:rsidR="00271E37" w:rsidRPr="00EC193A" w:rsidRDefault="00271E37">
            <w:pPr>
              <w:jc w:val="left"/>
            </w:pPr>
            <w:r w:rsidRPr="00EC193A">
              <w:t>Less than one year</w:t>
            </w:r>
          </w:p>
        </w:tc>
        <w:tc>
          <w:tcPr>
            <w:tcW w:w="1134" w:type="dxa"/>
            <w:tcBorders>
              <w:top w:val="single" w:sz="4" w:space="0" w:color="auto"/>
              <w:bottom w:val="nil"/>
            </w:tcBorders>
            <w:vAlign w:val="center"/>
          </w:tcPr>
          <w:p w14:paraId="6507CC63" w14:textId="77777777" w:rsidR="00271E37" w:rsidRPr="006B42E0" w:rsidRDefault="00271E37">
            <w:pPr>
              <w:rPr>
                <w:b/>
                <w:bCs/>
              </w:rPr>
            </w:pPr>
            <w:r>
              <w:rPr>
                <w:rFonts w:cs="Arial"/>
                <w:b/>
                <w:bCs/>
                <w:color w:val="000000"/>
                <w:szCs w:val="16"/>
              </w:rPr>
              <w:t xml:space="preserve">722 </w:t>
            </w:r>
          </w:p>
        </w:tc>
        <w:tc>
          <w:tcPr>
            <w:tcW w:w="1134" w:type="dxa"/>
            <w:tcBorders>
              <w:top w:val="single" w:sz="4" w:space="0" w:color="auto"/>
              <w:bottom w:val="nil"/>
            </w:tcBorders>
            <w:vAlign w:val="center"/>
          </w:tcPr>
          <w:p w14:paraId="7738D996" w14:textId="77777777" w:rsidR="00271E37" w:rsidRPr="006B42E0" w:rsidRDefault="00271E37">
            <w:r>
              <w:rPr>
                <w:rFonts w:cs="Arial"/>
                <w:color w:val="000000"/>
                <w:szCs w:val="16"/>
              </w:rPr>
              <w:t xml:space="preserve">715 </w:t>
            </w:r>
          </w:p>
        </w:tc>
      </w:tr>
      <w:tr w:rsidR="00271E37" w:rsidRPr="00EC193A" w14:paraId="56B8A1E8" w14:textId="77777777">
        <w:tc>
          <w:tcPr>
            <w:tcW w:w="0" w:type="auto"/>
            <w:tcBorders>
              <w:bottom w:val="single" w:sz="4" w:space="0" w:color="auto"/>
            </w:tcBorders>
          </w:tcPr>
          <w:p w14:paraId="3731C3A6" w14:textId="77777777" w:rsidR="00271E37" w:rsidRPr="00EC193A" w:rsidRDefault="00271E37">
            <w:pPr>
              <w:jc w:val="left"/>
            </w:pPr>
            <w:r w:rsidRPr="00EC193A">
              <w:t>Between one and five years</w:t>
            </w:r>
          </w:p>
        </w:tc>
        <w:tc>
          <w:tcPr>
            <w:tcW w:w="1134" w:type="dxa"/>
            <w:tcBorders>
              <w:bottom w:val="single" w:sz="4" w:space="0" w:color="auto"/>
            </w:tcBorders>
            <w:vAlign w:val="center"/>
          </w:tcPr>
          <w:p w14:paraId="0B2B8BAD" w14:textId="77777777" w:rsidR="00271E37" w:rsidRPr="006B42E0" w:rsidRDefault="00271E37">
            <w:pPr>
              <w:rPr>
                <w:b/>
                <w:bCs/>
              </w:rPr>
            </w:pPr>
            <w:r>
              <w:rPr>
                <w:rFonts w:cs="Arial"/>
                <w:b/>
                <w:bCs/>
                <w:color w:val="000000"/>
                <w:szCs w:val="16"/>
              </w:rPr>
              <w:t xml:space="preserve">1,782 </w:t>
            </w:r>
          </w:p>
        </w:tc>
        <w:tc>
          <w:tcPr>
            <w:tcW w:w="1134" w:type="dxa"/>
            <w:tcBorders>
              <w:bottom w:val="single" w:sz="4" w:space="0" w:color="auto"/>
            </w:tcBorders>
            <w:vAlign w:val="center"/>
          </w:tcPr>
          <w:p w14:paraId="209A338E" w14:textId="77777777" w:rsidR="00271E37" w:rsidRPr="006B42E0" w:rsidRDefault="00271E37">
            <w:r>
              <w:rPr>
                <w:rFonts w:cs="Arial"/>
                <w:color w:val="000000"/>
                <w:szCs w:val="16"/>
              </w:rPr>
              <w:t xml:space="preserve">1,179 </w:t>
            </w:r>
          </w:p>
        </w:tc>
      </w:tr>
      <w:tr w:rsidR="00271E37" w:rsidRPr="00EC193A" w14:paraId="74507995" w14:textId="77777777">
        <w:tc>
          <w:tcPr>
            <w:tcW w:w="0" w:type="auto"/>
            <w:tcBorders>
              <w:top w:val="single" w:sz="4" w:space="0" w:color="auto"/>
            </w:tcBorders>
          </w:tcPr>
          <w:p w14:paraId="04281A86" w14:textId="77777777" w:rsidR="00271E37" w:rsidRPr="00EC193A" w:rsidRDefault="00271E37">
            <w:pPr>
              <w:jc w:val="left"/>
            </w:pPr>
          </w:p>
        </w:tc>
        <w:tc>
          <w:tcPr>
            <w:tcW w:w="1134" w:type="dxa"/>
            <w:tcBorders>
              <w:top w:val="single" w:sz="4" w:space="0" w:color="auto"/>
            </w:tcBorders>
            <w:vAlign w:val="center"/>
          </w:tcPr>
          <w:p w14:paraId="118E46F9" w14:textId="77777777" w:rsidR="00271E37" w:rsidRPr="006B42E0" w:rsidRDefault="00271E37">
            <w:pPr>
              <w:rPr>
                <w:b/>
                <w:bCs/>
              </w:rPr>
            </w:pPr>
            <w:r>
              <w:rPr>
                <w:rFonts w:cs="Arial"/>
                <w:b/>
                <w:bCs/>
                <w:color w:val="000000"/>
                <w:szCs w:val="16"/>
              </w:rPr>
              <w:t xml:space="preserve">2,504 </w:t>
            </w:r>
          </w:p>
        </w:tc>
        <w:tc>
          <w:tcPr>
            <w:tcW w:w="1134" w:type="dxa"/>
            <w:tcBorders>
              <w:top w:val="single" w:sz="4" w:space="0" w:color="auto"/>
            </w:tcBorders>
            <w:vAlign w:val="center"/>
          </w:tcPr>
          <w:p w14:paraId="1A456C17" w14:textId="77777777" w:rsidR="00271E37" w:rsidRPr="006B42E0" w:rsidRDefault="00271E37">
            <w:r>
              <w:rPr>
                <w:rFonts w:cs="Arial"/>
                <w:color w:val="000000"/>
                <w:szCs w:val="16"/>
              </w:rPr>
              <w:t xml:space="preserve">1,894 </w:t>
            </w:r>
          </w:p>
        </w:tc>
      </w:tr>
    </w:tbl>
    <w:p w14:paraId="4E55310E" w14:textId="77777777" w:rsidR="00271E37" w:rsidRDefault="00271E37" w:rsidP="002E39D4"/>
    <w:p w14:paraId="3547BD87" w14:textId="77777777" w:rsidR="00271E37" w:rsidRPr="00AF0340" w:rsidRDefault="00271E37">
      <w:pPr>
        <w:pStyle w:val="Heading2"/>
      </w:pPr>
      <w:r w:rsidRPr="00AF0340">
        <w:lastRenderedPageBreak/>
        <w:t>11 Deferred tax assets and liabilities</w:t>
      </w:r>
    </w:p>
    <w:p w14:paraId="1C3EBCE9" w14:textId="77777777" w:rsidR="00271E37" w:rsidRPr="00AF0340" w:rsidRDefault="00271E37" w:rsidP="002E39D4">
      <w:pPr>
        <w:rPr>
          <w:b/>
          <w:bCs/>
          <w:i/>
          <w:iCs/>
        </w:rPr>
      </w:pPr>
      <w:r w:rsidRPr="006E648E">
        <w:rPr>
          <w:b/>
          <w:i/>
        </w:rPr>
        <w:t>Recognised deferred tax assets and liabilities</w:t>
      </w:r>
    </w:p>
    <w:p w14:paraId="2DE1FA75" w14:textId="77777777" w:rsidR="00271E37" w:rsidRDefault="00271E37" w:rsidP="002E39D4">
      <w:r>
        <w:t>Deferred tax assets and liabilities are attributable to the following:</w:t>
      </w:r>
    </w:p>
    <w:p w14:paraId="51521CBD" w14:textId="77777777" w:rsidR="00271E37" w:rsidRDefault="00271E37" w:rsidP="002E39D4"/>
    <w:p w14:paraId="56256E61" w14:textId="77777777" w:rsidR="00271E37" w:rsidRDefault="00271E37" w:rsidP="002E39D4"/>
    <w:tbl>
      <w:tblPr>
        <w:tblStyle w:val="tableDUL"/>
        <w:tblW w:w="9639" w:type="dxa"/>
        <w:tblLook w:val="04A0" w:firstRow="1" w:lastRow="0" w:firstColumn="1" w:lastColumn="0" w:noHBand="0" w:noVBand="1"/>
      </w:tblPr>
      <w:tblGrid>
        <w:gridCol w:w="3969"/>
        <w:gridCol w:w="1134"/>
        <w:gridCol w:w="1134"/>
        <w:gridCol w:w="1134"/>
        <w:gridCol w:w="1134"/>
        <w:gridCol w:w="1134"/>
      </w:tblGrid>
      <w:tr w:rsidR="00271E37" w:rsidRPr="00AE052E" w14:paraId="510090A4" w14:textId="77777777" w:rsidTr="004B7FD2">
        <w:tc>
          <w:tcPr>
            <w:tcW w:w="3969" w:type="dxa"/>
            <w:tcBorders>
              <w:bottom w:val="nil"/>
            </w:tcBorders>
          </w:tcPr>
          <w:p w14:paraId="75085268" w14:textId="77777777" w:rsidR="00271E37" w:rsidRPr="00AE052E" w:rsidRDefault="00271E37" w:rsidP="00AE052E">
            <w:pPr>
              <w:jc w:val="left"/>
            </w:pPr>
          </w:p>
        </w:tc>
        <w:tc>
          <w:tcPr>
            <w:tcW w:w="1134" w:type="dxa"/>
            <w:tcBorders>
              <w:bottom w:val="nil"/>
            </w:tcBorders>
          </w:tcPr>
          <w:p w14:paraId="5B4E5172" w14:textId="77777777" w:rsidR="00271E37" w:rsidRPr="00AE052E" w:rsidRDefault="00271E37" w:rsidP="000923EA">
            <w:r>
              <w:t xml:space="preserve">Property, plant and equipment and intangible </w:t>
            </w:r>
            <w:r w:rsidRPr="00AE052E">
              <w:t>assets</w:t>
            </w:r>
          </w:p>
        </w:tc>
        <w:tc>
          <w:tcPr>
            <w:tcW w:w="1134" w:type="dxa"/>
            <w:tcBorders>
              <w:bottom w:val="nil"/>
            </w:tcBorders>
          </w:tcPr>
          <w:p w14:paraId="66977161" w14:textId="77777777" w:rsidR="00271E37" w:rsidRDefault="00271E37" w:rsidP="000923EA"/>
          <w:p w14:paraId="5AE596D0" w14:textId="77777777" w:rsidR="00271E37" w:rsidRDefault="00271E37" w:rsidP="000923EA">
            <w:r>
              <w:t>Tax losses carried</w:t>
            </w:r>
          </w:p>
          <w:p w14:paraId="34D79E14" w14:textId="77777777" w:rsidR="00271E37" w:rsidRPr="00AE052E" w:rsidRDefault="00271E37" w:rsidP="000923EA">
            <w:r w:rsidRPr="00AE052E">
              <w:t>forward</w:t>
            </w:r>
          </w:p>
        </w:tc>
        <w:tc>
          <w:tcPr>
            <w:tcW w:w="1134" w:type="dxa"/>
            <w:tcBorders>
              <w:bottom w:val="nil"/>
            </w:tcBorders>
          </w:tcPr>
          <w:p w14:paraId="4ED82A0D" w14:textId="77777777" w:rsidR="00271E37" w:rsidRDefault="00271E37" w:rsidP="000923EA"/>
          <w:p w14:paraId="55D204D2" w14:textId="77777777" w:rsidR="00271E37" w:rsidRDefault="00271E37" w:rsidP="000923EA"/>
          <w:p w14:paraId="750FCCCB" w14:textId="77777777" w:rsidR="00271E37" w:rsidRDefault="00271E37" w:rsidP="000923EA">
            <w:r>
              <w:t xml:space="preserve">Doubtful </w:t>
            </w:r>
          </w:p>
          <w:p w14:paraId="7A308626" w14:textId="77777777" w:rsidR="00271E37" w:rsidRPr="00AE052E" w:rsidRDefault="00271E37" w:rsidP="000923EA">
            <w:r w:rsidRPr="00AE052E">
              <w:t>debts</w:t>
            </w:r>
          </w:p>
        </w:tc>
        <w:tc>
          <w:tcPr>
            <w:tcW w:w="1134" w:type="dxa"/>
            <w:tcBorders>
              <w:bottom w:val="nil"/>
            </w:tcBorders>
          </w:tcPr>
          <w:p w14:paraId="32974A21" w14:textId="77777777" w:rsidR="00271E37" w:rsidRDefault="00271E37" w:rsidP="000923EA"/>
          <w:p w14:paraId="7103A43C" w14:textId="77777777" w:rsidR="00271E37" w:rsidRDefault="00271E37" w:rsidP="000923EA">
            <w:r>
              <w:t xml:space="preserve">Other </w:t>
            </w:r>
          </w:p>
          <w:p w14:paraId="33C0803E" w14:textId="77777777" w:rsidR="00271E37" w:rsidRPr="00AE052E" w:rsidRDefault="00271E37" w:rsidP="000923EA">
            <w:r>
              <w:t xml:space="preserve">timing </w:t>
            </w:r>
            <w:r w:rsidRPr="00AE052E">
              <w:t>differences</w:t>
            </w:r>
            <w:r w:rsidRPr="00DD777C">
              <w:rPr>
                <w:vertAlign w:val="superscript"/>
              </w:rPr>
              <w:t>(a)</w:t>
            </w:r>
          </w:p>
        </w:tc>
        <w:tc>
          <w:tcPr>
            <w:tcW w:w="1134" w:type="dxa"/>
            <w:tcBorders>
              <w:bottom w:val="nil"/>
            </w:tcBorders>
          </w:tcPr>
          <w:p w14:paraId="7B049A78" w14:textId="77777777" w:rsidR="00271E37" w:rsidRDefault="00271E37" w:rsidP="000923EA">
            <w:r>
              <w:t xml:space="preserve"> </w:t>
            </w:r>
          </w:p>
          <w:p w14:paraId="7AA6E686" w14:textId="77777777" w:rsidR="00271E37" w:rsidRDefault="00271E37" w:rsidP="000923EA"/>
          <w:p w14:paraId="6FE6A979" w14:textId="77777777" w:rsidR="00271E37" w:rsidRDefault="00271E37" w:rsidP="000923EA"/>
          <w:p w14:paraId="7F007E77" w14:textId="77777777" w:rsidR="00271E37" w:rsidRPr="00AE052E" w:rsidRDefault="00271E37" w:rsidP="000923EA">
            <w:r w:rsidRPr="00AE052E">
              <w:t>Total</w:t>
            </w:r>
          </w:p>
        </w:tc>
      </w:tr>
      <w:tr w:rsidR="00271E37" w:rsidRPr="00AE052E" w14:paraId="7303FA04" w14:textId="77777777" w:rsidTr="004B7FD2">
        <w:tc>
          <w:tcPr>
            <w:tcW w:w="3969" w:type="dxa"/>
            <w:tcBorders>
              <w:bottom w:val="single" w:sz="4" w:space="0" w:color="auto"/>
            </w:tcBorders>
          </w:tcPr>
          <w:p w14:paraId="1DB9D5B2" w14:textId="77777777" w:rsidR="00271E37" w:rsidRPr="00AE052E" w:rsidRDefault="00271E37" w:rsidP="00AE052E">
            <w:pPr>
              <w:jc w:val="left"/>
            </w:pPr>
          </w:p>
        </w:tc>
        <w:tc>
          <w:tcPr>
            <w:tcW w:w="1134" w:type="dxa"/>
            <w:tcBorders>
              <w:bottom w:val="single" w:sz="4" w:space="0" w:color="auto"/>
            </w:tcBorders>
          </w:tcPr>
          <w:p w14:paraId="7D47D9A3" w14:textId="77777777" w:rsidR="00271E37" w:rsidRPr="00AE052E" w:rsidRDefault="00271E37" w:rsidP="000923EA">
            <w:r>
              <w:t>£</w:t>
            </w:r>
            <w:r w:rsidRPr="00AE052E">
              <w:t>000</w:t>
            </w:r>
          </w:p>
        </w:tc>
        <w:tc>
          <w:tcPr>
            <w:tcW w:w="1134" w:type="dxa"/>
            <w:tcBorders>
              <w:bottom w:val="single" w:sz="4" w:space="0" w:color="auto"/>
            </w:tcBorders>
          </w:tcPr>
          <w:p w14:paraId="48754976" w14:textId="77777777" w:rsidR="00271E37" w:rsidRPr="00AE052E" w:rsidRDefault="00271E37" w:rsidP="000923EA">
            <w:r>
              <w:t>£</w:t>
            </w:r>
            <w:r w:rsidRPr="00AE052E">
              <w:t>000</w:t>
            </w:r>
          </w:p>
        </w:tc>
        <w:tc>
          <w:tcPr>
            <w:tcW w:w="1134" w:type="dxa"/>
            <w:tcBorders>
              <w:bottom w:val="single" w:sz="4" w:space="0" w:color="auto"/>
            </w:tcBorders>
          </w:tcPr>
          <w:p w14:paraId="56900876" w14:textId="77777777" w:rsidR="00271E37" w:rsidRPr="00AE052E" w:rsidRDefault="00271E37" w:rsidP="000923EA">
            <w:r>
              <w:t>£</w:t>
            </w:r>
            <w:r w:rsidRPr="00AE052E">
              <w:t>000</w:t>
            </w:r>
          </w:p>
        </w:tc>
        <w:tc>
          <w:tcPr>
            <w:tcW w:w="1134" w:type="dxa"/>
            <w:tcBorders>
              <w:bottom w:val="single" w:sz="4" w:space="0" w:color="auto"/>
            </w:tcBorders>
          </w:tcPr>
          <w:p w14:paraId="6EA1737A" w14:textId="77777777" w:rsidR="00271E37" w:rsidRPr="00AE052E" w:rsidRDefault="00271E37" w:rsidP="000923EA">
            <w:r>
              <w:t>£</w:t>
            </w:r>
            <w:r w:rsidRPr="00AE052E">
              <w:t>000</w:t>
            </w:r>
          </w:p>
        </w:tc>
        <w:tc>
          <w:tcPr>
            <w:tcW w:w="1134" w:type="dxa"/>
            <w:tcBorders>
              <w:bottom w:val="single" w:sz="4" w:space="0" w:color="auto"/>
            </w:tcBorders>
          </w:tcPr>
          <w:p w14:paraId="42D7FCA4" w14:textId="77777777" w:rsidR="00271E37" w:rsidRPr="00AE052E" w:rsidRDefault="00271E37" w:rsidP="000923EA">
            <w:r>
              <w:t>£</w:t>
            </w:r>
            <w:r w:rsidRPr="00AE052E">
              <w:t>000</w:t>
            </w:r>
          </w:p>
        </w:tc>
      </w:tr>
      <w:tr w:rsidR="00271E37" w:rsidRPr="00AE052E" w14:paraId="4BA66CC0" w14:textId="77777777">
        <w:tc>
          <w:tcPr>
            <w:tcW w:w="3969" w:type="dxa"/>
            <w:tcBorders>
              <w:top w:val="single" w:sz="4" w:space="0" w:color="auto"/>
            </w:tcBorders>
          </w:tcPr>
          <w:p w14:paraId="7A9B4E81" w14:textId="77777777" w:rsidR="00271E37" w:rsidRPr="00AE052E" w:rsidRDefault="00271E37">
            <w:pPr>
              <w:jc w:val="left"/>
            </w:pPr>
            <w:r w:rsidRPr="00AE052E">
              <w:t>At 1 April 202</w:t>
            </w:r>
            <w:r>
              <w:t>5</w:t>
            </w:r>
          </w:p>
        </w:tc>
        <w:tc>
          <w:tcPr>
            <w:tcW w:w="1134" w:type="dxa"/>
            <w:tcBorders>
              <w:top w:val="single" w:sz="4" w:space="0" w:color="auto"/>
            </w:tcBorders>
            <w:vAlign w:val="center"/>
          </w:tcPr>
          <w:p w14:paraId="331FB029" w14:textId="77777777" w:rsidR="00271E37" w:rsidRPr="00AE052E" w:rsidRDefault="00271E37">
            <w:r>
              <w:rPr>
                <w:rFonts w:cs="Arial"/>
                <w:color w:val="000000"/>
                <w:szCs w:val="16"/>
              </w:rPr>
              <w:t xml:space="preserve">47 </w:t>
            </w:r>
          </w:p>
        </w:tc>
        <w:tc>
          <w:tcPr>
            <w:tcW w:w="1134" w:type="dxa"/>
            <w:tcBorders>
              <w:top w:val="single" w:sz="4" w:space="0" w:color="auto"/>
            </w:tcBorders>
            <w:vAlign w:val="center"/>
          </w:tcPr>
          <w:p w14:paraId="61B5F420" w14:textId="77777777" w:rsidR="00271E37" w:rsidRPr="00AE052E" w:rsidRDefault="00271E37">
            <w:r>
              <w:rPr>
                <w:rFonts w:cs="Arial"/>
                <w:color w:val="000000"/>
                <w:szCs w:val="16"/>
              </w:rPr>
              <w:t xml:space="preserve"> - </w:t>
            </w:r>
          </w:p>
        </w:tc>
        <w:tc>
          <w:tcPr>
            <w:tcW w:w="1134" w:type="dxa"/>
            <w:tcBorders>
              <w:top w:val="single" w:sz="4" w:space="0" w:color="auto"/>
            </w:tcBorders>
            <w:vAlign w:val="center"/>
          </w:tcPr>
          <w:p w14:paraId="1C636AA9" w14:textId="77777777" w:rsidR="00271E37" w:rsidRPr="00AE052E" w:rsidRDefault="00271E37">
            <w:r>
              <w:rPr>
                <w:rFonts w:cs="Arial"/>
                <w:color w:val="000000"/>
                <w:szCs w:val="16"/>
              </w:rPr>
              <w:t xml:space="preserve">5 </w:t>
            </w:r>
          </w:p>
        </w:tc>
        <w:tc>
          <w:tcPr>
            <w:tcW w:w="1134" w:type="dxa"/>
            <w:tcBorders>
              <w:top w:val="single" w:sz="4" w:space="0" w:color="auto"/>
            </w:tcBorders>
            <w:vAlign w:val="center"/>
          </w:tcPr>
          <w:p w14:paraId="2CFF929D" w14:textId="77777777" w:rsidR="00271E37" w:rsidRPr="00AE052E" w:rsidRDefault="00271E37">
            <w:r>
              <w:rPr>
                <w:rFonts w:cs="Arial"/>
                <w:color w:val="000000"/>
                <w:szCs w:val="16"/>
              </w:rPr>
              <w:t xml:space="preserve">899 </w:t>
            </w:r>
          </w:p>
        </w:tc>
        <w:tc>
          <w:tcPr>
            <w:tcW w:w="1134" w:type="dxa"/>
            <w:tcBorders>
              <w:top w:val="single" w:sz="4" w:space="0" w:color="auto"/>
            </w:tcBorders>
            <w:vAlign w:val="center"/>
          </w:tcPr>
          <w:p w14:paraId="63A853DF" w14:textId="77777777" w:rsidR="00271E37" w:rsidRPr="00AE052E" w:rsidRDefault="00271E37">
            <w:r>
              <w:rPr>
                <w:rFonts w:cs="Arial"/>
                <w:color w:val="000000"/>
                <w:szCs w:val="16"/>
              </w:rPr>
              <w:t xml:space="preserve">951 </w:t>
            </w:r>
          </w:p>
        </w:tc>
      </w:tr>
      <w:tr w:rsidR="00271E37" w:rsidRPr="00AE052E" w14:paraId="459B75C1" w14:textId="77777777">
        <w:tc>
          <w:tcPr>
            <w:tcW w:w="3969" w:type="dxa"/>
            <w:tcBorders>
              <w:bottom w:val="nil"/>
            </w:tcBorders>
          </w:tcPr>
          <w:p w14:paraId="4AA6DA51" w14:textId="5ED18281" w:rsidR="00271E37" w:rsidRPr="00AE052E" w:rsidRDefault="00271E37">
            <w:pPr>
              <w:jc w:val="left"/>
            </w:pPr>
            <w:r w:rsidRPr="00AE052E">
              <w:t>Credit to income statement</w:t>
            </w:r>
          </w:p>
        </w:tc>
        <w:tc>
          <w:tcPr>
            <w:tcW w:w="1134" w:type="dxa"/>
            <w:tcBorders>
              <w:bottom w:val="nil"/>
            </w:tcBorders>
            <w:vAlign w:val="center"/>
          </w:tcPr>
          <w:p w14:paraId="7E1223B9" w14:textId="77777777" w:rsidR="00271E37" w:rsidRPr="00AE052E" w:rsidRDefault="00271E37">
            <w:r>
              <w:rPr>
                <w:rFonts w:cs="Arial"/>
                <w:color w:val="000000"/>
                <w:szCs w:val="16"/>
              </w:rPr>
              <w:t xml:space="preserve">103 </w:t>
            </w:r>
          </w:p>
        </w:tc>
        <w:tc>
          <w:tcPr>
            <w:tcW w:w="1134" w:type="dxa"/>
            <w:tcBorders>
              <w:bottom w:val="nil"/>
            </w:tcBorders>
            <w:vAlign w:val="center"/>
          </w:tcPr>
          <w:p w14:paraId="18F1694B" w14:textId="77777777" w:rsidR="00271E37" w:rsidRPr="00AE052E" w:rsidRDefault="00271E37">
            <w:r>
              <w:rPr>
                <w:rFonts w:cs="Arial"/>
                <w:color w:val="000000"/>
                <w:szCs w:val="16"/>
              </w:rPr>
              <w:t xml:space="preserve"> - </w:t>
            </w:r>
          </w:p>
        </w:tc>
        <w:tc>
          <w:tcPr>
            <w:tcW w:w="1134" w:type="dxa"/>
            <w:tcBorders>
              <w:bottom w:val="nil"/>
            </w:tcBorders>
            <w:vAlign w:val="center"/>
          </w:tcPr>
          <w:p w14:paraId="00612A1B" w14:textId="77777777" w:rsidR="00271E37" w:rsidRPr="00AE052E" w:rsidRDefault="00271E37">
            <w:r>
              <w:rPr>
                <w:rFonts w:cs="Arial"/>
                <w:color w:val="000000"/>
                <w:szCs w:val="16"/>
              </w:rPr>
              <w:t xml:space="preserve">3 </w:t>
            </w:r>
          </w:p>
        </w:tc>
        <w:tc>
          <w:tcPr>
            <w:tcW w:w="1134" w:type="dxa"/>
            <w:tcBorders>
              <w:bottom w:val="nil"/>
            </w:tcBorders>
            <w:vAlign w:val="center"/>
          </w:tcPr>
          <w:p w14:paraId="2A9908B4" w14:textId="77777777" w:rsidR="00271E37" w:rsidRPr="00AE052E" w:rsidRDefault="00271E37">
            <w:r>
              <w:rPr>
                <w:rFonts w:cs="Arial"/>
                <w:color w:val="000000"/>
                <w:szCs w:val="16"/>
              </w:rPr>
              <w:t xml:space="preserve">112 </w:t>
            </w:r>
          </w:p>
        </w:tc>
        <w:tc>
          <w:tcPr>
            <w:tcW w:w="1134" w:type="dxa"/>
            <w:tcBorders>
              <w:bottom w:val="nil"/>
            </w:tcBorders>
            <w:vAlign w:val="center"/>
          </w:tcPr>
          <w:p w14:paraId="4BEFB264" w14:textId="77777777" w:rsidR="00271E37" w:rsidRPr="00AE052E" w:rsidRDefault="00271E37">
            <w:r>
              <w:rPr>
                <w:rFonts w:cs="Arial"/>
                <w:color w:val="000000"/>
                <w:szCs w:val="16"/>
              </w:rPr>
              <w:t xml:space="preserve">218 </w:t>
            </w:r>
          </w:p>
        </w:tc>
      </w:tr>
      <w:tr w:rsidR="00271E37" w:rsidRPr="00AE052E" w14:paraId="507DC05C" w14:textId="77777777">
        <w:tc>
          <w:tcPr>
            <w:tcW w:w="3969" w:type="dxa"/>
            <w:tcBorders>
              <w:bottom w:val="single" w:sz="4" w:space="0" w:color="auto"/>
            </w:tcBorders>
          </w:tcPr>
          <w:p w14:paraId="78013544" w14:textId="6E8E6665" w:rsidR="00271E37" w:rsidRPr="00AE052E" w:rsidRDefault="00271E37">
            <w:pPr>
              <w:jc w:val="left"/>
            </w:pPr>
            <w:r>
              <w:t>Credit</w:t>
            </w:r>
            <w:r w:rsidRPr="00AE052E">
              <w:t xml:space="preserve"> to equity</w:t>
            </w:r>
          </w:p>
        </w:tc>
        <w:tc>
          <w:tcPr>
            <w:tcW w:w="1134" w:type="dxa"/>
            <w:tcBorders>
              <w:bottom w:val="single" w:sz="4" w:space="0" w:color="auto"/>
            </w:tcBorders>
            <w:vAlign w:val="center"/>
          </w:tcPr>
          <w:p w14:paraId="61656ED5" w14:textId="77777777" w:rsidR="00271E37" w:rsidRPr="00AE052E" w:rsidRDefault="00271E37">
            <w:r>
              <w:rPr>
                <w:rFonts w:cs="Arial"/>
                <w:color w:val="000000"/>
                <w:szCs w:val="16"/>
              </w:rPr>
              <w:t xml:space="preserve">9 </w:t>
            </w:r>
          </w:p>
        </w:tc>
        <w:tc>
          <w:tcPr>
            <w:tcW w:w="1134" w:type="dxa"/>
            <w:tcBorders>
              <w:bottom w:val="single" w:sz="4" w:space="0" w:color="auto"/>
            </w:tcBorders>
            <w:vAlign w:val="center"/>
          </w:tcPr>
          <w:p w14:paraId="0B59C869" w14:textId="77777777" w:rsidR="00271E37" w:rsidRPr="00AE052E" w:rsidRDefault="00271E37">
            <w:r>
              <w:rPr>
                <w:rFonts w:cs="Arial"/>
                <w:color w:val="000000"/>
                <w:szCs w:val="16"/>
              </w:rPr>
              <w:t xml:space="preserve"> - </w:t>
            </w:r>
          </w:p>
        </w:tc>
        <w:tc>
          <w:tcPr>
            <w:tcW w:w="1134" w:type="dxa"/>
            <w:tcBorders>
              <w:bottom w:val="single" w:sz="4" w:space="0" w:color="auto"/>
            </w:tcBorders>
            <w:vAlign w:val="center"/>
          </w:tcPr>
          <w:p w14:paraId="0E6A0E42" w14:textId="77777777" w:rsidR="00271E37" w:rsidRPr="00AE052E" w:rsidRDefault="00271E37">
            <w:r>
              <w:rPr>
                <w:rFonts w:cs="Arial"/>
                <w:color w:val="000000"/>
                <w:szCs w:val="16"/>
              </w:rPr>
              <w:t xml:space="preserve">1 </w:t>
            </w:r>
          </w:p>
        </w:tc>
        <w:tc>
          <w:tcPr>
            <w:tcW w:w="1134" w:type="dxa"/>
            <w:tcBorders>
              <w:bottom w:val="single" w:sz="4" w:space="0" w:color="auto"/>
            </w:tcBorders>
            <w:vAlign w:val="center"/>
          </w:tcPr>
          <w:p w14:paraId="15B1B09A" w14:textId="77777777" w:rsidR="00271E37" w:rsidRPr="00AE052E" w:rsidRDefault="00271E37">
            <w:r>
              <w:rPr>
                <w:rFonts w:cs="Arial"/>
                <w:color w:val="000000"/>
                <w:szCs w:val="16"/>
              </w:rPr>
              <w:t xml:space="preserve">84 </w:t>
            </w:r>
          </w:p>
        </w:tc>
        <w:tc>
          <w:tcPr>
            <w:tcW w:w="1134" w:type="dxa"/>
            <w:tcBorders>
              <w:bottom w:val="single" w:sz="4" w:space="0" w:color="auto"/>
            </w:tcBorders>
            <w:vAlign w:val="center"/>
          </w:tcPr>
          <w:p w14:paraId="5CD0C761" w14:textId="77777777" w:rsidR="00271E37" w:rsidRPr="00AE052E" w:rsidRDefault="00271E37">
            <w:r>
              <w:rPr>
                <w:rFonts w:cs="Arial"/>
                <w:color w:val="000000"/>
                <w:szCs w:val="16"/>
              </w:rPr>
              <w:t xml:space="preserve">94 </w:t>
            </w:r>
          </w:p>
        </w:tc>
      </w:tr>
      <w:tr w:rsidR="00271E37" w:rsidRPr="00AE052E" w14:paraId="7A6CA088" w14:textId="77777777">
        <w:tc>
          <w:tcPr>
            <w:tcW w:w="3969" w:type="dxa"/>
            <w:tcBorders>
              <w:top w:val="single" w:sz="4" w:space="0" w:color="auto"/>
              <w:bottom w:val="single" w:sz="12" w:space="0" w:color="auto"/>
            </w:tcBorders>
          </w:tcPr>
          <w:p w14:paraId="03496763" w14:textId="77777777" w:rsidR="00271E37" w:rsidRPr="00DD777C" w:rsidRDefault="00271E37">
            <w:pPr>
              <w:jc w:val="left"/>
            </w:pPr>
            <w:r w:rsidRPr="00DD777C">
              <w:t>At 31 March 202</w:t>
            </w:r>
            <w:r>
              <w:t>6</w:t>
            </w:r>
          </w:p>
        </w:tc>
        <w:tc>
          <w:tcPr>
            <w:tcW w:w="1134" w:type="dxa"/>
            <w:tcBorders>
              <w:top w:val="single" w:sz="4" w:space="0" w:color="auto"/>
              <w:bottom w:val="single" w:sz="12" w:space="0" w:color="auto"/>
            </w:tcBorders>
            <w:vAlign w:val="center"/>
          </w:tcPr>
          <w:p w14:paraId="320FEBE6" w14:textId="77777777" w:rsidR="00271E37" w:rsidRPr="00DD777C" w:rsidRDefault="00271E37">
            <w:r>
              <w:rPr>
                <w:rFonts w:cs="Arial"/>
                <w:b/>
                <w:bCs/>
                <w:color w:val="000000"/>
                <w:szCs w:val="16"/>
              </w:rPr>
              <w:t xml:space="preserve">159 </w:t>
            </w:r>
          </w:p>
        </w:tc>
        <w:tc>
          <w:tcPr>
            <w:tcW w:w="1134" w:type="dxa"/>
            <w:tcBorders>
              <w:top w:val="single" w:sz="4" w:space="0" w:color="auto"/>
              <w:bottom w:val="single" w:sz="12" w:space="0" w:color="auto"/>
            </w:tcBorders>
            <w:vAlign w:val="center"/>
          </w:tcPr>
          <w:p w14:paraId="27D9B378" w14:textId="77777777" w:rsidR="00271E37" w:rsidRPr="00DD777C" w:rsidRDefault="00271E37">
            <w:r>
              <w:rPr>
                <w:rFonts w:cs="Arial"/>
                <w:b/>
                <w:bCs/>
                <w:color w:val="000000"/>
                <w:szCs w:val="16"/>
              </w:rPr>
              <w:t xml:space="preserve"> - </w:t>
            </w:r>
          </w:p>
        </w:tc>
        <w:tc>
          <w:tcPr>
            <w:tcW w:w="1134" w:type="dxa"/>
            <w:tcBorders>
              <w:top w:val="single" w:sz="4" w:space="0" w:color="auto"/>
              <w:bottom w:val="single" w:sz="12" w:space="0" w:color="auto"/>
            </w:tcBorders>
            <w:vAlign w:val="center"/>
          </w:tcPr>
          <w:p w14:paraId="65C6D610" w14:textId="77777777" w:rsidR="00271E37" w:rsidRPr="00DD777C" w:rsidRDefault="00271E37">
            <w:r>
              <w:rPr>
                <w:rFonts w:cs="Arial"/>
                <w:b/>
                <w:bCs/>
                <w:color w:val="000000"/>
                <w:szCs w:val="16"/>
              </w:rPr>
              <w:t xml:space="preserve">9 </w:t>
            </w:r>
          </w:p>
        </w:tc>
        <w:tc>
          <w:tcPr>
            <w:tcW w:w="1134" w:type="dxa"/>
            <w:tcBorders>
              <w:top w:val="single" w:sz="4" w:space="0" w:color="auto"/>
              <w:bottom w:val="single" w:sz="12" w:space="0" w:color="auto"/>
            </w:tcBorders>
            <w:vAlign w:val="center"/>
          </w:tcPr>
          <w:p w14:paraId="180F0AFE" w14:textId="77777777" w:rsidR="00271E37" w:rsidRPr="00DD777C" w:rsidRDefault="00271E37">
            <w:r>
              <w:rPr>
                <w:rFonts w:cs="Arial"/>
                <w:b/>
                <w:bCs/>
                <w:color w:val="000000"/>
                <w:szCs w:val="16"/>
              </w:rPr>
              <w:t xml:space="preserve">1,095 </w:t>
            </w:r>
          </w:p>
        </w:tc>
        <w:tc>
          <w:tcPr>
            <w:tcW w:w="1134" w:type="dxa"/>
            <w:tcBorders>
              <w:top w:val="single" w:sz="4" w:space="0" w:color="auto"/>
              <w:bottom w:val="single" w:sz="12" w:space="0" w:color="auto"/>
            </w:tcBorders>
            <w:vAlign w:val="center"/>
          </w:tcPr>
          <w:p w14:paraId="14256A53" w14:textId="77777777" w:rsidR="00271E37" w:rsidRPr="00DD777C" w:rsidRDefault="00271E37">
            <w:r>
              <w:rPr>
                <w:rFonts w:cs="Arial"/>
                <w:b/>
                <w:bCs/>
                <w:color w:val="000000"/>
                <w:szCs w:val="16"/>
              </w:rPr>
              <w:t xml:space="preserve">1,263 </w:t>
            </w:r>
          </w:p>
        </w:tc>
      </w:tr>
      <w:tr w:rsidR="00271E37" w:rsidRPr="00AE052E" w14:paraId="2619180B" w14:textId="77777777">
        <w:tc>
          <w:tcPr>
            <w:tcW w:w="3969" w:type="dxa"/>
            <w:tcBorders>
              <w:top w:val="single" w:sz="12" w:space="0" w:color="auto"/>
              <w:bottom w:val="nil"/>
            </w:tcBorders>
          </w:tcPr>
          <w:p w14:paraId="34576BF5" w14:textId="77777777" w:rsidR="00271E37" w:rsidRPr="00AE052E" w:rsidRDefault="00271E37">
            <w:pPr>
              <w:jc w:val="left"/>
            </w:pPr>
            <w:r w:rsidRPr="00AE052E">
              <w:t>Deferred tax liabilities</w:t>
            </w:r>
          </w:p>
        </w:tc>
        <w:tc>
          <w:tcPr>
            <w:tcW w:w="1134" w:type="dxa"/>
            <w:tcBorders>
              <w:top w:val="single" w:sz="12" w:space="0" w:color="auto"/>
              <w:bottom w:val="nil"/>
            </w:tcBorders>
            <w:vAlign w:val="center"/>
          </w:tcPr>
          <w:p w14:paraId="18D554DF" w14:textId="77777777" w:rsidR="00271E37" w:rsidRPr="00AE052E" w:rsidRDefault="00271E37">
            <w:r>
              <w:rPr>
                <w:rFonts w:cs="Arial"/>
                <w:color w:val="000000"/>
                <w:szCs w:val="16"/>
              </w:rPr>
              <w:t>(70)</w:t>
            </w:r>
          </w:p>
        </w:tc>
        <w:tc>
          <w:tcPr>
            <w:tcW w:w="1134" w:type="dxa"/>
            <w:tcBorders>
              <w:top w:val="single" w:sz="12" w:space="0" w:color="auto"/>
              <w:bottom w:val="nil"/>
            </w:tcBorders>
            <w:vAlign w:val="center"/>
          </w:tcPr>
          <w:p w14:paraId="4B25B1B3" w14:textId="77777777" w:rsidR="00271E37" w:rsidRPr="00AE052E" w:rsidRDefault="00271E37">
            <w:r>
              <w:rPr>
                <w:rFonts w:cs="Arial"/>
                <w:color w:val="000000"/>
                <w:szCs w:val="16"/>
              </w:rPr>
              <w:t xml:space="preserve"> - </w:t>
            </w:r>
          </w:p>
        </w:tc>
        <w:tc>
          <w:tcPr>
            <w:tcW w:w="1134" w:type="dxa"/>
            <w:tcBorders>
              <w:top w:val="single" w:sz="12" w:space="0" w:color="auto"/>
              <w:bottom w:val="nil"/>
            </w:tcBorders>
            <w:vAlign w:val="center"/>
          </w:tcPr>
          <w:p w14:paraId="001EECD5" w14:textId="77777777" w:rsidR="00271E37" w:rsidRPr="00AE052E" w:rsidRDefault="00271E37">
            <w:r>
              <w:rPr>
                <w:rFonts w:cs="Arial"/>
                <w:color w:val="000000"/>
                <w:szCs w:val="16"/>
              </w:rPr>
              <w:t xml:space="preserve"> - </w:t>
            </w:r>
          </w:p>
        </w:tc>
        <w:tc>
          <w:tcPr>
            <w:tcW w:w="1134" w:type="dxa"/>
            <w:tcBorders>
              <w:top w:val="single" w:sz="12" w:space="0" w:color="auto"/>
              <w:bottom w:val="nil"/>
            </w:tcBorders>
            <w:vAlign w:val="center"/>
          </w:tcPr>
          <w:p w14:paraId="3D7061D3" w14:textId="3E771359" w:rsidR="00271E37" w:rsidRPr="005E1DC5" w:rsidRDefault="00271E37">
            <w:r w:rsidRPr="005E1DC5">
              <w:rPr>
                <w:rFonts w:cs="Arial"/>
                <w:color w:val="000000"/>
                <w:szCs w:val="16"/>
              </w:rPr>
              <w:t>(</w:t>
            </w:r>
            <w:r w:rsidR="00397C30" w:rsidRPr="005E1DC5">
              <w:rPr>
                <w:rFonts w:cs="Arial"/>
                <w:color w:val="000000"/>
                <w:szCs w:val="16"/>
              </w:rPr>
              <w:t>5</w:t>
            </w:r>
            <w:r w:rsidRPr="005E1DC5">
              <w:rPr>
                <w:rFonts w:cs="Arial"/>
                <w:color w:val="000000"/>
                <w:szCs w:val="16"/>
              </w:rPr>
              <w:t>)</w:t>
            </w:r>
          </w:p>
        </w:tc>
        <w:tc>
          <w:tcPr>
            <w:tcW w:w="1134" w:type="dxa"/>
            <w:tcBorders>
              <w:top w:val="single" w:sz="12" w:space="0" w:color="auto"/>
              <w:bottom w:val="nil"/>
            </w:tcBorders>
            <w:vAlign w:val="center"/>
          </w:tcPr>
          <w:p w14:paraId="1B65A935" w14:textId="09B6BA04" w:rsidR="00271E37" w:rsidRPr="00AE052E" w:rsidRDefault="00271E37">
            <w:r>
              <w:rPr>
                <w:rFonts w:cs="Arial"/>
                <w:color w:val="000000"/>
                <w:szCs w:val="16"/>
              </w:rPr>
              <w:t>(7</w:t>
            </w:r>
            <w:r w:rsidR="005152F5">
              <w:rPr>
                <w:rFonts w:cs="Arial"/>
                <w:color w:val="000000"/>
                <w:szCs w:val="16"/>
              </w:rPr>
              <w:t>5</w:t>
            </w:r>
            <w:r>
              <w:rPr>
                <w:rFonts w:cs="Arial"/>
                <w:color w:val="000000"/>
                <w:szCs w:val="16"/>
              </w:rPr>
              <w:t>)</w:t>
            </w:r>
          </w:p>
        </w:tc>
      </w:tr>
      <w:tr w:rsidR="00271E37" w:rsidRPr="00AE052E" w14:paraId="087D0344" w14:textId="77777777">
        <w:tc>
          <w:tcPr>
            <w:tcW w:w="3969" w:type="dxa"/>
            <w:tcBorders>
              <w:bottom w:val="single" w:sz="4" w:space="0" w:color="auto"/>
            </w:tcBorders>
          </w:tcPr>
          <w:p w14:paraId="2BBC23E8" w14:textId="77777777" w:rsidR="00271E37" w:rsidRPr="00AE052E" w:rsidRDefault="00271E37">
            <w:pPr>
              <w:jc w:val="left"/>
            </w:pPr>
            <w:r w:rsidRPr="00AE052E">
              <w:t>Deferred tax assets</w:t>
            </w:r>
          </w:p>
        </w:tc>
        <w:tc>
          <w:tcPr>
            <w:tcW w:w="1134" w:type="dxa"/>
            <w:tcBorders>
              <w:bottom w:val="single" w:sz="4" w:space="0" w:color="auto"/>
            </w:tcBorders>
            <w:vAlign w:val="center"/>
          </w:tcPr>
          <w:p w14:paraId="6BBA40D0" w14:textId="77777777" w:rsidR="00271E37" w:rsidRPr="00AE052E" w:rsidRDefault="00271E37">
            <w:r>
              <w:rPr>
                <w:rFonts w:cs="Arial"/>
                <w:color w:val="000000"/>
                <w:szCs w:val="16"/>
              </w:rPr>
              <w:t xml:space="preserve">229 </w:t>
            </w:r>
          </w:p>
        </w:tc>
        <w:tc>
          <w:tcPr>
            <w:tcW w:w="1134" w:type="dxa"/>
            <w:tcBorders>
              <w:bottom w:val="single" w:sz="4" w:space="0" w:color="auto"/>
            </w:tcBorders>
            <w:vAlign w:val="center"/>
          </w:tcPr>
          <w:p w14:paraId="63555AFB" w14:textId="77777777" w:rsidR="00271E37" w:rsidRPr="00AE052E" w:rsidRDefault="00271E37">
            <w:r>
              <w:rPr>
                <w:rFonts w:cs="Arial"/>
                <w:color w:val="000000"/>
                <w:szCs w:val="16"/>
              </w:rPr>
              <w:t xml:space="preserve"> - </w:t>
            </w:r>
          </w:p>
        </w:tc>
        <w:tc>
          <w:tcPr>
            <w:tcW w:w="1134" w:type="dxa"/>
            <w:tcBorders>
              <w:bottom w:val="single" w:sz="4" w:space="0" w:color="auto"/>
            </w:tcBorders>
            <w:vAlign w:val="center"/>
          </w:tcPr>
          <w:p w14:paraId="5C902CEB" w14:textId="77777777" w:rsidR="00271E37" w:rsidRPr="00AE052E" w:rsidRDefault="00271E37">
            <w:r>
              <w:rPr>
                <w:rFonts w:cs="Arial"/>
                <w:color w:val="000000"/>
                <w:szCs w:val="16"/>
              </w:rPr>
              <w:t xml:space="preserve">9 </w:t>
            </w:r>
          </w:p>
        </w:tc>
        <w:tc>
          <w:tcPr>
            <w:tcW w:w="1134" w:type="dxa"/>
            <w:tcBorders>
              <w:bottom w:val="single" w:sz="4" w:space="0" w:color="auto"/>
            </w:tcBorders>
            <w:vAlign w:val="center"/>
          </w:tcPr>
          <w:p w14:paraId="22181621" w14:textId="77777777" w:rsidR="00271E37" w:rsidRPr="00AE052E" w:rsidRDefault="00271E37">
            <w:r>
              <w:rPr>
                <w:rFonts w:cs="Arial"/>
                <w:color w:val="000000"/>
                <w:szCs w:val="16"/>
              </w:rPr>
              <w:t xml:space="preserve">1,100 </w:t>
            </w:r>
          </w:p>
        </w:tc>
        <w:tc>
          <w:tcPr>
            <w:tcW w:w="1134" w:type="dxa"/>
            <w:tcBorders>
              <w:bottom w:val="single" w:sz="4" w:space="0" w:color="auto"/>
            </w:tcBorders>
            <w:vAlign w:val="center"/>
          </w:tcPr>
          <w:p w14:paraId="1115B2E7" w14:textId="77777777" w:rsidR="00271E37" w:rsidRPr="00AE052E" w:rsidRDefault="00271E37">
            <w:r>
              <w:rPr>
                <w:rFonts w:cs="Arial"/>
                <w:color w:val="000000"/>
                <w:szCs w:val="16"/>
              </w:rPr>
              <w:t xml:space="preserve">1,338 </w:t>
            </w:r>
          </w:p>
        </w:tc>
      </w:tr>
      <w:tr w:rsidR="00271E37" w:rsidRPr="00AE052E" w14:paraId="46B2E49E" w14:textId="77777777">
        <w:tc>
          <w:tcPr>
            <w:tcW w:w="3969" w:type="dxa"/>
            <w:tcBorders>
              <w:top w:val="single" w:sz="4" w:space="0" w:color="auto"/>
            </w:tcBorders>
          </w:tcPr>
          <w:p w14:paraId="3EF2F5C9" w14:textId="77777777" w:rsidR="00271E37" w:rsidRPr="00AE052E" w:rsidRDefault="00271E37">
            <w:pPr>
              <w:jc w:val="left"/>
            </w:pPr>
          </w:p>
        </w:tc>
        <w:tc>
          <w:tcPr>
            <w:tcW w:w="1134" w:type="dxa"/>
            <w:tcBorders>
              <w:top w:val="single" w:sz="4" w:space="0" w:color="auto"/>
            </w:tcBorders>
            <w:vAlign w:val="center"/>
          </w:tcPr>
          <w:p w14:paraId="09CBEEB3" w14:textId="77777777" w:rsidR="00271E37" w:rsidRPr="00DD777C" w:rsidRDefault="00271E37">
            <w:r>
              <w:rPr>
                <w:rFonts w:cs="Arial"/>
                <w:b/>
                <w:bCs/>
                <w:color w:val="000000"/>
                <w:szCs w:val="16"/>
              </w:rPr>
              <w:t xml:space="preserve">159 </w:t>
            </w:r>
          </w:p>
        </w:tc>
        <w:tc>
          <w:tcPr>
            <w:tcW w:w="1134" w:type="dxa"/>
            <w:tcBorders>
              <w:top w:val="single" w:sz="4" w:space="0" w:color="auto"/>
            </w:tcBorders>
            <w:vAlign w:val="center"/>
          </w:tcPr>
          <w:p w14:paraId="6F90F1DC" w14:textId="77777777" w:rsidR="00271E37" w:rsidRPr="00DD777C" w:rsidRDefault="00271E37">
            <w:r>
              <w:rPr>
                <w:rFonts w:cs="Arial"/>
                <w:b/>
                <w:bCs/>
                <w:color w:val="000000"/>
                <w:szCs w:val="16"/>
              </w:rPr>
              <w:t xml:space="preserve"> - </w:t>
            </w:r>
          </w:p>
        </w:tc>
        <w:tc>
          <w:tcPr>
            <w:tcW w:w="1134" w:type="dxa"/>
            <w:tcBorders>
              <w:top w:val="single" w:sz="4" w:space="0" w:color="auto"/>
            </w:tcBorders>
            <w:vAlign w:val="center"/>
          </w:tcPr>
          <w:p w14:paraId="269B84E7" w14:textId="77777777" w:rsidR="00271E37" w:rsidRPr="00DD777C" w:rsidRDefault="00271E37">
            <w:r>
              <w:rPr>
                <w:rFonts w:cs="Arial"/>
                <w:b/>
                <w:bCs/>
                <w:color w:val="000000"/>
                <w:szCs w:val="16"/>
              </w:rPr>
              <w:t xml:space="preserve">9 </w:t>
            </w:r>
          </w:p>
        </w:tc>
        <w:tc>
          <w:tcPr>
            <w:tcW w:w="1134" w:type="dxa"/>
            <w:tcBorders>
              <w:top w:val="single" w:sz="4" w:space="0" w:color="auto"/>
            </w:tcBorders>
            <w:vAlign w:val="center"/>
          </w:tcPr>
          <w:p w14:paraId="37464EB0" w14:textId="71AD9010" w:rsidR="00271E37" w:rsidRPr="00DD777C" w:rsidRDefault="00271E37">
            <w:r w:rsidRPr="00B8452B">
              <w:rPr>
                <w:rFonts w:cs="Arial"/>
                <w:b/>
                <w:color w:val="000000"/>
                <w:szCs w:val="16"/>
              </w:rPr>
              <w:t>1,09</w:t>
            </w:r>
            <w:r w:rsidR="00471C77" w:rsidRPr="00B8452B">
              <w:rPr>
                <w:rFonts w:cs="Arial"/>
                <w:b/>
                <w:color w:val="000000"/>
                <w:szCs w:val="16"/>
              </w:rPr>
              <w:t>5</w:t>
            </w:r>
          </w:p>
        </w:tc>
        <w:tc>
          <w:tcPr>
            <w:tcW w:w="1134" w:type="dxa"/>
            <w:tcBorders>
              <w:top w:val="single" w:sz="4" w:space="0" w:color="auto"/>
            </w:tcBorders>
            <w:vAlign w:val="center"/>
          </w:tcPr>
          <w:p w14:paraId="1F457554" w14:textId="420AD171" w:rsidR="00271E37" w:rsidRPr="00DD777C" w:rsidRDefault="00271E37">
            <w:r>
              <w:rPr>
                <w:rFonts w:cs="Arial"/>
                <w:b/>
                <w:bCs/>
                <w:color w:val="000000"/>
                <w:szCs w:val="16"/>
              </w:rPr>
              <w:t>1,26</w:t>
            </w:r>
            <w:r w:rsidR="005152F5">
              <w:rPr>
                <w:rFonts w:cs="Arial"/>
                <w:b/>
                <w:bCs/>
                <w:color w:val="000000"/>
                <w:szCs w:val="16"/>
              </w:rPr>
              <w:t>3</w:t>
            </w:r>
            <w:r>
              <w:rPr>
                <w:rFonts w:cs="Arial"/>
                <w:b/>
                <w:bCs/>
                <w:color w:val="000000"/>
                <w:szCs w:val="16"/>
              </w:rPr>
              <w:t xml:space="preserve"> </w:t>
            </w:r>
          </w:p>
        </w:tc>
      </w:tr>
    </w:tbl>
    <w:p w14:paraId="57F957B7" w14:textId="77777777" w:rsidR="00271E37" w:rsidRPr="00AE052E" w:rsidRDefault="00271E37" w:rsidP="002E39D4">
      <w:pPr>
        <w:rPr>
          <w:sz w:val="14"/>
          <w:szCs w:val="14"/>
        </w:rPr>
      </w:pPr>
    </w:p>
    <w:tbl>
      <w:tblPr>
        <w:tblStyle w:val="tableDUL"/>
        <w:tblW w:w="9639" w:type="dxa"/>
        <w:tblLook w:val="04A0" w:firstRow="1" w:lastRow="0" w:firstColumn="1" w:lastColumn="0" w:noHBand="0" w:noVBand="1"/>
      </w:tblPr>
      <w:tblGrid>
        <w:gridCol w:w="3969"/>
        <w:gridCol w:w="1134"/>
        <w:gridCol w:w="1134"/>
        <w:gridCol w:w="1134"/>
        <w:gridCol w:w="1095"/>
        <w:gridCol w:w="1173"/>
      </w:tblGrid>
      <w:tr w:rsidR="00271E37" w:rsidRPr="00AE052E" w14:paraId="202BBD07" w14:textId="77777777" w:rsidTr="63BB4B36">
        <w:tc>
          <w:tcPr>
            <w:tcW w:w="3969" w:type="dxa"/>
          </w:tcPr>
          <w:p w14:paraId="13A6EAEA" w14:textId="77777777" w:rsidR="00271E37" w:rsidRPr="00AE052E" w:rsidRDefault="00271E37" w:rsidP="000923EA">
            <w:pPr>
              <w:jc w:val="left"/>
            </w:pPr>
          </w:p>
        </w:tc>
        <w:tc>
          <w:tcPr>
            <w:tcW w:w="1134" w:type="dxa"/>
          </w:tcPr>
          <w:p w14:paraId="058EC7E9" w14:textId="77777777" w:rsidR="00271E37" w:rsidRPr="00AE052E" w:rsidRDefault="00271E37" w:rsidP="000923EA">
            <w:r w:rsidRPr="00AE052E">
              <w:t>Property, plant</w:t>
            </w:r>
          </w:p>
        </w:tc>
        <w:tc>
          <w:tcPr>
            <w:tcW w:w="1134" w:type="dxa"/>
          </w:tcPr>
          <w:p w14:paraId="5197F243" w14:textId="77777777" w:rsidR="00271E37" w:rsidRPr="00AE052E" w:rsidRDefault="00271E37" w:rsidP="000923EA"/>
        </w:tc>
        <w:tc>
          <w:tcPr>
            <w:tcW w:w="1134" w:type="dxa"/>
          </w:tcPr>
          <w:p w14:paraId="4D35CC28" w14:textId="77777777" w:rsidR="00271E37" w:rsidRPr="00AE052E" w:rsidRDefault="00271E37" w:rsidP="000923EA"/>
        </w:tc>
        <w:tc>
          <w:tcPr>
            <w:tcW w:w="1095" w:type="dxa"/>
          </w:tcPr>
          <w:p w14:paraId="23E5EFE0" w14:textId="77777777" w:rsidR="00271E37" w:rsidRPr="00AE052E" w:rsidRDefault="00271E37" w:rsidP="000923EA"/>
        </w:tc>
        <w:tc>
          <w:tcPr>
            <w:tcW w:w="1173" w:type="dxa"/>
          </w:tcPr>
          <w:p w14:paraId="473039F1" w14:textId="77777777" w:rsidR="00271E37" w:rsidRPr="00AE052E" w:rsidRDefault="00271E37" w:rsidP="000923EA"/>
        </w:tc>
      </w:tr>
      <w:tr w:rsidR="00271E37" w:rsidRPr="00AE052E" w14:paraId="4550228A" w14:textId="77777777" w:rsidTr="63BB4B36">
        <w:tc>
          <w:tcPr>
            <w:tcW w:w="3969" w:type="dxa"/>
          </w:tcPr>
          <w:p w14:paraId="48FF6D4A" w14:textId="77777777" w:rsidR="00271E37" w:rsidRPr="00AE052E" w:rsidRDefault="00271E37" w:rsidP="000923EA">
            <w:pPr>
              <w:jc w:val="left"/>
            </w:pPr>
          </w:p>
        </w:tc>
        <w:tc>
          <w:tcPr>
            <w:tcW w:w="1134" w:type="dxa"/>
          </w:tcPr>
          <w:p w14:paraId="0A108F1F" w14:textId="77777777" w:rsidR="00271E37" w:rsidRPr="00AE052E" w:rsidRDefault="00271E37" w:rsidP="000923EA">
            <w:r w:rsidRPr="00AE052E">
              <w:t xml:space="preserve">and equipment </w:t>
            </w:r>
          </w:p>
        </w:tc>
        <w:tc>
          <w:tcPr>
            <w:tcW w:w="1134" w:type="dxa"/>
          </w:tcPr>
          <w:p w14:paraId="384F4691" w14:textId="77777777" w:rsidR="00271E37" w:rsidRPr="00AE052E" w:rsidRDefault="00271E37" w:rsidP="000923EA">
            <w:r w:rsidRPr="00AE052E">
              <w:t>Tax losses</w:t>
            </w:r>
          </w:p>
        </w:tc>
        <w:tc>
          <w:tcPr>
            <w:tcW w:w="1134" w:type="dxa"/>
          </w:tcPr>
          <w:p w14:paraId="54530C41" w14:textId="77777777" w:rsidR="00271E37" w:rsidRPr="00AE052E" w:rsidRDefault="00271E37" w:rsidP="000923EA"/>
        </w:tc>
        <w:tc>
          <w:tcPr>
            <w:tcW w:w="1095" w:type="dxa"/>
          </w:tcPr>
          <w:p w14:paraId="110A02D1" w14:textId="77777777" w:rsidR="00271E37" w:rsidRPr="00AE052E" w:rsidRDefault="00271E37" w:rsidP="000923EA"/>
        </w:tc>
        <w:tc>
          <w:tcPr>
            <w:tcW w:w="1173" w:type="dxa"/>
          </w:tcPr>
          <w:p w14:paraId="481AC04D" w14:textId="77777777" w:rsidR="00271E37" w:rsidRPr="00AE052E" w:rsidRDefault="00271E37" w:rsidP="000923EA"/>
        </w:tc>
      </w:tr>
      <w:tr w:rsidR="00271E37" w:rsidRPr="00AE052E" w14:paraId="0085D1C8" w14:textId="77777777" w:rsidTr="63BB4B36">
        <w:tc>
          <w:tcPr>
            <w:tcW w:w="3969" w:type="dxa"/>
          </w:tcPr>
          <w:p w14:paraId="2E49D66F" w14:textId="77777777" w:rsidR="00271E37" w:rsidRPr="00AE052E" w:rsidRDefault="00271E37" w:rsidP="000923EA">
            <w:pPr>
              <w:jc w:val="left"/>
            </w:pPr>
          </w:p>
        </w:tc>
        <w:tc>
          <w:tcPr>
            <w:tcW w:w="1134" w:type="dxa"/>
          </w:tcPr>
          <w:p w14:paraId="61B4330B" w14:textId="77777777" w:rsidR="00271E37" w:rsidRPr="00AE052E" w:rsidRDefault="00271E37" w:rsidP="000923EA">
            <w:r w:rsidRPr="00AE052E">
              <w:t xml:space="preserve">and intangible </w:t>
            </w:r>
          </w:p>
        </w:tc>
        <w:tc>
          <w:tcPr>
            <w:tcW w:w="1134" w:type="dxa"/>
          </w:tcPr>
          <w:p w14:paraId="59171B37" w14:textId="77777777" w:rsidR="00271E37" w:rsidRPr="00AE052E" w:rsidRDefault="00271E37" w:rsidP="000923EA">
            <w:r w:rsidRPr="00AE052E">
              <w:t>carried</w:t>
            </w:r>
          </w:p>
        </w:tc>
        <w:tc>
          <w:tcPr>
            <w:tcW w:w="1134" w:type="dxa"/>
          </w:tcPr>
          <w:p w14:paraId="667BEE3C" w14:textId="77777777" w:rsidR="00271E37" w:rsidRPr="00AE052E" w:rsidRDefault="00271E37" w:rsidP="000923EA">
            <w:r w:rsidRPr="00AE052E">
              <w:t>Doubtful</w:t>
            </w:r>
          </w:p>
        </w:tc>
        <w:tc>
          <w:tcPr>
            <w:tcW w:w="1095" w:type="dxa"/>
          </w:tcPr>
          <w:p w14:paraId="3B6F6B29" w14:textId="77777777" w:rsidR="00271E37" w:rsidRPr="00AE052E" w:rsidRDefault="00271E37" w:rsidP="000923EA">
            <w:r w:rsidRPr="00AE052E">
              <w:t>Other timing</w:t>
            </w:r>
          </w:p>
        </w:tc>
        <w:tc>
          <w:tcPr>
            <w:tcW w:w="1173" w:type="dxa"/>
          </w:tcPr>
          <w:p w14:paraId="3C6EC4EF" w14:textId="77777777" w:rsidR="00271E37" w:rsidRPr="00AE052E" w:rsidRDefault="00271E37" w:rsidP="000923EA"/>
        </w:tc>
      </w:tr>
      <w:tr w:rsidR="00271E37" w:rsidRPr="00AE052E" w14:paraId="103103D3" w14:textId="77777777" w:rsidTr="63BB4B36">
        <w:tc>
          <w:tcPr>
            <w:tcW w:w="3969" w:type="dxa"/>
            <w:tcBorders>
              <w:bottom w:val="nil"/>
            </w:tcBorders>
          </w:tcPr>
          <w:p w14:paraId="28CD87AD" w14:textId="77777777" w:rsidR="00271E37" w:rsidRPr="00AE052E" w:rsidRDefault="00271E37" w:rsidP="000923EA">
            <w:pPr>
              <w:jc w:val="left"/>
            </w:pPr>
          </w:p>
        </w:tc>
        <w:tc>
          <w:tcPr>
            <w:tcW w:w="1134" w:type="dxa"/>
            <w:tcBorders>
              <w:bottom w:val="nil"/>
            </w:tcBorders>
          </w:tcPr>
          <w:p w14:paraId="6FDABD28" w14:textId="77777777" w:rsidR="00271E37" w:rsidRPr="00AE052E" w:rsidRDefault="00271E37" w:rsidP="000923EA">
            <w:r w:rsidRPr="00AE052E">
              <w:t>assets</w:t>
            </w:r>
          </w:p>
        </w:tc>
        <w:tc>
          <w:tcPr>
            <w:tcW w:w="1134" w:type="dxa"/>
            <w:tcBorders>
              <w:bottom w:val="nil"/>
            </w:tcBorders>
          </w:tcPr>
          <w:p w14:paraId="35978D8C" w14:textId="77777777" w:rsidR="00271E37" w:rsidRPr="00AE052E" w:rsidRDefault="00271E37" w:rsidP="000923EA">
            <w:r w:rsidRPr="00AE052E">
              <w:t>forward</w:t>
            </w:r>
          </w:p>
        </w:tc>
        <w:tc>
          <w:tcPr>
            <w:tcW w:w="1134" w:type="dxa"/>
            <w:tcBorders>
              <w:bottom w:val="nil"/>
            </w:tcBorders>
          </w:tcPr>
          <w:p w14:paraId="121E0635" w14:textId="77777777" w:rsidR="00271E37" w:rsidRPr="00AE052E" w:rsidRDefault="00271E37" w:rsidP="000923EA">
            <w:r w:rsidRPr="00AE052E">
              <w:t>debts</w:t>
            </w:r>
          </w:p>
        </w:tc>
        <w:tc>
          <w:tcPr>
            <w:tcW w:w="1095" w:type="dxa"/>
            <w:tcBorders>
              <w:bottom w:val="nil"/>
            </w:tcBorders>
          </w:tcPr>
          <w:p w14:paraId="24E0EAA2" w14:textId="77777777" w:rsidR="00271E37" w:rsidRPr="00AE052E" w:rsidRDefault="00271E37" w:rsidP="000923EA">
            <w:r w:rsidRPr="00AE052E">
              <w:t>differences</w:t>
            </w:r>
            <w:r w:rsidRPr="00B5483F">
              <w:rPr>
                <w:vertAlign w:val="superscript"/>
              </w:rPr>
              <w:t>(a)</w:t>
            </w:r>
          </w:p>
        </w:tc>
        <w:tc>
          <w:tcPr>
            <w:tcW w:w="1173" w:type="dxa"/>
            <w:tcBorders>
              <w:bottom w:val="nil"/>
            </w:tcBorders>
          </w:tcPr>
          <w:p w14:paraId="63961859" w14:textId="77777777" w:rsidR="00271E37" w:rsidRPr="00AE052E" w:rsidRDefault="00271E37" w:rsidP="000923EA">
            <w:r w:rsidRPr="00AE052E">
              <w:t>Total</w:t>
            </w:r>
          </w:p>
        </w:tc>
      </w:tr>
      <w:tr w:rsidR="00271E37" w:rsidRPr="00AE052E" w14:paraId="19310DA5" w14:textId="77777777" w:rsidTr="63BB4B36">
        <w:tc>
          <w:tcPr>
            <w:tcW w:w="3969" w:type="dxa"/>
            <w:tcBorders>
              <w:bottom w:val="single" w:sz="4" w:space="0" w:color="auto"/>
            </w:tcBorders>
          </w:tcPr>
          <w:p w14:paraId="436C61EF" w14:textId="77777777" w:rsidR="00271E37" w:rsidRPr="00AE052E" w:rsidRDefault="00271E37" w:rsidP="000923EA">
            <w:pPr>
              <w:jc w:val="left"/>
            </w:pPr>
          </w:p>
        </w:tc>
        <w:tc>
          <w:tcPr>
            <w:tcW w:w="1134" w:type="dxa"/>
            <w:tcBorders>
              <w:bottom w:val="single" w:sz="4" w:space="0" w:color="auto"/>
            </w:tcBorders>
          </w:tcPr>
          <w:p w14:paraId="2FF5F514" w14:textId="77777777" w:rsidR="00271E37" w:rsidRPr="00AE052E" w:rsidRDefault="00271E37" w:rsidP="000923EA">
            <w:r>
              <w:t>£</w:t>
            </w:r>
            <w:r w:rsidRPr="00AE052E">
              <w:t>000</w:t>
            </w:r>
          </w:p>
        </w:tc>
        <w:tc>
          <w:tcPr>
            <w:tcW w:w="1134" w:type="dxa"/>
            <w:tcBorders>
              <w:bottom w:val="single" w:sz="4" w:space="0" w:color="auto"/>
            </w:tcBorders>
          </w:tcPr>
          <w:p w14:paraId="09C7BF49" w14:textId="77777777" w:rsidR="00271E37" w:rsidRPr="00AE052E" w:rsidRDefault="00271E37" w:rsidP="000923EA">
            <w:r>
              <w:t>£</w:t>
            </w:r>
            <w:r w:rsidRPr="00AE052E">
              <w:t>000</w:t>
            </w:r>
          </w:p>
        </w:tc>
        <w:tc>
          <w:tcPr>
            <w:tcW w:w="1134" w:type="dxa"/>
            <w:tcBorders>
              <w:bottom w:val="single" w:sz="4" w:space="0" w:color="auto"/>
            </w:tcBorders>
          </w:tcPr>
          <w:p w14:paraId="4F01FDC7" w14:textId="77777777" w:rsidR="00271E37" w:rsidRPr="00AE052E" w:rsidRDefault="00271E37" w:rsidP="000923EA">
            <w:r>
              <w:t>£</w:t>
            </w:r>
            <w:r w:rsidRPr="00AE052E">
              <w:t>000</w:t>
            </w:r>
          </w:p>
        </w:tc>
        <w:tc>
          <w:tcPr>
            <w:tcW w:w="1095" w:type="dxa"/>
            <w:tcBorders>
              <w:bottom w:val="single" w:sz="4" w:space="0" w:color="auto"/>
            </w:tcBorders>
          </w:tcPr>
          <w:p w14:paraId="1A71A638" w14:textId="77777777" w:rsidR="00271E37" w:rsidRPr="00AE052E" w:rsidRDefault="00271E37" w:rsidP="000923EA">
            <w:r>
              <w:t>£</w:t>
            </w:r>
            <w:r w:rsidRPr="00AE052E">
              <w:t>000</w:t>
            </w:r>
          </w:p>
        </w:tc>
        <w:tc>
          <w:tcPr>
            <w:tcW w:w="1173" w:type="dxa"/>
            <w:tcBorders>
              <w:bottom w:val="single" w:sz="4" w:space="0" w:color="auto"/>
            </w:tcBorders>
          </w:tcPr>
          <w:p w14:paraId="15026D8A" w14:textId="77777777" w:rsidR="00271E37" w:rsidRPr="00AE052E" w:rsidRDefault="00271E37" w:rsidP="000923EA">
            <w:r>
              <w:t>£</w:t>
            </w:r>
            <w:r w:rsidRPr="00AE052E">
              <w:t>000</w:t>
            </w:r>
          </w:p>
        </w:tc>
      </w:tr>
      <w:tr w:rsidR="00271E37" w:rsidRPr="00AE052E" w14:paraId="4BD872BF" w14:textId="77777777">
        <w:tc>
          <w:tcPr>
            <w:tcW w:w="3969" w:type="dxa"/>
            <w:tcBorders>
              <w:top w:val="single" w:sz="4" w:space="0" w:color="auto"/>
            </w:tcBorders>
          </w:tcPr>
          <w:p w14:paraId="09E52380" w14:textId="77777777" w:rsidR="00271E37" w:rsidRPr="00AE052E" w:rsidRDefault="00271E37">
            <w:pPr>
              <w:jc w:val="left"/>
            </w:pPr>
            <w:r w:rsidRPr="00AE052E">
              <w:t>At 1 April 202</w:t>
            </w:r>
            <w:r>
              <w:t>4</w:t>
            </w:r>
          </w:p>
        </w:tc>
        <w:tc>
          <w:tcPr>
            <w:tcW w:w="1134" w:type="dxa"/>
            <w:tcBorders>
              <w:top w:val="single" w:sz="4" w:space="0" w:color="auto"/>
            </w:tcBorders>
            <w:vAlign w:val="center"/>
          </w:tcPr>
          <w:p w14:paraId="368F8D96" w14:textId="77777777" w:rsidR="00271E37" w:rsidRPr="00987B2F" w:rsidRDefault="00271E37">
            <w:r w:rsidRPr="00987B2F">
              <w:rPr>
                <w:rFonts w:cs="Arial"/>
                <w:szCs w:val="16"/>
              </w:rPr>
              <w:t xml:space="preserve">3,831 </w:t>
            </w:r>
          </w:p>
        </w:tc>
        <w:tc>
          <w:tcPr>
            <w:tcW w:w="1134" w:type="dxa"/>
            <w:tcBorders>
              <w:top w:val="single" w:sz="4" w:space="0" w:color="auto"/>
            </w:tcBorders>
            <w:vAlign w:val="center"/>
          </w:tcPr>
          <w:p w14:paraId="3C379426" w14:textId="77777777" w:rsidR="00271E37" w:rsidRPr="00987B2F" w:rsidRDefault="00271E37">
            <w:r w:rsidRPr="00987B2F">
              <w:rPr>
                <w:rFonts w:cs="Arial"/>
                <w:szCs w:val="16"/>
              </w:rPr>
              <w:t xml:space="preserve">18,128 </w:t>
            </w:r>
          </w:p>
        </w:tc>
        <w:tc>
          <w:tcPr>
            <w:tcW w:w="1134" w:type="dxa"/>
            <w:tcBorders>
              <w:top w:val="single" w:sz="4" w:space="0" w:color="auto"/>
            </w:tcBorders>
            <w:vAlign w:val="center"/>
          </w:tcPr>
          <w:p w14:paraId="3B3B5BC8" w14:textId="77777777" w:rsidR="00271E37" w:rsidRPr="00987B2F" w:rsidRDefault="00271E37">
            <w:r w:rsidRPr="00987B2F">
              <w:rPr>
                <w:rFonts w:cs="Arial"/>
                <w:szCs w:val="16"/>
              </w:rPr>
              <w:t xml:space="preserve">1 </w:t>
            </w:r>
          </w:p>
        </w:tc>
        <w:tc>
          <w:tcPr>
            <w:tcW w:w="1095" w:type="dxa"/>
            <w:tcBorders>
              <w:top w:val="single" w:sz="4" w:space="0" w:color="auto"/>
            </w:tcBorders>
            <w:vAlign w:val="center"/>
          </w:tcPr>
          <w:p w14:paraId="6F3CE9A9" w14:textId="77777777" w:rsidR="00271E37" w:rsidRPr="00987B2F" w:rsidRDefault="00271E37">
            <w:r w:rsidRPr="00987B2F">
              <w:rPr>
                <w:rFonts w:cs="Arial"/>
                <w:szCs w:val="16"/>
              </w:rPr>
              <w:t xml:space="preserve">8,905 </w:t>
            </w:r>
          </w:p>
        </w:tc>
        <w:tc>
          <w:tcPr>
            <w:tcW w:w="1173" w:type="dxa"/>
            <w:tcBorders>
              <w:top w:val="single" w:sz="4" w:space="0" w:color="auto"/>
            </w:tcBorders>
            <w:vAlign w:val="center"/>
          </w:tcPr>
          <w:p w14:paraId="0EDCE8B7" w14:textId="77777777" w:rsidR="00271E37" w:rsidRPr="00987B2F" w:rsidRDefault="00271E37">
            <w:r w:rsidRPr="00987B2F">
              <w:rPr>
                <w:rFonts w:cs="Arial"/>
                <w:szCs w:val="16"/>
              </w:rPr>
              <w:t xml:space="preserve">30,865 </w:t>
            </w:r>
          </w:p>
        </w:tc>
      </w:tr>
      <w:tr w:rsidR="00271E37" w:rsidRPr="00AE052E" w14:paraId="4B16946E" w14:textId="77777777">
        <w:tc>
          <w:tcPr>
            <w:tcW w:w="3969" w:type="dxa"/>
            <w:tcBorders>
              <w:bottom w:val="nil"/>
            </w:tcBorders>
          </w:tcPr>
          <w:p w14:paraId="49B6E10D" w14:textId="77777777" w:rsidR="00271E37" w:rsidRPr="00AE052E" w:rsidRDefault="00271E37">
            <w:pPr>
              <w:jc w:val="left"/>
            </w:pPr>
            <w:r>
              <w:t>(Charge)/c</w:t>
            </w:r>
            <w:r w:rsidRPr="00AE052E">
              <w:t>redit to income statement</w:t>
            </w:r>
          </w:p>
        </w:tc>
        <w:tc>
          <w:tcPr>
            <w:tcW w:w="1134" w:type="dxa"/>
            <w:tcBorders>
              <w:bottom w:val="nil"/>
            </w:tcBorders>
            <w:vAlign w:val="center"/>
          </w:tcPr>
          <w:p w14:paraId="07E49D7F" w14:textId="77777777" w:rsidR="00271E37" w:rsidRPr="00987B2F" w:rsidRDefault="00271E37">
            <w:r w:rsidRPr="00987B2F">
              <w:rPr>
                <w:rFonts w:cs="Arial"/>
                <w:szCs w:val="16"/>
              </w:rPr>
              <w:t>(3,701)</w:t>
            </w:r>
          </w:p>
        </w:tc>
        <w:tc>
          <w:tcPr>
            <w:tcW w:w="1134" w:type="dxa"/>
            <w:tcBorders>
              <w:bottom w:val="nil"/>
            </w:tcBorders>
            <w:vAlign w:val="center"/>
          </w:tcPr>
          <w:p w14:paraId="687AC895" w14:textId="77777777" w:rsidR="00271E37" w:rsidRPr="00987B2F" w:rsidRDefault="00271E37">
            <w:r w:rsidRPr="00987B2F">
              <w:rPr>
                <w:rFonts w:cs="Arial"/>
                <w:szCs w:val="16"/>
              </w:rPr>
              <w:t>(17,764)</w:t>
            </w:r>
          </w:p>
        </w:tc>
        <w:tc>
          <w:tcPr>
            <w:tcW w:w="1134" w:type="dxa"/>
            <w:tcBorders>
              <w:bottom w:val="nil"/>
            </w:tcBorders>
            <w:vAlign w:val="center"/>
          </w:tcPr>
          <w:p w14:paraId="496DE5DA" w14:textId="77777777" w:rsidR="00271E37" w:rsidRPr="00987B2F" w:rsidRDefault="00271E37">
            <w:r w:rsidRPr="00987B2F">
              <w:rPr>
                <w:rFonts w:cs="Arial"/>
                <w:szCs w:val="16"/>
              </w:rPr>
              <w:t xml:space="preserve">4 </w:t>
            </w:r>
          </w:p>
        </w:tc>
        <w:tc>
          <w:tcPr>
            <w:tcW w:w="1095" w:type="dxa"/>
            <w:tcBorders>
              <w:bottom w:val="nil"/>
            </w:tcBorders>
            <w:vAlign w:val="center"/>
          </w:tcPr>
          <w:p w14:paraId="1817C15A" w14:textId="77777777" w:rsidR="00271E37" w:rsidRPr="00987B2F" w:rsidRDefault="00271E37">
            <w:r w:rsidRPr="00987B2F">
              <w:rPr>
                <w:rFonts w:cs="Arial"/>
                <w:szCs w:val="16"/>
              </w:rPr>
              <w:t>(7,787)</w:t>
            </w:r>
          </w:p>
        </w:tc>
        <w:tc>
          <w:tcPr>
            <w:tcW w:w="1173" w:type="dxa"/>
            <w:tcBorders>
              <w:bottom w:val="nil"/>
            </w:tcBorders>
            <w:vAlign w:val="center"/>
          </w:tcPr>
          <w:p w14:paraId="62615569" w14:textId="77777777" w:rsidR="00271E37" w:rsidRPr="00987B2F" w:rsidRDefault="00271E37">
            <w:r w:rsidRPr="00987B2F">
              <w:rPr>
                <w:rFonts w:cs="Arial"/>
                <w:szCs w:val="16"/>
              </w:rPr>
              <w:t>(29,248)</w:t>
            </w:r>
          </w:p>
        </w:tc>
      </w:tr>
      <w:tr w:rsidR="00271E37" w:rsidRPr="00AE052E" w14:paraId="06902ADC" w14:textId="77777777">
        <w:tc>
          <w:tcPr>
            <w:tcW w:w="3969" w:type="dxa"/>
            <w:tcBorders>
              <w:bottom w:val="single" w:sz="4" w:space="0" w:color="auto"/>
            </w:tcBorders>
          </w:tcPr>
          <w:p w14:paraId="3C492065" w14:textId="77777777" w:rsidR="00271E37" w:rsidRPr="00AE052E" w:rsidRDefault="00271E37">
            <w:pPr>
              <w:jc w:val="left"/>
            </w:pPr>
            <w:r w:rsidRPr="00AE052E">
              <w:t>Charge to equity</w:t>
            </w:r>
          </w:p>
        </w:tc>
        <w:tc>
          <w:tcPr>
            <w:tcW w:w="1134" w:type="dxa"/>
            <w:tcBorders>
              <w:bottom w:val="single" w:sz="4" w:space="0" w:color="auto"/>
            </w:tcBorders>
            <w:vAlign w:val="center"/>
          </w:tcPr>
          <w:p w14:paraId="5C6C93C3" w14:textId="77777777" w:rsidR="00271E37" w:rsidRPr="00987B2F" w:rsidRDefault="00271E37">
            <w:r w:rsidRPr="00987B2F">
              <w:rPr>
                <w:rFonts w:cs="Arial"/>
                <w:szCs w:val="16"/>
              </w:rPr>
              <w:t>(83)</w:t>
            </w:r>
          </w:p>
        </w:tc>
        <w:tc>
          <w:tcPr>
            <w:tcW w:w="1134" w:type="dxa"/>
            <w:tcBorders>
              <w:bottom w:val="single" w:sz="4" w:space="0" w:color="auto"/>
            </w:tcBorders>
            <w:vAlign w:val="center"/>
          </w:tcPr>
          <w:p w14:paraId="4C6D8E35" w14:textId="77777777" w:rsidR="00271E37" w:rsidRPr="00987B2F" w:rsidRDefault="00271E37">
            <w:r w:rsidRPr="00987B2F">
              <w:rPr>
                <w:rFonts w:cs="Arial"/>
                <w:szCs w:val="16"/>
              </w:rPr>
              <w:t>(364)</w:t>
            </w:r>
          </w:p>
        </w:tc>
        <w:tc>
          <w:tcPr>
            <w:tcW w:w="1134" w:type="dxa"/>
            <w:tcBorders>
              <w:bottom w:val="single" w:sz="4" w:space="0" w:color="auto"/>
            </w:tcBorders>
            <w:vAlign w:val="center"/>
          </w:tcPr>
          <w:p w14:paraId="21F57673" w14:textId="77777777" w:rsidR="00271E37" w:rsidRPr="00987B2F" w:rsidRDefault="00271E37">
            <w:r w:rsidRPr="00987B2F">
              <w:rPr>
                <w:rFonts w:cs="Arial"/>
                <w:szCs w:val="16"/>
              </w:rPr>
              <w:t xml:space="preserve"> - </w:t>
            </w:r>
          </w:p>
        </w:tc>
        <w:tc>
          <w:tcPr>
            <w:tcW w:w="1095" w:type="dxa"/>
            <w:tcBorders>
              <w:bottom w:val="single" w:sz="4" w:space="0" w:color="auto"/>
            </w:tcBorders>
            <w:vAlign w:val="center"/>
          </w:tcPr>
          <w:p w14:paraId="60CDE288" w14:textId="77777777" w:rsidR="00271E37" w:rsidRPr="00987B2F" w:rsidRDefault="00271E37">
            <w:r w:rsidRPr="00987B2F">
              <w:rPr>
                <w:rFonts w:cs="Arial"/>
                <w:szCs w:val="16"/>
              </w:rPr>
              <w:t>(219)</w:t>
            </w:r>
          </w:p>
        </w:tc>
        <w:tc>
          <w:tcPr>
            <w:tcW w:w="1173" w:type="dxa"/>
            <w:tcBorders>
              <w:bottom w:val="single" w:sz="4" w:space="0" w:color="auto"/>
            </w:tcBorders>
            <w:vAlign w:val="center"/>
          </w:tcPr>
          <w:p w14:paraId="5578638E" w14:textId="77777777" w:rsidR="00271E37" w:rsidRPr="00987B2F" w:rsidRDefault="00271E37">
            <w:r w:rsidRPr="00987B2F">
              <w:rPr>
                <w:rFonts w:cs="Arial"/>
                <w:szCs w:val="16"/>
              </w:rPr>
              <w:t>(666)</w:t>
            </w:r>
          </w:p>
        </w:tc>
      </w:tr>
      <w:tr w:rsidR="00271E37" w:rsidRPr="00AE052E" w14:paraId="16226653" w14:textId="77777777">
        <w:tc>
          <w:tcPr>
            <w:tcW w:w="3969" w:type="dxa"/>
            <w:tcBorders>
              <w:top w:val="single" w:sz="4" w:space="0" w:color="auto"/>
              <w:bottom w:val="single" w:sz="12" w:space="0" w:color="auto"/>
            </w:tcBorders>
          </w:tcPr>
          <w:p w14:paraId="63C8FF74" w14:textId="77777777" w:rsidR="00271E37" w:rsidRPr="00AE052E" w:rsidRDefault="00271E37">
            <w:pPr>
              <w:jc w:val="left"/>
              <w:rPr>
                <w:b/>
                <w:bCs/>
              </w:rPr>
            </w:pPr>
            <w:r w:rsidRPr="00AE052E">
              <w:rPr>
                <w:b/>
                <w:bCs/>
              </w:rPr>
              <w:t>At 31 March 202</w:t>
            </w:r>
            <w:r>
              <w:rPr>
                <w:b/>
                <w:bCs/>
              </w:rPr>
              <w:t>5</w:t>
            </w:r>
          </w:p>
        </w:tc>
        <w:tc>
          <w:tcPr>
            <w:tcW w:w="1134" w:type="dxa"/>
            <w:tcBorders>
              <w:top w:val="single" w:sz="4" w:space="0" w:color="auto"/>
              <w:bottom w:val="single" w:sz="12" w:space="0" w:color="auto"/>
            </w:tcBorders>
            <w:vAlign w:val="center"/>
          </w:tcPr>
          <w:p w14:paraId="30FCF48F" w14:textId="77777777" w:rsidR="00271E37" w:rsidRPr="00987B2F" w:rsidRDefault="00271E37">
            <w:pPr>
              <w:rPr>
                <w:b/>
                <w:bCs/>
              </w:rPr>
            </w:pPr>
            <w:r w:rsidRPr="00987B2F">
              <w:rPr>
                <w:rFonts w:cs="Arial"/>
                <w:b/>
                <w:bCs/>
                <w:szCs w:val="16"/>
              </w:rPr>
              <w:t xml:space="preserve">47 </w:t>
            </w:r>
          </w:p>
        </w:tc>
        <w:tc>
          <w:tcPr>
            <w:tcW w:w="1134" w:type="dxa"/>
            <w:tcBorders>
              <w:top w:val="single" w:sz="4" w:space="0" w:color="auto"/>
              <w:bottom w:val="single" w:sz="12" w:space="0" w:color="auto"/>
            </w:tcBorders>
            <w:vAlign w:val="center"/>
          </w:tcPr>
          <w:p w14:paraId="733EEF9B" w14:textId="77777777" w:rsidR="00271E37" w:rsidRPr="00987B2F" w:rsidRDefault="00271E37">
            <w:pPr>
              <w:rPr>
                <w:b/>
                <w:bCs/>
              </w:rPr>
            </w:pPr>
            <w:r w:rsidRPr="00987B2F">
              <w:rPr>
                <w:rFonts w:cs="Arial"/>
                <w:b/>
                <w:bCs/>
                <w:szCs w:val="16"/>
              </w:rPr>
              <w:t xml:space="preserve"> - </w:t>
            </w:r>
          </w:p>
        </w:tc>
        <w:tc>
          <w:tcPr>
            <w:tcW w:w="1134" w:type="dxa"/>
            <w:tcBorders>
              <w:top w:val="single" w:sz="4" w:space="0" w:color="auto"/>
              <w:bottom w:val="single" w:sz="12" w:space="0" w:color="auto"/>
            </w:tcBorders>
            <w:vAlign w:val="center"/>
          </w:tcPr>
          <w:p w14:paraId="507B0F75" w14:textId="77777777" w:rsidR="00271E37" w:rsidRPr="00987B2F" w:rsidRDefault="00271E37">
            <w:pPr>
              <w:rPr>
                <w:b/>
                <w:bCs/>
              </w:rPr>
            </w:pPr>
            <w:r w:rsidRPr="00987B2F">
              <w:rPr>
                <w:rFonts w:cs="Arial"/>
                <w:b/>
                <w:bCs/>
                <w:szCs w:val="16"/>
              </w:rPr>
              <w:t xml:space="preserve">5 </w:t>
            </w:r>
          </w:p>
        </w:tc>
        <w:tc>
          <w:tcPr>
            <w:tcW w:w="1095" w:type="dxa"/>
            <w:tcBorders>
              <w:top w:val="single" w:sz="4" w:space="0" w:color="auto"/>
              <w:bottom w:val="single" w:sz="12" w:space="0" w:color="auto"/>
            </w:tcBorders>
            <w:vAlign w:val="center"/>
          </w:tcPr>
          <w:p w14:paraId="1C0CE8FA" w14:textId="77777777" w:rsidR="00271E37" w:rsidRPr="00987B2F" w:rsidRDefault="00271E37">
            <w:pPr>
              <w:rPr>
                <w:b/>
                <w:bCs/>
              </w:rPr>
            </w:pPr>
            <w:r w:rsidRPr="00987B2F">
              <w:rPr>
                <w:rFonts w:cs="Arial"/>
                <w:b/>
                <w:bCs/>
                <w:szCs w:val="16"/>
              </w:rPr>
              <w:t xml:space="preserve">899 </w:t>
            </w:r>
          </w:p>
        </w:tc>
        <w:tc>
          <w:tcPr>
            <w:tcW w:w="1173" w:type="dxa"/>
            <w:tcBorders>
              <w:top w:val="single" w:sz="4" w:space="0" w:color="auto"/>
              <w:bottom w:val="single" w:sz="12" w:space="0" w:color="auto"/>
            </w:tcBorders>
            <w:vAlign w:val="center"/>
          </w:tcPr>
          <w:p w14:paraId="365280C2" w14:textId="77777777" w:rsidR="00271E37" w:rsidRPr="00987B2F" w:rsidRDefault="00271E37">
            <w:pPr>
              <w:rPr>
                <w:b/>
                <w:bCs/>
              </w:rPr>
            </w:pPr>
            <w:r w:rsidRPr="00987B2F">
              <w:rPr>
                <w:rFonts w:cs="Arial"/>
                <w:b/>
                <w:bCs/>
                <w:szCs w:val="16"/>
              </w:rPr>
              <w:t xml:space="preserve">951 </w:t>
            </w:r>
          </w:p>
        </w:tc>
      </w:tr>
      <w:tr w:rsidR="00271E37" w:rsidRPr="00AE052E" w14:paraId="76CA0533" w14:textId="77777777">
        <w:tc>
          <w:tcPr>
            <w:tcW w:w="3969" w:type="dxa"/>
            <w:tcBorders>
              <w:top w:val="single" w:sz="12" w:space="0" w:color="auto"/>
              <w:bottom w:val="nil"/>
            </w:tcBorders>
          </w:tcPr>
          <w:p w14:paraId="40BC3B72" w14:textId="77777777" w:rsidR="00271E37" w:rsidRPr="00AE052E" w:rsidRDefault="00271E37">
            <w:pPr>
              <w:jc w:val="left"/>
            </w:pPr>
            <w:r w:rsidRPr="00AE052E">
              <w:t>Deferred tax liabilities</w:t>
            </w:r>
          </w:p>
        </w:tc>
        <w:tc>
          <w:tcPr>
            <w:tcW w:w="1134" w:type="dxa"/>
            <w:tcBorders>
              <w:top w:val="single" w:sz="12" w:space="0" w:color="auto"/>
              <w:bottom w:val="nil"/>
            </w:tcBorders>
            <w:vAlign w:val="center"/>
          </w:tcPr>
          <w:p w14:paraId="10414E39" w14:textId="77777777" w:rsidR="00271E37" w:rsidRPr="00987B2F" w:rsidRDefault="00271E37">
            <w:r w:rsidRPr="00987B2F">
              <w:rPr>
                <w:rFonts w:cs="Arial"/>
                <w:szCs w:val="16"/>
              </w:rPr>
              <w:t xml:space="preserve">47 </w:t>
            </w:r>
          </w:p>
        </w:tc>
        <w:tc>
          <w:tcPr>
            <w:tcW w:w="1134" w:type="dxa"/>
            <w:tcBorders>
              <w:top w:val="single" w:sz="12" w:space="0" w:color="auto"/>
              <w:bottom w:val="nil"/>
            </w:tcBorders>
            <w:vAlign w:val="center"/>
          </w:tcPr>
          <w:p w14:paraId="346290F6" w14:textId="77777777" w:rsidR="00271E37" w:rsidRPr="00987B2F" w:rsidRDefault="00271E37">
            <w:r w:rsidRPr="00987B2F">
              <w:rPr>
                <w:rFonts w:cs="Arial"/>
                <w:szCs w:val="16"/>
              </w:rPr>
              <w:t xml:space="preserve"> - </w:t>
            </w:r>
          </w:p>
        </w:tc>
        <w:tc>
          <w:tcPr>
            <w:tcW w:w="1134" w:type="dxa"/>
            <w:tcBorders>
              <w:top w:val="single" w:sz="12" w:space="0" w:color="auto"/>
              <w:bottom w:val="nil"/>
            </w:tcBorders>
            <w:vAlign w:val="center"/>
          </w:tcPr>
          <w:p w14:paraId="4460064F" w14:textId="77777777" w:rsidR="00271E37" w:rsidRPr="00987B2F" w:rsidRDefault="00271E37">
            <w:r w:rsidRPr="00987B2F">
              <w:rPr>
                <w:rFonts w:cs="Arial"/>
                <w:szCs w:val="16"/>
              </w:rPr>
              <w:t xml:space="preserve">5 </w:t>
            </w:r>
          </w:p>
        </w:tc>
        <w:tc>
          <w:tcPr>
            <w:tcW w:w="1095" w:type="dxa"/>
            <w:tcBorders>
              <w:top w:val="single" w:sz="12" w:space="0" w:color="auto"/>
              <w:bottom w:val="nil"/>
            </w:tcBorders>
            <w:vAlign w:val="center"/>
          </w:tcPr>
          <w:p w14:paraId="32DECF7B" w14:textId="77777777" w:rsidR="00271E37" w:rsidRPr="00987B2F" w:rsidRDefault="00271E37">
            <w:r w:rsidRPr="00987B2F">
              <w:rPr>
                <w:rFonts w:cs="Arial"/>
                <w:szCs w:val="16"/>
              </w:rPr>
              <w:t xml:space="preserve">903 </w:t>
            </w:r>
          </w:p>
        </w:tc>
        <w:tc>
          <w:tcPr>
            <w:tcW w:w="1173" w:type="dxa"/>
            <w:tcBorders>
              <w:top w:val="single" w:sz="12" w:space="0" w:color="auto"/>
              <w:bottom w:val="nil"/>
            </w:tcBorders>
            <w:vAlign w:val="center"/>
          </w:tcPr>
          <w:p w14:paraId="28CA5FCD" w14:textId="77777777" w:rsidR="00271E37" w:rsidRPr="00987B2F" w:rsidRDefault="00271E37">
            <w:r w:rsidRPr="00987B2F">
              <w:rPr>
                <w:rFonts w:cs="Arial"/>
                <w:szCs w:val="16"/>
              </w:rPr>
              <w:t xml:space="preserve">955 </w:t>
            </w:r>
          </w:p>
        </w:tc>
      </w:tr>
      <w:tr w:rsidR="00271E37" w:rsidRPr="00AE052E" w14:paraId="2B53A569" w14:textId="77777777">
        <w:tc>
          <w:tcPr>
            <w:tcW w:w="3969" w:type="dxa"/>
            <w:tcBorders>
              <w:bottom w:val="single" w:sz="4" w:space="0" w:color="auto"/>
            </w:tcBorders>
          </w:tcPr>
          <w:p w14:paraId="3F366B8A" w14:textId="77777777" w:rsidR="00271E37" w:rsidRPr="00AE052E" w:rsidRDefault="00271E37">
            <w:pPr>
              <w:jc w:val="left"/>
            </w:pPr>
            <w:r w:rsidRPr="00AE052E">
              <w:t>Deferred tax assets</w:t>
            </w:r>
          </w:p>
        </w:tc>
        <w:tc>
          <w:tcPr>
            <w:tcW w:w="1134" w:type="dxa"/>
            <w:tcBorders>
              <w:bottom w:val="single" w:sz="4" w:space="0" w:color="auto"/>
            </w:tcBorders>
            <w:vAlign w:val="center"/>
          </w:tcPr>
          <w:p w14:paraId="25C86A45" w14:textId="77777777" w:rsidR="00271E37" w:rsidRPr="00987B2F" w:rsidRDefault="00271E37">
            <w:r w:rsidRPr="00987B2F">
              <w:rPr>
                <w:rFonts w:cs="Arial"/>
                <w:szCs w:val="16"/>
              </w:rPr>
              <w:t xml:space="preserve"> - </w:t>
            </w:r>
          </w:p>
        </w:tc>
        <w:tc>
          <w:tcPr>
            <w:tcW w:w="1134" w:type="dxa"/>
            <w:tcBorders>
              <w:bottom w:val="single" w:sz="4" w:space="0" w:color="auto"/>
            </w:tcBorders>
            <w:vAlign w:val="center"/>
          </w:tcPr>
          <w:p w14:paraId="14A1AA71" w14:textId="77777777" w:rsidR="00271E37" w:rsidRPr="00987B2F" w:rsidRDefault="00271E37">
            <w:r w:rsidRPr="00987B2F">
              <w:rPr>
                <w:rFonts w:cs="Arial"/>
                <w:szCs w:val="16"/>
              </w:rPr>
              <w:t xml:space="preserve"> - </w:t>
            </w:r>
          </w:p>
        </w:tc>
        <w:tc>
          <w:tcPr>
            <w:tcW w:w="1134" w:type="dxa"/>
            <w:tcBorders>
              <w:bottom w:val="single" w:sz="4" w:space="0" w:color="auto"/>
            </w:tcBorders>
            <w:vAlign w:val="center"/>
          </w:tcPr>
          <w:p w14:paraId="19146E92" w14:textId="77777777" w:rsidR="00271E37" w:rsidRPr="00987B2F" w:rsidRDefault="00271E37">
            <w:r w:rsidRPr="00987B2F">
              <w:rPr>
                <w:rFonts w:cs="Arial"/>
                <w:szCs w:val="16"/>
              </w:rPr>
              <w:t xml:space="preserve"> - </w:t>
            </w:r>
          </w:p>
        </w:tc>
        <w:tc>
          <w:tcPr>
            <w:tcW w:w="1095" w:type="dxa"/>
            <w:tcBorders>
              <w:bottom w:val="single" w:sz="4" w:space="0" w:color="auto"/>
            </w:tcBorders>
            <w:vAlign w:val="center"/>
          </w:tcPr>
          <w:p w14:paraId="3FE28F63" w14:textId="77777777" w:rsidR="00271E37" w:rsidRPr="00987B2F" w:rsidRDefault="00271E37">
            <w:r w:rsidRPr="00987B2F">
              <w:rPr>
                <w:rFonts w:cs="Arial"/>
                <w:szCs w:val="16"/>
              </w:rPr>
              <w:t xml:space="preserve"> - </w:t>
            </w:r>
          </w:p>
        </w:tc>
        <w:tc>
          <w:tcPr>
            <w:tcW w:w="1173" w:type="dxa"/>
            <w:tcBorders>
              <w:bottom w:val="single" w:sz="4" w:space="0" w:color="auto"/>
            </w:tcBorders>
            <w:vAlign w:val="center"/>
          </w:tcPr>
          <w:p w14:paraId="71A39337" w14:textId="77777777" w:rsidR="00271E37" w:rsidRPr="00987B2F" w:rsidRDefault="00271E37">
            <w:r w:rsidRPr="00987B2F">
              <w:rPr>
                <w:rFonts w:cs="Arial"/>
                <w:szCs w:val="16"/>
              </w:rPr>
              <w:t xml:space="preserve"> - </w:t>
            </w:r>
          </w:p>
        </w:tc>
      </w:tr>
      <w:tr w:rsidR="00271E37" w:rsidRPr="00AE052E" w14:paraId="2D9EC258" w14:textId="77777777">
        <w:tc>
          <w:tcPr>
            <w:tcW w:w="3969" w:type="dxa"/>
            <w:tcBorders>
              <w:top w:val="single" w:sz="4" w:space="0" w:color="auto"/>
            </w:tcBorders>
          </w:tcPr>
          <w:p w14:paraId="42FD6D82" w14:textId="77777777" w:rsidR="00271E37" w:rsidRPr="00AE052E" w:rsidRDefault="00271E37">
            <w:pPr>
              <w:jc w:val="left"/>
            </w:pPr>
          </w:p>
        </w:tc>
        <w:tc>
          <w:tcPr>
            <w:tcW w:w="1134" w:type="dxa"/>
            <w:tcBorders>
              <w:top w:val="single" w:sz="4" w:space="0" w:color="auto"/>
            </w:tcBorders>
            <w:vAlign w:val="center"/>
          </w:tcPr>
          <w:p w14:paraId="0F5EEF31" w14:textId="77777777" w:rsidR="00271E37" w:rsidRPr="00987B2F" w:rsidRDefault="00271E37">
            <w:pPr>
              <w:rPr>
                <w:b/>
                <w:bCs/>
              </w:rPr>
            </w:pPr>
            <w:r w:rsidRPr="00987B2F">
              <w:rPr>
                <w:rFonts w:cs="Arial"/>
                <w:b/>
                <w:bCs/>
                <w:szCs w:val="16"/>
              </w:rPr>
              <w:t xml:space="preserve">47 </w:t>
            </w:r>
          </w:p>
        </w:tc>
        <w:tc>
          <w:tcPr>
            <w:tcW w:w="1134" w:type="dxa"/>
            <w:tcBorders>
              <w:top w:val="single" w:sz="4" w:space="0" w:color="auto"/>
            </w:tcBorders>
            <w:vAlign w:val="center"/>
          </w:tcPr>
          <w:p w14:paraId="480AF1E8" w14:textId="77777777" w:rsidR="00271E37" w:rsidRPr="00987B2F" w:rsidRDefault="00271E37">
            <w:pPr>
              <w:rPr>
                <w:b/>
                <w:bCs/>
              </w:rPr>
            </w:pPr>
            <w:r w:rsidRPr="00987B2F">
              <w:rPr>
                <w:rFonts w:cs="Arial"/>
                <w:b/>
                <w:bCs/>
                <w:szCs w:val="16"/>
              </w:rPr>
              <w:t xml:space="preserve"> - </w:t>
            </w:r>
          </w:p>
        </w:tc>
        <w:tc>
          <w:tcPr>
            <w:tcW w:w="1134" w:type="dxa"/>
            <w:tcBorders>
              <w:top w:val="single" w:sz="4" w:space="0" w:color="auto"/>
            </w:tcBorders>
            <w:vAlign w:val="center"/>
          </w:tcPr>
          <w:p w14:paraId="66EF3994" w14:textId="77777777" w:rsidR="00271E37" w:rsidRPr="00987B2F" w:rsidRDefault="00271E37">
            <w:pPr>
              <w:rPr>
                <w:b/>
                <w:bCs/>
              </w:rPr>
            </w:pPr>
            <w:r w:rsidRPr="00987B2F">
              <w:rPr>
                <w:rFonts w:cs="Arial"/>
                <w:b/>
                <w:bCs/>
                <w:szCs w:val="16"/>
              </w:rPr>
              <w:t xml:space="preserve">5 </w:t>
            </w:r>
          </w:p>
        </w:tc>
        <w:tc>
          <w:tcPr>
            <w:tcW w:w="1095" w:type="dxa"/>
            <w:tcBorders>
              <w:top w:val="single" w:sz="4" w:space="0" w:color="auto"/>
            </w:tcBorders>
            <w:vAlign w:val="center"/>
          </w:tcPr>
          <w:p w14:paraId="0280DCFA" w14:textId="77777777" w:rsidR="00271E37" w:rsidRPr="00987B2F" w:rsidRDefault="00271E37">
            <w:pPr>
              <w:rPr>
                <w:b/>
                <w:bCs/>
              </w:rPr>
            </w:pPr>
            <w:r w:rsidRPr="00987B2F">
              <w:rPr>
                <w:rFonts w:cs="Arial"/>
                <w:b/>
                <w:bCs/>
                <w:szCs w:val="16"/>
              </w:rPr>
              <w:t xml:space="preserve">903 </w:t>
            </w:r>
          </w:p>
        </w:tc>
        <w:tc>
          <w:tcPr>
            <w:tcW w:w="1173" w:type="dxa"/>
            <w:tcBorders>
              <w:top w:val="single" w:sz="4" w:space="0" w:color="auto"/>
            </w:tcBorders>
            <w:vAlign w:val="center"/>
          </w:tcPr>
          <w:p w14:paraId="24AA201D" w14:textId="77777777" w:rsidR="00271E37" w:rsidRPr="00987B2F" w:rsidRDefault="00271E37">
            <w:pPr>
              <w:rPr>
                <w:b/>
                <w:bCs/>
              </w:rPr>
            </w:pPr>
            <w:r w:rsidRPr="00987B2F">
              <w:rPr>
                <w:rFonts w:cs="Arial"/>
                <w:b/>
                <w:bCs/>
                <w:szCs w:val="16"/>
              </w:rPr>
              <w:t xml:space="preserve">955 </w:t>
            </w:r>
          </w:p>
        </w:tc>
      </w:tr>
    </w:tbl>
    <w:p w14:paraId="3E92713A" w14:textId="77777777" w:rsidR="00271E37" w:rsidRDefault="00271E37" w:rsidP="002E39D4">
      <w:r w:rsidRPr="00AE052E">
        <w:rPr>
          <w:sz w:val="14"/>
          <w:szCs w:val="14"/>
        </w:rPr>
        <w:t xml:space="preserve">(a) Other timing differences include a deferred tax asset closing balance of </w:t>
      </w:r>
      <w:r>
        <w:rPr>
          <w:sz w:val="14"/>
          <w:szCs w:val="14"/>
        </w:rPr>
        <w:t>£441,000</w:t>
      </w:r>
      <w:r w:rsidRPr="00AE052E">
        <w:rPr>
          <w:sz w:val="14"/>
          <w:szCs w:val="14"/>
        </w:rPr>
        <w:t xml:space="preserve"> (202</w:t>
      </w:r>
      <w:r>
        <w:rPr>
          <w:sz w:val="14"/>
          <w:szCs w:val="14"/>
        </w:rPr>
        <w:t>5</w:t>
      </w:r>
      <w:r w:rsidRPr="00AE052E">
        <w:rPr>
          <w:sz w:val="14"/>
          <w:szCs w:val="14"/>
        </w:rPr>
        <w:t xml:space="preserve">: </w:t>
      </w:r>
      <w:r>
        <w:rPr>
          <w:sz w:val="14"/>
          <w:szCs w:val="14"/>
        </w:rPr>
        <w:t>£378,000</w:t>
      </w:r>
      <w:r w:rsidRPr="00AE052E">
        <w:rPr>
          <w:sz w:val="14"/>
          <w:szCs w:val="14"/>
        </w:rPr>
        <w:t xml:space="preserve">) in respect of provision for inventory and </w:t>
      </w:r>
      <w:r>
        <w:rPr>
          <w:sz w:val="14"/>
          <w:szCs w:val="14"/>
        </w:rPr>
        <w:t>£280,000</w:t>
      </w:r>
      <w:r w:rsidRPr="00AE052E">
        <w:rPr>
          <w:sz w:val="14"/>
          <w:szCs w:val="14"/>
        </w:rPr>
        <w:t xml:space="preserve"> (202</w:t>
      </w:r>
      <w:r>
        <w:rPr>
          <w:sz w:val="14"/>
          <w:szCs w:val="14"/>
        </w:rPr>
        <w:t>5</w:t>
      </w:r>
      <w:r w:rsidRPr="00AE052E">
        <w:rPr>
          <w:sz w:val="14"/>
          <w:szCs w:val="14"/>
        </w:rPr>
        <w:t xml:space="preserve">: </w:t>
      </w:r>
      <w:r>
        <w:rPr>
          <w:sz w:val="14"/>
          <w:szCs w:val="14"/>
        </w:rPr>
        <w:t>£114,000</w:t>
      </w:r>
      <w:r w:rsidRPr="00AE052E">
        <w:rPr>
          <w:sz w:val="14"/>
          <w:szCs w:val="14"/>
        </w:rPr>
        <w:t>) in respect of leases.</w:t>
      </w:r>
    </w:p>
    <w:p w14:paraId="130E8DF2" w14:textId="77777777" w:rsidR="00271E37" w:rsidRDefault="00271E37" w:rsidP="002E39D4"/>
    <w:p w14:paraId="30684885" w14:textId="77777777" w:rsidR="00271E37" w:rsidRDefault="00271E37" w:rsidP="002E39D4">
      <w:r>
        <w:t xml:space="preserve">Deferred tax is presented net on the balance sheet in so far as a right of offset exists. </w:t>
      </w:r>
    </w:p>
    <w:tbl>
      <w:tblPr>
        <w:tblStyle w:val="tableDUL"/>
        <w:tblW w:w="9639" w:type="dxa"/>
        <w:tblLook w:val="04A0" w:firstRow="1" w:lastRow="0" w:firstColumn="1" w:lastColumn="0" w:noHBand="0" w:noVBand="1"/>
      </w:tblPr>
      <w:tblGrid>
        <w:gridCol w:w="7371"/>
        <w:gridCol w:w="1134"/>
        <w:gridCol w:w="1134"/>
      </w:tblGrid>
      <w:tr w:rsidR="00271E37" w:rsidRPr="009B7F54" w14:paraId="05AAF129" w14:textId="77777777" w:rsidTr="009B7F54">
        <w:tc>
          <w:tcPr>
            <w:tcW w:w="0" w:type="auto"/>
            <w:tcBorders>
              <w:bottom w:val="nil"/>
            </w:tcBorders>
          </w:tcPr>
          <w:p w14:paraId="2BB2D45C" w14:textId="77777777" w:rsidR="00271E37" w:rsidRPr="009B7F54" w:rsidRDefault="00271E37" w:rsidP="009B7F54">
            <w:pPr>
              <w:jc w:val="left"/>
            </w:pPr>
          </w:p>
        </w:tc>
        <w:tc>
          <w:tcPr>
            <w:tcW w:w="1134" w:type="dxa"/>
            <w:tcBorders>
              <w:bottom w:val="nil"/>
            </w:tcBorders>
          </w:tcPr>
          <w:p w14:paraId="06899030" w14:textId="77777777" w:rsidR="00271E37" w:rsidRPr="009B7F54" w:rsidRDefault="00271E37" w:rsidP="000923EA">
            <w:pPr>
              <w:rPr>
                <w:b/>
                <w:bCs/>
              </w:rPr>
            </w:pPr>
            <w:r w:rsidRPr="009B7F54">
              <w:rPr>
                <w:b/>
                <w:bCs/>
              </w:rPr>
              <w:t>202</w:t>
            </w:r>
            <w:r>
              <w:rPr>
                <w:b/>
                <w:bCs/>
              </w:rPr>
              <w:t>6</w:t>
            </w:r>
          </w:p>
        </w:tc>
        <w:tc>
          <w:tcPr>
            <w:tcW w:w="1134" w:type="dxa"/>
            <w:tcBorders>
              <w:bottom w:val="nil"/>
            </w:tcBorders>
          </w:tcPr>
          <w:p w14:paraId="666D2ED8" w14:textId="77777777" w:rsidR="00271E37" w:rsidRPr="009B7F54" w:rsidRDefault="00271E37" w:rsidP="000923EA">
            <w:r w:rsidRPr="009B7F54">
              <w:t>202</w:t>
            </w:r>
            <w:r>
              <w:t>5</w:t>
            </w:r>
          </w:p>
        </w:tc>
      </w:tr>
      <w:tr w:rsidR="00271E37" w:rsidRPr="009B7F54" w14:paraId="5C029E37" w14:textId="77777777" w:rsidTr="009B7F54">
        <w:tc>
          <w:tcPr>
            <w:tcW w:w="0" w:type="auto"/>
            <w:tcBorders>
              <w:bottom w:val="single" w:sz="4" w:space="0" w:color="auto"/>
            </w:tcBorders>
          </w:tcPr>
          <w:p w14:paraId="09F25976" w14:textId="77777777" w:rsidR="00271E37" w:rsidRPr="009B7F54" w:rsidRDefault="00271E37" w:rsidP="009B7F54">
            <w:pPr>
              <w:jc w:val="left"/>
            </w:pPr>
          </w:p>
        </w:tc>
        <w:tc>
          <w:tcPr>
            <w:tcW w:w="1134" w:type="dxa"/>
            <w:tcBorders>
              <w:bottom w:val="single" w:sz="4" w:space="0" w:color="auto"/>
            </w:tcBorders>
          </w:tcPr>
          <w:p w14:paraId="315EB3BF" w14:textId="77777777" w:rsidR="00271E37" w:rsidRPr="009B7F54" w:rsidRDefault="00271E37" w:rsidP="000923EA">
            <w:pPr>
              <w:rPr>
                <w:b/>
                <w:bCs/>
              </w:rPr>
            </w:pPr>
            <w:r>
              <w:rPr>
                <w:b/>
                <w:bCs/>
              </w:rPr>
              <w:t>£</w:t>
            </w:r>
            <w:r w:rsidRPr="009B7F54">
              <w:rPr>
                <w:b/>
                <w:bCs/>
              </w:rPr>
              <w:t>000</w:t>
            </w:r>
          </w:p>
        </w:tc>
        <w:tc>
          <w:tcPr>
            <w:tcW w:w="1134" w:type="dxa"/>
            <w:tcBorders>
              <w:bottom w:val="single" w:sz="4" w:space="0" w:color="auto"/>
            </w:tcBorders>
          </w:tcPr>
          <w:p w14:paraId="192282DA" w14:textId="77777777" w:rsidR="00271E37" w:rsidRPr="009B7F54" w:rsidRDefault="00271E37" w:rsidP="000923EA">
            <w:r>
              <w:t>£</w:t>
            </w:r>
            <w:r w:rsidRPr="009B7F54">
              <w:t>000</w:t>
            </w:r>
          </w:p>
        </w:tc>
      </w:tr>
      <w:tr w:rsidR="00271E37" w:rsidRPr="009B7F54" w14:paraId="3FE1484C" w14:textId="77777777">
        <w:tc>
          <w:tcPr>
            <w:tcW w:w="0" w:type="auto"/>
            <w:tcBorders>
              <w:top w:val="single" w:sz="4" w:space="0" w:color="auto"/>
              <w:bottom w:val="nil"/>
            </w:tcBorders>
          </w:tcPr>
          <w:p w14:paraId="6B7C8695" w14:textId="77777777" w:rsidR="00271E37" w:rsidRPr="009B7F54" w:rsidRDefault="00271E37">
            <w:pPr>
              <w:jc w:val="left"/>
            </w:pPr>
            <w:r w:rsidRPr="009B7F54">
              <w:t xml:space="preserve">Net deferred tax asset </w:t>
            </w:r>
          </w:p>
        </w:tc>
        <w:tc>
          <w:tcPr>
            <w:tcW w:w="1134" w:type="dxa"/>
            <w:tcBorders>
              <w:top w:val="single" w:sz="4" w:space="0" w:color="auto"/>
              <w:bottom w:val="nil"/>
            </w:tcBorders>
            <w:vAlign w:val="center"/>
          </w:tcPr>
          <w:p w14:paraId="234403D5" w14:textId="77777777" w:rsidR="00271E37" w:rsidRPr="00987B2F" w:rsidRDefault="00271E37">
            <w:pPr>
              <w:rPr>
                <w:b/>
                <w:bCs/>
              </w:rPr>
            </w:pPr>
            <w:r w:rsidRPr="00987B2F">
              <w:rPr>
                <w:rFonts w:cs="Arial"/>
                <w:b/>
                <w:bCs/>
                <w:szCs w:val="16"/>
              </w:rPr>
              <w:t xml:space="preserve">1,322 </w:t>
            </w:r>
          </w:p>
        </w:tc>
        <w:tc>
          <w:tcPr>
            <w:tcW w:w="1134" w:type="dxa"/>
            <w:tcBorders>
              <w:top w:val="single" w:sz="4" w:space="0" w:color="auto"/>
              <w:bottom w:val="nil"/>
            </w:tcBorders>
            <w:vAlign w:val="center"/>
          </w:tcPr>
          <w:p w14:paraId="0353C60B" w14:textId="77777777" w:rsidR="00271E37" w:rsidRPr="00987B2F" w:rsidRDefault="00271E37">
            <w:r w:rsidRPr="00987B2F">
              <w:rPr>
                <w:rFonts w:cs="Arial"/>
                <w:szCs w:val="16"/>
              </w:rPr>
              <w:t xml:space="preserve">1,009 </w:t>
            </w:r>
          </w:p>
        </w:tc>
      </w:tr>
      <w:tr w:rsidR="00271E37" w:rsidRPr="009B7F54" w14:paraId="75FB94F9" w14:textId="77777777">
        <w:tc>
          <w:tcPr>
            <w:tcW w:w="0" w:type="auto"/>
            <w:tcBorders>
              <w:bottom w:val="single" w:sz="4" w:space="0" w:color="auto"/>
            </w:tcBorders>
          </w:tcPr>
          <w:p w14:paraId="409F5D35" w14:textId="77777777" w:rsidR="00271E37" w:rsidRPr="009B7F54" w:rsidRDefault="00271E37">
            <w:pPr>
              <w:jc w:val="left"/>
            </w:pPr>
            <w:r w:rsidRPr="009B7F54">
              <w:t>Net deferred tax liability</w:t>
            </w:r>
          </w:p>
        </w:tc>
        <w:tc>
          <w:tcPr>
            <w:tcW w:w="1134" w:type="dxa"/>
            <w:tcBorders>
              <w:bottom w:val="single" w:sz="4" w:space="0" w:color="auto"/>
            </w:tcBorders>
            <w:vAlign w:val="center"/>
          </w:tcPr>
          <w:p w14:paraId="3CC7A3AE" w14:textId="77777777" w:rsidR="00271E37" w:rsidRPr="00987B2F" w:rsidRDefault="00271E37">
            <w:pPr>
              <w:rPr>
                <w:b/>
                <w:bCs/>
              </w:rPr>
            </w:pPr>
            <w:r w:rsidRPr="00987B2F">
              <w:rPr>
                <w:rFonts w:cs="Arial"/>
                <w:b/>
                <w:bCs/>
                <w:szCs w:val="16"/>
              </w:rPr>
              <w:t>(59)</w:t>
            </w:r>
          </w:p>
        </w:tc>
        <w:tc>
          <w:tcPr>
            <w:tcW w:w="1134" w:type="dxa"/>
            <w:tcBorders>
              <w:bottom w:val="single" w:sz="4" w:space="0" w:color="auto"/>
            </w:tcBorders>
            <w:vAlign w:val="center"/>
          </w:tcPr>
          <w:p w14:paraId="51DF137D" w14:textId="77777777" w:rsidR="00271E37" w:rsidRPr="00987B2F" w:rsidRDefault="00271E37">
            <w:r w:rsidRPr="00987B2F">
              <w:rPr>
                <w:rFonts w:cs="Arial"/>
                <w:szCs w:val="16"/>
              </w:rPr>
              <w:t>(58)</w:t>
            </w:r>
          </w:p>
        </w:tc>
      </w:tr>
      <w:tr w:rsidR="00271E37" w:rsidRPr="009B7F54" w14:paraId="54F81EB7" w14:textId="77777777">
        <w:tc>
          <w:tcPr>
            <w:tcW w:w="0" w:type="auto"/>
            <w:tcBorders>
              <w:top w:val="single" w:sz="4" w:space="0" w:color="auto"/>
            </w:tcBorders>
          </w:tcPr>
          <w:p w14:paraId="4F8F0A3E" w14:textId="77777777" w:rsidR="00271E37" w:rsidRPr="009B7F54" w:rsidRDefault="00271E37">
            <w:pPr>
              <w:jc w:val="left"/>
            </w:pPr>
          </w:p>
        </w:tc>
        <w:tc>
          <w:tcPr>
            <w:tcW w:w="1134" w:type="dxa"/>
            <w:tcBorders>
              <w:top w:val="single" w:sz="4" w:space="0" w:color="auto"/>
            </w:tcBorders>
            <w:vAlign w:val="center"/>
          </w:tcPr>
          <w:p w14:paraId="3D88DB0B" w14:textId="77777777" w:rsidR="00271E37" w:rsidRPr="00987B2F" w:rsidRDefault="00271E37">
            <w:pPr>
              <w:rPr>
                <w:b/>
                <w:bCs/>
              </w:rPr>
            </w:pPr>
            <w:r w:rsidRPr="00987B2F">
              <w:rPr>
                <w:rFonts w:cs="Arial"/>
                <w:b/>
                <w:bCs/>
                <w:szCs w:val="16"/>
              </w:rPr>
              <w:t xml:space="preserve">1,263 </w:t>
            </w:r>
          </w:p>
        </w:tc>
        <w:tc>
          <w:tcPr>
            <w:tcW w:w="1134" w:type="dxa"/>
            <w:tcBorders>
              <w:top w:val="single" w:sz="4" w:space="0" w:color="auto"/>
            </w:tcBorders>
            <w:vAlign w:val="center"/>
          </w:tcPr>
          <w:p w14:paraId="46480BC3" w14:textId="77777777" w:rsidR="00271E37" w:rsidRPr="00987B2F" w:rsidRDefault="00271E37">
            <w:r w:rsidRPr="00987B2F">
              <w:rPr>
                <w:rFonts w:cs="Arial"/>
                <w:szCs w:val="16"/>
              </w:rPr>
              <w:t xml:space="preserve">951 </w:t>
            </w:r>
          </w:p>
        </w:tc>
      </w:tr>
    </w:tbl>
    <w:p w14:paraId="4DBF3B61" w14:textId="77777777" w:rsidR="00271E37" w:rsidRDefault="00271E37" w:rsidP="002E39D4"/>
    <w:p w14:paraId="3C55DD78" w14:textId="77777777" w:rsidR="00271E37" w:rsidRDefault="00271E37">
      <w:r>
        <w:t>Deferred tax assets and liabilities are treated as non-current as it is expected that they will be recovered or settled more than twelve months after the reporting date.</w:t>
      </w:r>
    </w:p>
    <w:p w14:paraId="451E0748" w14:textId="77777777" w:rsidR="00271E37" w:rsidRDefault="00271E37"/>
    <w:p w14:paraId="2C0A21F6" w14:textId="77777777" w:rsidR="00271E37" w:rsidRDefault="00271E37">
      <w:r>
        <w:t>The Group recognises deferred tax assets and liabilities based on estimates of future taxable income and recoverability. Deferred tax is provided using the balance sheet liability method, providing for temporary differences between the carrying amounts of assets and liabilities for financial reporting purposes and the amount used for taxation purposes.</w:t>
      </w:r>
    </w:p>
    <w:p w14:paraId="1BC594D0" w14:textId="77777777" w:rsidR="00271E37" w:rsidRDefault="00271E37"/>
    <w:p w14:paraId="05EABD1E" w14:textId="77777777" w:rsidR="00271E37" w:rsidRDefault="00271E37">
      <w:r>
        <w:t xml:space="preserve">As at 31 March 2026, there are no deferred tax assets in respect of tax losses carried forward (2025: £nil). </w:t>
      </w:r>
    </w:p>
    <w:p w14:paraId="1965DB4D" w14:textId="77777777" w:rsidR="00271E37" w:rsidRDefault="00271E37"/>
    <w:p w14:paraId="739AE3AC" w14:textId="625A2ADE" w:rsidR="00271E37" w:rsidRDefault="00271E37">
      <w:r>
        <w:t>At the end of the year</w:t>
      </w:r>
      <w:r w:rsidR="00515631">
        <w:t>,</w:t>
      </w:r>
      <w:r>
        <w:t xml:space="preserve"> in the UK there are gross temporary differences of £4.2 million (2025: £3.8 million) and unused tax losses, with no expiry date, of £24.1 million (2025: £24.3 million) on which deferred tax assets have not been recognised. Deferred tax assets are not being recognised due to the lack of sufficient compelling evidence to suggest their recognition at this time. </w:t>
      </w:r>
    </w:p>
    <w:p w14:paraId="181D415C" w14:textId="77777777" w:rsidR="00271E37" w:rsidRDefault="00271E37"/>
    <w:p w14:paraId="35613446" w14:textId="77777777" w:rsidR="00271E37" w:rsidRDefault="00271E37">
      <w:r>
        <w:t>No deferred tax liability (2025: £nil) has been recognised on remitted earnings or on dividends declared and not paid. If all unremitted earnings were repatriated with immediate effect, the full potential tax liability which has not been recognised in respect of unremitted earnings is £24,000 (2025: £112,000).</w:t>
      </w:r>
    </w:p>
    <w:p w14:paraId="6D1F30B4" w14:textId="77777777" w:rsidR="00271E37" w:rsidRDefault="00271E37"/>
    <w:p w14:paraId="609C49F9" w14:textId="08F0896B" w:rsidR="00271E37" w:rsidRDefault="00271E37">
      <w:r>
        <w:t>Included within current tax liabilities is £0.5 million (2025: £6.3 million) in respect of uncertain tax positions. As an international business, the Group is exposed to the income tax laws of the jurisdictions in which it operates. These laws are complex and subject to different interpretations by taxpayers and tax authorities. The assessment of uncertain tax positions is subjective. It is based on the Group’s interpretation of country-specific tax law and its application and interaction, on previous experience and on management professional judgement supported by external advisers where necessary. The amount consists of various tax risks which individually are not material. The position is reviewed on an ongoing basis, and it is possible the amounts paid will be different from the amounts provided</w:t>
      </w:r>
      <w:r w:rsidR="00E37D9B">
        <w:t>,</w:t>
      </w:r>
      <w:r>
        <w:t xml:space="preserve"> but this is not expected to be material. No deferred tax charge was recognised through the statement of changes in equity and there are no deferred tax balances with respect to cash flow hedges. </w:t>
      </w:r>
    </w:p>
    <w:p w14:paraId="66CEB48A" w14:textId="77777777" w:rsidR="00271E37" w:rsidRDefault="00271E37" w:rsidP="002E39D4"/>
    <w:p w14:paraId="22F0FF3B" w14:textId="77777777" w:rsidR="00271E37" w:rsidRPr="009B7F54" w:rsidRDefault="00271E37">
      <w:pPr>
        <w:pStyle w:val="Heading2"/>
      </w:pPr>
      <w:r w:rsidRPr="009B7F54">
        <w:lastRenderedPageBreak/>
        <w:t>12 Inventory</w:t>
      </w:r>
    </w:p>
    <w:tbl>
      <w:tblPr>
        <w:tblStyle w:val="tableDUL"/>
        <w:tblW w:w="9639" w:type="dxa"/>
        <w:tblLook w:val="04A0" w:firstRow="1" w:lastRow="0" w:firstColumn="1" w:lastColumn="0" w:noHBand="0" w:noVBand="1"/>
      </w:tblPr>
      <w:tblGrid>
        <w:gridCol w:w="7371"/>
        <w:gridCol w:w="1134"/>
        <w:gridCol w:w="1134"/>
      </w:tblGrid>
      <w:tr w:rsidR="00271E37" w:rsidRPr="001748FA" w14:paraId="110E59D1" w14:textId="77777777" w:rsidTr="001748FA">
        <w:tc>
          <w:tcPr>
            <w:tcW w:w="0" w:type="auto"/>
            <w:tcBorders>
              <w:bottom w:val="nil"/>
            </w:tcBorders>
          </w:tcPr>
          <w:p w14:paraId="127C3FE5" w14:textId="77777777" w:rsidR="00271E37" w:rsidRPr="001748FA" w:rsidRDefault="00271E37" w:rsidP="001748FA">
            <w:pPr>
              <w:jc w:val="left"/>
            </w:pPr>
          </w:p>
        </w:tc>
        <w:tc>
          <w:tcPr>
            <w:tcW w:w="1134" w:type="dxa"/>
            <w:tcBorders>
              <w:bottom w:val="nil"/>
            </w:tcBorders>
          </w:tcPr>
          <w:p w14:paraId="43ABF647" w14:textId="77777777" w:rsidR="00271E37" w:rsidRPr="001748FA" w:rsidRDefault="00271E37" w:rsidP="000923EA">
            <w:pPr>
              <w:rPr>
                <w:b/>
                <w:bCs/>
              </w:rPr>
            </w:pPr>
            <w:r w:rsidRPr="001748FA">
              <w:rPr>
                <w:b/>
                <w:bCs/>
              </w:rPr>
              <w:t>202</w:t>
            </w:r>
            <w:r>
              <w:rPr>
                <w:b/>
                <w:bCs/>
              </w:rPr>
              <w:t>6</w:t>
            </w:r>
          </w:p>
        </w:tc>
        <w:tc>
          <w:tcPr>
            <w:tcW w:w="1134" w:type="dxa"/>
            <w:tcBorders>
              <w:bottom w:val="nil"/>
            </w:tcBorders>
          </w:tcPr>
          <w:p w14:paraId="3713E393" w14:textId="77777777" w:rsidR="00271E37" w:rsidRPr="001748FA" w:rsidRDefault="00271E37" w:rsidP="000923EA">
            <w:r w:rsidRPr="001748FA">
              <w:t>202</w:t>
            </w:r>
            <w:r>
              <w:t>5</w:t>
            </w:r>
          </w:p>
        </w:tc>
      </w:tr>
      <w:tr w:rsidR="00271E37" w:rsidRPr="001748FA" w14:paraId="5482B5CE" w14:textId="77777777" w:rsidTr="001748FA">
        <w:tc>
          <w:tcPr>
            <w:tcW w:w="0" w:type="auto"/>
            <w:tcBorders>
              <w:bottom w:val="single" w:sz="4" w:space="0" w:color="auto"/>
            </w:tcBorders>
          </w:tcPr>
          <w:p w14:paraId="6E98717A" w14:textId="77777777" w:rsidR="00271E37" w:rsidRPr="001748FA" w:rsidRDefault="00271E37" w:rsidP="001748FA">
            <w:pPr>
              <w:jc w:val="left"/>
            </w:pPr>
          </w:p>
        </w:tc>
        <w:tc>
          <w:tcPr>
            <w:tcW w:w="1134" w:type="dxa"/>
            <w:tcBorders>
              <w:bottom w:val="single" w:sz="4" w:space="0" w:color="auto"/>
            </w:tcBorders>
          </w:tcPr>
          <w:p w14:paraId="69464B41" w14:textId="77777777" w:rsidR="00271E37" w:rsidRPr="001748FA" w:rsidRDefault="00271E37" w:rsidP="000923EA">
            <w:pPr>
              <w:rPr>
                <w:b/>
                <w:bCs/>
              </w:rPr>
            </w:pPr>
            <w:r>
              <w:rPr>
                <w:b/>
                <w:bCs/>
              </w:rPr>
              <w:t>£</w:t>
            </w:r>
            <w:r w:rsidRPr="001748FA">
              <w:rPr>
                <w:b/>
                <w:bCs/>
              </w:rPr>
              <w:t>000</w:t>
            </w:r>
          </w:p>
        </w:tc>
        <w:tc>
          <w:tcPr>
            <w:tcW w:w="1134" w:type="dxa"/>
            <w:tcBorders>
              <w:bottom w:val="single" w:sz="4" w:space="0" w:color="auto"/>
            </w:tcBorders>
          </w:tcPr>
          <w:p w14:paraId="48C1F938" w14:textId="77777777" w:rsidR="00271E37" w:rsidRPr="001748FA" w:rsidRDefault="00271E37" w:rsidP="000923EA">
            <w:r>
              <w:t>£</w:t>
            </w:r>
            <w:r w:rsidRPr="001748FA">
              <w:t>000</w:t>
            </w:r>
          </w:p>
        </w:tc>
      </w:tr>
      <w:tr w:rsidR="00271E37" w:rsidRPr="001748FA" w14:paraId="027DF2FD" w14:textId="77777777">
        <w:tc>
          <w:tcPr>
            <w:tcW w:w="0" w:type="auto"/>
            <w:tcBorders>
              <w:top w:val="single" w:sz="4" w:space="0" w:color="auto"/>
            </w:tcBorders>
          </w:tcPr>
          <w:p w14:paraId="35857F38" w14:textId="77777777" w:rsidR="00271E37" w:rsidRPr="001748FA" w:rsidRDefault="00271E37">
            <w:pPr>
              <w:jc w:val="left"/>
            </w:pPr>
            <w:r w:rsidRPr="001748FA">
              <w:t>Raw materials and consumables</w:t>
            </w:r>
          </w:p>
        </w:tc>
        <w:tc>
          <w:tcPr>
            <w:tcW w:w="1134" w:type="dxa"/>
            <w:tcBorders>
              <w:top w:val="single" w:sz="4" w:space="0" w:color="auto"/>
            </w:tcBorders>
            <w:vAlign w:val="center"/>
          </w:tcPr>
          <w:p w14:paraId="5D6E69F3" w14:textId="77777777" w:rsidR="00271E37" w:rsidRPr="008C5795" w:rsidRDefault="00271E37">
            <w:pPr>
              <w:rPr>
                <w:b/>
                <w:bCs/>
              </w:rPr>
            </w:pPr>
            <w:r w:rsidRPr="008C5795">
              <w:rPr>
                <w:rFonts w:cs="Arial"/>
                <w:b/>
                <w:bCs/>
                <w:szCs w:val="16"/>
              </w:rPr>
              <w:t xml:space="preserve">6,175 </w:t>
            </w:r>
          </w:p>
        </w:tc>
        <w:tc>
          <w:tcPr>
            <w:tcW w:w="1134" w:type="dxa"/>
            <w:tcBorders>
              <w:top w:val="single" w:sz="4" w:space="0" w:color="auto"/>
            </w:tcBorders>
            <w:vAlign w:val="center"/>
          </w:tcPr>
          <w:p w14:paraId="6FE36A9D" w14:textId="77777777" w:rsidR="00271E37" w:rsidRPr="008C5795" w:rsidRDefault="00271E37">
            <w:r w:rsidRPr="008C5795">
              <w:rPr>
                <w:rFonts w:cs="Arial"/>
                <w:szCs w:val="16"/>
              </w:rPr>
              <w:t xml:space="preserve">19,991 </w:t>
            </w:r>
          </w:p>
        </w:tc>
      </w:tr>
      <w:tr w:rsidR="00271E37" w:rsidRPr="001748FA" w14:paraId="3682A09C" w14:textId="77777777">
        <w:tc>
          <w:tcPr>
            <w:tcW w:w="0" w:type="auto"/>
            <w:tcBorders>
              <w:bottom w:val="nil"/>
            </w:tcBorders>
          </w:tcPr>
          <w:p w14:paraId="34DF8165" w14:textId="77777777" w:rsidR="00271E37" w:rsidRPr="001748FA" w:rsidRDefault="00271E37">
            <w:pPr>
              <w:jc w:val="left"/>
            </w:pPr>
            <w:r w:rsidRPr="001748FA">
              <w:t>Work in progress</w:t>
            </w:r>
          </w:p>
        </w:tc>
        <w:tc>
          <w:tcPr>
            <w:tcW w:w="1134" w:type="dxa"/>
            <w:tcBorders>
              <w:bottom w:val="nil"/>
            </w:tcBorders>
            <w:vAlign w:val="center"/>
          </w:tcPr>
          <w:p w14:paraId="7D73BCFB" w14:textId="77777777" w:rsidR="00271E37" w:rsidRPr="008C5795" w:rsidRDefault="00271E37">
            <w:pPr>
              <w:rPr>
                <w:b/>
                <w:bCs/>
              </w:rPr>
            </w:pPr>
            <w:r w:rsidRPr="008C5795">
              <w:rPr>
                <w:rFonts w:cs="Arial"/>
                <w:b/>
                <w:bCs/>
                <w:szCs w:val="16"/>
              </w:rPr>
              <w:t xml:space="preserve">5,742 </w:t>
            </w:r>
          </w:p>
        </w:tc>
        <w:tc>
          <w:tcPr>
            <w:tcW w:w="1134" w:type="dxa"/>
            <w:tcBorders>
              <w:bottom w:val="nil"/>
            </w:tcBorders>
            <w:vAlign w:val="center"/>
          </w:tcPr>
          <w:p w14:paraId="5C25F05A" w14:textId="77777777" w:rsidR="00271E37" w:rsidRPr="008C5795" w:rsidRDefault="00271E37">
            <w:r w:rsidRPr="008C5795">
              <w:rPr>
                <w:rFonts w:cs="Arial"/>
                <w:szCs w:val="16"/>
              </w:rPr>
              <w:t xml:space="preserve">22,692 </w:t>
            </w:r>
          </w:p>
        </w:tc>
      </w:tr>
      <w:tr w:rsidR="00271E37" w:rsidRPr="001748FA" w14:paraId="154A07F5" w14:textId="77777777">
        <w:tc>
          <w:tcPr>
            <w:tcW w:w="0" w:type="auto"/>
            <w:tcBorders>
              <w:bottom w:val="single" w:sz="4" w:space="0" w:color="auto"/>
            </w:tcBorders>
          </w:tcPr>
          <w:p w14:paraId="4C585A6F" w14:textId="77777777" w:rsidR="00271E37" w:rsidRPr="001748FA" w:rsidRDefault="00271E37">
            <w:pPr>
              <w:jc w:val="left"/>
            </w:pPr>
            <w:r w:rsidRPr="001748FA">
              <w:t>Finished goods</w:t>
            </w:r>
          </w:p>
        </w:tc>
        <w:tc>
          <w:tcPr>
            <w:tcW w:w="1134" w:type="dxa"/>
            <w:tcBorders>
              <w:bottom w:val="single" w:sz="4" w:space="0" w:color="auto"/>
            </w:tcBorders>
            <w:vAlign w:val="center"/>
          </w:tcPr>
          <w:p w14:paraId="74924563" w14:textId="77777777" w:rsidR="00271E37" w:rsidRPr="008C5795" w:rsidRDefault="00271E37">
            <w:pPr>
              <w:rPr>
                <w:b/>
                <w:bCs/>
              </w:rPr>
            </w:pPr>
            <w:r w:rsidRPr="008C5795">
              <w:rPr>
                <w:rFonts w:cs="Arial"/>
                <w:b/>
                <w:bCs/>
                <w:szCs w:val="16"/>
              </w:rPr>
              <w:t xml:space="preserve">32,164 </w:t>
            </w:r>
          </w:p>
        </w:tc>
        <w:tc>
          <w:tcPr>
            <w:tcW w:w="1134" w:type="dxa"/>
            <w:tcBorders>
              <w:bottom w:val="single" w:sz="4" w:space="0" w:color="auto"/>
            </w:tcBorders>
            <w:vAlign w:val="center"/>
          </w:tcPr>
          <w:p w14:paraId="2A7CEAD7" w14:textId="77777777" w:rsidR="00271E37" w:rsidRPr="008C5795" w:rsidRDefault="00271E37">
            <w:r w:rsidRPr="008C5795">
              <w:rPr>
                <w:rFonts w:cs="Arial"/>
                <w:szCs w:val="16"/>
              </w:rPr>
              <w:t xml:space="preserve">90,797 </w:t>
            </w:r>
          </w:p>
        </w:tc>
      </w:tr>
      <w:tr w:rsidR="00271E37" w:rsidRPr="001748FA" w14:paraId="528E5A3A" w14:textId="77777777">
        <w:tc>
          <w:tcPr>
            <w:tcW w:w="0" w:type="auto"/>
            <w:tcBorders>
              <w:top w:val="single" w:sz="4" w:space="0" w:color="auto"/>
            </w:tcBorders>
          </w:tcPr>
          <w:p w14:paraId="54201147" w14:textId="77777777" w:rsidR="00271E37" w:rsidRPr="001748FA" w:rsidRDefault="00271E37">
            <w:pPr>
              <w:jc w:val="left"/>
            </w:pPr>
          </w:p>
        </w:tc>
        <w:tc>
          <w:tcPr>
            <w:tcW w:w="1134" w:type="dxa"/>
            <w:tcBorders>
              <w:top w:val="single" w:sz="4" w:space="0" w:color="auto"/>
            </w:tcBorders>
            <w:vAlign w:val="center"/>
          </w:tcPr>
          <w:p w14:paraId="6D43B160" w14:textId="77777777" w:rsidR="00271E37" w:rsidRPr="008C5795" w:rsidRDefault="00271E37">
            <w:pPr>
              <w:rPr>
                <w:b/>
                <w:bCs/>
              </w:rPr>
            </w:pPr>
            <w:r w:rsidRPr="008C5795">
              <w:rPr>
                <w:rFonts w:cs="Arial"/>
                <w:b/>
                <w:bCs/>
                <w:szCs w:val="16"/>
              </w:rPr>
              <w:t xml:space="preserve">44,081 </w:t>
            </w:r>
          </w:p>
        </w:tc>
        <w:tc>
          <w:tcPr>
            <w:tcW w:w="1134" w:type="dxa"/>
            <w:tcBorders>
              <w:top w:val="single" w:sz="4" w:space="0" w:color="auto"/>
            </w:tcBorders>
            <w:vAlign w:val="center"/>
          </w:tcPr>
          <w:p w14:paraId="58F88EE2" w14:textId="77777777" w:rsidR="00271E37" w:rsidRPr="008C5795" w:rsidRDefault="00271E37">
            <w:r w:rsidRPr="008C5795">
              <w:rPr>
                <w:rFonts w:cs="Arial"/>
                <w:szCs w:val="16"/>
              </w:rPr>
              <w:t xml:space="preserve">133,480 </w:t>
            </w:r>
          </w:p>
        </w:tc>
      </w:tr>
    </w:tbl>
    <w:p w14:paraId="3A285304" w14:textId="77777777" w:rsidR="00271E37" w:rsidRDefault="00271E37" w:rsidP="002E39D4"/>
    <w:p w14:paraId="3805822B" w14:textId="29114437" w:rsidR="00271E37" w:rsidRPr="00D50533" w:rsidRDefault="00271E37">
      <w:pPr>
        <w:spacing w:line="240" w:lineRule="auto"/>
      </w:pPr>
      <w:r w:rsidRPr="00D50533">
        <w:t>During the year, materials, consumables, changes in finished goods and work</w:t>
      </w:r>
      <w:r w:rsidR="00B6224B">
        <w:t>-</w:t>
      </w:r>
      <w:r w:rsidRPr="00D50533">
        <w:t>in</w:t>
      </w:r>
      <w:r w:rsidR="00B6224B">
        <w:t>-</w:t>
      </w:r>
      <w:r w:rsidRPr="00D50533">
        <w:t>progress of £148.1 million (2025: £155.3 million) were recognised as an expense and included in cost of sales.</w:t>
      </w:r>
    </w:p>
    <w:p w14:paraId="465F6A90" w14:textId="77777777" w:rsidR="00271E37" w:rsidRDefault="00271E37" w:rsidP="002E39D4"/>
    <w:p w14:paraId="5587DFF7" w14:textId="313C18FC" w:rsidR="00271E37" w:rsidRDefault="00271E37" w:rsidP="002E39D4">
      <w:r>
        <w:t>Inventory provisions have been assessed as at 31 March 2026 and overall an expense of £1.5 million has been recognised in the year (2025: £1.0 million). This consists of the addition of new provisions for slow</w:t>
      </w:r>
      <w:r w:rsidR="005D7E8E">
        <w:t>-</w:t>
      </w:r>
      <w:r>
        <w:t>moving and obsolete inventory of £1.8 million (2025: £1.6 million), and the release of previous slow</w:t>
      </w:r>
      <w:r w:rsidR="002F45C0">
        <w:t>-</w:t>
      </w:r>
      <w:r>
        <w:t>moving and obsolete inventory provisions amounting to £0.3 million (2025: £0.6 million) due to inventory either being used or sold.</w:t>
      </w:r>
    </w:p>
    <w:p w14:paraId="58A7F5C6" w14:textId="77777777" w:rsidR="00271E37" w:rsidRDefault="00271E37" w:rsidP="002E39D4"/>
    <w:p w14:paraId="3E8C8E1D" w14:textId="77777777" w:rsidR="00271E37" w:rsidRDefault="00271E37">
      <w:r>
        <w:t xml:space="preserve">As at 31 March 2026, inventory provisions for continuing operations were £5.4 million against a gross inventory value of £49.5 million (2025: £4.7 million provisions, £56.7 million gross inventory value). </w:t>
      </w:r>
    </w:p>
    <w:p w14:paraId="3134B891" w14:textId="77777777" w:rsidR="00271E37" w:rsidRDefault="00271E37"/>
    <w:p w14:paraId="4E9957D6" w14:textId="77777777" w:rsidR="00271E37" w:rsidRDefault="00271E37">
      <w:r>
        <w:t xml:space="preserve">This provision estimate is subject to potential material change, for example if market conditions change because expected customer demand fluctuates, or shipping delays reduce our ability to deliver on time and in full. </w:t>
      </w:r>
    </w:p>
    <w:p w14:paraId="6BCB7951" w14:textId="77777777" w:rsidR="00271E37" w:rsidRDefault="00271E37"/>
    <w:p w14:paraId="77FA0AB0" w14:textId="77777777" w:rsidR="00271E37" w:rsidRDefault="00271E37">
      <w:r>
        <w:t xml:space="preserve">Further to this, we performed a sensitivity analysis, assessing the impact of a movement of 7% in either direction. 7% reflects the highest movement level in five years and this was over Covid-19 which saw exceptional movements. The results indicated a potential stock provision movement of £0.4 million. However, given that every year-on-year movement since Covid-19 has been much lower, we believe the risk of a material movement is low. </w:t>
      </w:r>
    </w:p>
    <w:p w14:paraId="4E79024A" w14:textId="77777777" w:rsidR="00271E37" w:rsidRDefault="00271E37" w:rsidP="002E39D4"/>
    <w:p w14:paraId="1359B092" w14:textId="77777777" w:rsidR="00271E37" w:rsidRPr="009B7F54" w:rsidRDefault="00271E37">
      <w:pPr>
        <w:pStyle w:val="Heading2"/>
      </w:pPr>
      <w:r w:rsidRPr="009B7F54">
        <w:t>13 Long-term assets and trade and other receivables</w:t>
      </w:r>
    </w:p>
    <w:p w14:paraId="72D782CA" w14:textId="77777777" w:rsidR="00271E37" w:rsidRDefault="00271E37" w:rsidP="002E39D4">
      <w:r>
        <w:t>Long-term assets are as follows:</w:t>
      </w:r>
    </w:p>
    <w:tbl>
      <w:tblPr>
        <w:tblStyle w:val="tableDUL"/>
        <w:tblW w:w="9419" w:type="dxa"/>
        <w:tblLook w:val="04A0" w:firstRow="1" w:lastRow="0" w:firstColumn="1" w:lastColumn="0" w:noHBand="0" w:noVBand="1"/>
      </w:tblPr>
      <w:tblGrid>
        <w:gridCol w:w="7203"/>
        <w:gridCol w:w="1108"/>
        <w:gridCol w:w="1108"/>
      </w:tblGrid>
      <w:tr w:rsidR="00271E37" w:rsidRPr="001748FA" w14:paraId="20EBAADF" w14:textId="77777777">
        <w:trPr>
          <w:trHeight w:val="234"/>
        </w:trPr>
        <w:tc>
          <w:tcPr>
            <w:tcW w:w="0" w:type="auto"/>
            <w:tcBorders>
              <w:bottom w:val="nil"/>
            </w:tcBorders>
          </w:tcPr>
          <w:p w14:paraId="50C17099" w14:textId="77777777" w:rsidR="00271E37" w:rsidRPr="001748FA" w:rsidRDefault="00271E37" w:rsidP="001748FA">
            <w:pPr>
              <w:jc w:val="left"/>
            </w:pPr>
          </w:p>
        </w:tc>
        <w:tc>
          <w:tcPr>
            <w:tcW w:w="1108" w:type="dxa"/>
            <w:tcBorders>
              <w:bottom w:val="nil"/>
            </w:tcBorders>
          </w:tcPr>
          <w:p w14:paraId="2809891B" w14:textId="77777777" w:rsidR="00271E37" w:rsidRPr="001748FA" w:rsidRDefault="00271E37" w:rsidP="000923EA">
            <w:pPr>
              <w:rPr>
                <w:b/>
                <w:bCs/>
              </w:rPr>
            </w:pPr>
            <w:r w:rsidRPr="001748FA">
              <w:rPr>
                <w:b/>
                <w:bCs/>
              </w:rPr>
              <w:t>202</w:t>
            </w:r>
            <w:r>
              <w:rPr>
                <w:b/>
                <w:bCs/>
              </w:rPr>
              <w:t>6</w:t>
            </w:r>
          </w:p>
        </w:tc>
        <w:tc>
          <w:tcPr>
            <w:tcW w:w="1108" w:type="dxa"/>
            <w:tcBorders>
              <w:bottom w:val="nil"/>
            </w:tcBorders>
          </w:tcPr>
          <w:p w14:paraId="10DD9D63" w14:textId="77777777" w:rsidR="00271E37" w:rsidRPr="001748FA" w:rsidRDefault="00271E37" w:rsidP="000923EA">
            <w:r w:rsidRPr="001748FA">
              <w:t>202</w:t>
            </w:r>
            <w:r>
              <w:t>5</w:t>
            </w:r>
          </w:p>
        </w:tc>
      </w:tr>
      <w:tr w:rsidR="00271E37" w:rsidRPr="001748FA" w14:paraId="58049665" w14:textId="77777777">
        <w:trPr>
          <w:trHeight w:val="234"/>
        </w:trPr>
        <w:tc>
          <w:tcPr>
            <w:tcW w:w="0" w:type="auto"/>
            <w:tcBorders>
              <w:bottom w:val="single" w:sz="4" w:space="0" w:color="auto"/>
            </w:tcBorders>
          </w:tcPr>
          <w:p w14:paraId="0C06E091" w14:textId="77777777" w:rsidR="00271E37" w:rsidRPr="001748FA" w:rsidRDefault="00271E37" w:rsidP="001748FA">
            <w:pPr>
              <w:jc w:val="left"/>
            </w:pPr>
          </w:p>
        </w:tc>
        <w:tc>
          <w:tcPr>
            <w:tcW w:w="1108" w:type="dxa"/>
            <w:tcBorders>
              <w:bottom w:val="single" w:sz="4" w:space="0" w:color="auto"/>
            </w:tcBorders>
          </w:tcPr>
          <w:p w14:paraId="7EE1CCF3" w14:textId="77777777" w:rsidR="00271E37" w:rsidRPr="001748FA" w:rsidRDefault="00271E37" w:rsidP="000923EA">
            <w:pPr>
              <w:rPr>
                <w:b/>
                <w:bCs/>
              </w:rPr>
            </w:pPr>
            <w:r>
              <w:rPr>
                <w:b/>
                <w:bCs/>
              </w:rPr>
              <w:t>£</w:t>
            </w:r>
            <w:r w:rsidRPr="001748FA">
              <w:rPr>
                <w:b/>
                <w:bCs/>
              </w:rPr>
              <w:t>000</w:t>
            </w:r>
          </w:p>
        </w:tc>
        <w:tc>
          <w:tcPr>
            <w:tcW w:w="1108" w:type="dxa"/>
            <w:tcBorders>
              <w:bottom w:val="single" w:sz="4" w:space="0" w:color="auto"/>
            </w:tcBorders>
          </w:tcPr>
          <w:p w14:paraId="378081E9" w14:textId="77777777" w:rsidR="00271E37" w:rsidRPr="001748FA" w:rsidRDefault="00271E37" w:rsidP="000923EA">
            <w:r>
              <w:t>£</w:t>
            </w:r>
            <w:r w:rsidRPr="001748FA">
              <w:t>000</w:t>
            </w:r>
          </w:p>
        </w:tc>
      </w:tr>
      <w:tr w:rsidR="00271E37" w:rsidRPr="001748FA" w14:paraId="11988653" w14:textId="77777777">
        <w:trPr>
          <w:trHeight w:val="234"/>
        </w:trPr>
        <w:tc>
          <w:tcPr>
            <w:tcW w:w="0" w:type="auto"/>
            <w:tcBorders>
              <w:top w:val="single" w:sz="4" w:space="0" w:color="auto"/>
            </w:tcBorders>
          </w:tcPr>
          <w:p w14:paraId="430A76DC" w14:textId="77777777" w:rsidR="00271E37" w:rsidRPr="001748FA" w:rsidRDefault="00271E37">
            <w:pPr>
              <w:jc w:val="left"/>
            </w:pPr>
            <w:r w:rsidRPr="001748FA">
              <w:t>Acquisition indemnities</w:t>
            </w:r>
          </w:p>
        </w:tc>
        <w:tc>
          <w:tcPr>
            <w:tcW w:w="1108" w:type="dxa"/>
            <w:tcBorders>
              <w:top w:val="single" w:sz="4" w:space="0" w:color="auto"/>
            </w:tcBorders>
            <w:vAlign w:val="center"/>
          </w:tcPr>
          <w:p w14:paraId="037EAB6B" w14:textId="77777777" w:rsidR="00271E37" w:rsidRPr="008C5795" w:rsidRDefault="00271E37">
            <w:pPr>
              <w:rPr>
                <w:b/>
                <w:bCs/>
              </w:rPr>
            </w:pPr>
            <w:r w:rsidRPr="008C5795">
              <w:rPr>
                <w:rFonts w:cs="Arial"/>
                <w:b/>
                <w:bCs/>
                <w:szCs w:val="16"/>
              </w:rPr>
              <w:t xml:space="preserve"> - </w:t>
            </w:r>
          </w:p>
        </w:tc>
        <w:tc>
          <w:tcPr>
            <w:tcW w:w="1108" w:type="dxa"/>
            <w:tcBorders>
              <w:top w:val="single" w:sz="4" w:space="0" w:color="auto"/>
            </w:tcBorders>
            <w:vAlign w:val="center"/>
          </w:tcPr>
          <w:p w14:paraId="2D82E504" w14:textId="77777777" w:rsidR="00271E37" w:rsidRPr="008C5795" w:rsidRDefault="00271E37">
            <w:r w:rsidRPr="008C5795">
              <w:rPr>
                <w:rFonts w:cs="Arial"/>
                <w:szCs w:val="16"/>
              </w:rPr>
              <w:t xml:space="preserve">502 </w:t>
            </w:r>
          </w:p>
        </w:tc>
      </w:tr>
      <w:tr w:rsidR="00271E37" w:rsidRPr="001748FA" w14:paraId="439C1955" w14:textId="77777777">
        <w:trPr>
          <w:trHeight w:val="234"/>
        </w:trPr>
        <w:tc>
          <w:tcPr>
            <w:tcW w:w="0" w:type="auto"/>
            <w:tcBorders>
              <w:bottom w:val="nil"/>
            </w:tcBorders>
          </w:tcPr>
          <w:p w14:paraId="2365D6A6" w14:textId="77777777" w:rsidR="00271E37" w:rsidRPr="001748FA" w:rsidRDefault="00271E37">
            <w:pPr>
              <w:jc w:val="left"/>
            </w:pPr>
            <w:r w:rsidRPr="001748FA">
              <w:t>Security deposits</w:t>
            </w:r>
          </w:p>
        </w:tc>
        <w:tc>
          <w:tcPr>
            <w:tcW w:w="1108" w:type="dxa"/>
            <w:tcBorders>
              <w:bottom w:val="nil"/>
            </w:tcBorders>
            <w:vAlign w:val="center"/>
          </w:tcPr>
          <w:p w14:paraId="14E87680" w14:textId="77777777" w:rsidR="00271E37" w:rsidRPr="008C5795" w:rsidRDefault="00271E37">
            <w:pPr>
              <w:rPr>
                <w:b/>
                <w:bCs/>
              </w:rPr>
            </w:pPr>
            <w:r w:rsidRPr="008C5795">
              <w:rPr>
                <w:rFonts w:cs="Arial"/>
                <w:b/>
                <w:bCs/>
                <w:szCs w:val="16"/>
              </w:rPr>
              <w:t xml:space="preserve"> - </w:t>
            </w:r>
          </w:p>
        </w:tc>
        <w:tc>
          <w:tcPr>
            <w:tcW w:w="1108" w:type="dxa"/>
            <w:tcBorders>
              <w:bottom w:val="nil"/>
            </w:tcBorders>
            <w:vAlign w:val="center"/>
          </w:tcPr>
          <w:p w14:paraId="3516B7F6" w14:textId="77777777" w:rsidR="00271E37" w:rsidRPr="008C5795" w:rsidRDefault="00271E37">
            <w:r w:rsidRPr="008C5795">
              <w:rPr>
                <w:rFonts w:cs="Arial"/>
                <w:szCs w:val="16"/>
              </w:rPr>
              <w:t xml:space="preserve">496 </w:t>
            </w:r>
          </w:p>
        </w:tc>
      </w:tr>
      <w:tr w:rsidR="00271E37" w:rsidRPr="001748FA" w14:paraId="6B955075" w14:textId="77777777">
        <w:trPr>
          <w:trHeight w:val="234"/>
        </w:trPr>
        <w:tc>
          <w:tcPr>
            <w:tcW w:w="0" w:type="auto"/>
            <w:tcBorders>
              <w:bottom w:val="single" w:sz="4" w:space="0" w:color="auto"/>
            </w:tcBorders>
          </w:tcPr>
          <w:p w14:paraId="568497DC" w14:textId="69975130" w:rsidR="00271E37" w:rsidRPr="001748FA" w:rsidRDefault="00271E37">
            <w:pPr>
              <w:jc w:val="left"/>
            </w:pPr>
            <w:r w:rsidRPr="001748FA">
              <w:t>Insurance</w:t>
            </w:r>
            <w:r w:rsidR="00927507">
              <w:t>-</w:t>
            </w:r>
            <w:r w:rsidRPr="001748FA">
              <w:t>related assets</w:t>
            </w:r>
          </w:p>
        </w:tc>
        <w:tc>
          <w:tcPr>
            <w:tcW w:w="1108" w:type="dxa"/>
            <w:tcBorders>
              <w:bottom w:val="single" w:sz="4" w:space="0" w:color="auto"/>
            </w:tcBorders>
            <w:vAlign w:val="center"/>
          </w:tcPr>
          <w:p w14:paraId="37C2C5CA" w14:textId="77777777" w:rsidR="00271E37" w:rsidRPr="008C5795" w:rsidRDefault="00271E37">
            <w:pPr>
              <w:rPr>
                <w:b/>
                <w:bCs/>
              </w:rPr>
            </w:pPr>
            <w:r w:rsidRPr="008C5795">
              <w:rPr>
                <w:rFonts w:cs="Arial"/>
                <w:b/>
                <w:bCs/>
                <w:szCs w:val="16"/>
              </w:rPr>
              <w:t xml:space="preserve"> - </w:t>
            </w:r>
          </w:p>
        </w:tc>
        <w:tc>
          <w:tcPr>
            <w:tcW w:w="1108" w:type="dxa"/>
            <w:tcBorders>
              <w:bottom w:val="single" w:sz="4" w:space="0" w:color="auto"/>
            </w:tcBorders>
            <w:vAlign w:val="center"/>
          </w:tcPr>
          <w:p w14:paraId="462A9B51" w14:textId="77777777" w:rsidR="00271E37" w:rsidRPr="008C5795" w:rsidRDefault="00271E37">
            <w:r w:rsidRPr="008C5795">
              <w:rPr>
                <w:rFonts w:cs="Arial"/>
                <w:szCs w:val="16"/>
              </w:rPr>
              <w:t xml:space="preserve">1,243 </w:t>
            </w:r>
          </w:p>
        </w:tc>
      </w:tr>
      <w:tr w:rsidR="00271E37" w:rsidRPr="001748FA" w14:paraId="6122DEA8" w14:textId="77777777">
        <w:trPr>
          <w:trHeight w:val="234"/>
        </w:trPr>
        <w:tc>
          <w:tcPr>
            <w:tcW w:w="0" w:type="auto"/>
            <w:tcBorders>
              <w:top w:val="single" w:sz="4" w:space="0" w:color="auto"/>
            </w:tcBorders>
          </w:tcPr>
          <w:p w14:paraId="5A3C9722" w14:textId="77777777" w:rsidR="00271E37" w:rsidRPr="001748FA" w:rsidRDefault="00271E37">
            <w:pPr>
              <w:jc w:val="left"/>
            </w:pPr>
          </w:p>
        </w:tc>
        <w:tc>
          <w:tcPr>
            <w:tcW w:w="1108" w:type="dxa"/>
            <w:tcBorders>
              <w:top w:val="single" w:sz="4" w:space="0" w:color="auto"/>
            </w:tcBorders>
            <w:vAlign w:val="center"/>
          </w:tcPr>
          <w:p w14:paraId="617ECC4A" w14:textId="77777777" w:rsidR="00271E37" w:rsidRPr="008C5795" w:rsidRDefault="00271E37">
            <w:pPr>
              <w:rPr>
                <w:b/>
                <w:bCs/>
              </w:rPr>
            </w:pPr>
            <w:r w:rsidRPr="008C5795">
              <w:rPr>
                <w:rFonts w:cs="Arial"/>
                <w:b/>
                <w:bCs/>
                <w:szCs w:val="16"/>
              </w:rPr>
              <w:t xml:space="preserve"> - </w:t>
            </w:r>
          </w:p>
        </w:tc>
        <w:tc>
          <w:tcPr>
            <w:tcW w:w="1108" w:type="dxa"/>
            <w:tcBorders>
              <w:top w:val="single" w:sz="4" w:space="0" w:color="auto"/>
            </w:tcBorders>
            <w:vAlign w:val="center"/>
          </w:tcPr>
          <w:p w14:paraId="58702406" w14:textId="77777777" w:rsidR="00271E37" w:rsidRPr="00101565" w:rsidRDefault="00271E37">
            <w:r w:rsidRPr="00101565">
              <w:rPr>
                <w:rFonts w:cs="Arial"/>
                <w:szCs w:val="16"/>
              </w:rPr>
              <w:t xml:space="preserve">2,241 </w:t>
            </w:r>
          </w:p>
        </w:tc>
      </w:tr>
    </w:tbl>
    <w:p w14:paraId="11C4C321" w14:textId="77777777" w:rsidR="00271E37" w:rsidRDefault="00271E37" w:rsidP="002E39D4"/>
    <w:p w14:paraId="447E7246" w14:textId="7C2684B9" w:rsidR="00271E37" w:rsidRDefault="00271E37" w:rsidP="002E39D4">
      <w:r>
        <w:t>Acquisition indemnities related to previous acquisitions made by a DG Americas business and indemnities provided by the seller. Security deposits related to leased properties and insurance</w:t>
      </w:r>
      <w:r w:rsidR="00E75213">
        <w:t>-</w:t>
      </w:r>
      <w:r>
        <w:t>related assets included a corporate</w:t>
      </w:r>
      <w:r w:rsidR="00760F65">
        <w:t>-</w:t>
      </w:r>
      <w:r>
        <w:t>owned life insurance policy.</w:t>
      </w:r>
    </w:p>
    <w:p w14:paraId="41F2C47E" w14:textId="77777777" w:rsidR="00271E37" w:rsidRDefault="00271E37" w:rsidP="002E39D4"/>
    <w:p w14:paraId="1968E02E" w14:textId="77777777" w:rsidR="00271E37" w:rsidRDefault="00271E37" w:rsidP="002E39D4">
      <w:r>
        <w:t>Trade and other receivables are as follows:</w:t>
      </w:r>
    </w:p>
    <w:tbl>
      <w:tblPr>
        <w:tblStyle w:val="tableDUL"/>
        <w:tblW w:w="9419" w:type="dxa"/>
        <w:tblLook w:val="04A0" w:firstRow="1" w:lastRow="0" w:firstColumn="1" w:lastColumn="0" w:noHBand="0" w:noVBand="1"/>
      </w:tblPr>
      <w:tblGrid>
        <w:gridCol w:w="7203"/>
        <w:gridCol w:w="1108"/>
        <w:gridCol w:w="1108"/>
      </w:tblGrid>
      <w:tr w:rsidR="00271E37" w:rsidRPr="001748FA" w14:paraId="3C1ACADC" w14:textId="77777777">
        <w:trPr>
          <w:trHeight w:val="237"/>
        </w:trPr>
        <w:tc>
          <w:tcPr>
            <w:tcW w:w="0" w:type="auto"/>
            <w:tcBorders>
              <w:bottom w:val="nil"/>
            </w:tcBorders>
          </w:tcPr>
          <w:p w14:paraId="676D0659" w14:textId="77777777" w:rsidR="00271E37" w:rsidRPr="001748FA" w:rsidRDefault="00271E37" w:rsidP="001748FA">
            <w:pPr>
              <w:jc w:val="left"/>
            </w:pPr>
          </w:p>
        </w:tc>
        <w:tc>
          <w:tcPr>
            <w:tcW w:w="1108" w:type="dxa"/>
            <w:tcBorders>
              <w:bottom w:val="nil"/>
            </w:tcBorders>
          </w:tcPr>
          <w:p w14:paraId="5C9962AA" w14:textId="77777777" w:rsidR="00271E37" w:rsidRPr="001748FA" w:rsidRDefault="00271E37" w:rsidP="000923EA">
            <w:pPr>
              <w:rPr>
                <w:b/>
                <w:bCs/>
              </w:rPr>
            </w:pPr>
            <w:r w:rsidRPr="001748FA">
              <w:rPr>
                <w:b/>
                <w:bCs/>
              </w:rPr>
              <w:t>202</w:t>
            </w:r>
            <w:r>
              <w:rPr>
                <w:b/>
                <w:bCs/>
              </w:rPr>
              <w:t>6</w:t>
            </w:r>
          </w:p>
        </w:tc>
        <w:tc>
          <w:tcPr>
            <w:tcW w:w="1108" w:type="dxa"/>
            <w:tcBorders>
              <w:bottom w:val="nil"/>
            </w:tcBorders>
          </w:tcPr>
          <w:p w14:paraId="036B07E7" w14:textId="77777777" w:rsidR="00271E37" w:rsidRPr="001748FA" w:rsidRDefault="00271E37" w:rsidP="000923EA">
            <w:r w:rsidRPr="001748FA">
              <w:t>202</w:t>
            </w:r>
            <w:r>
              <w:t>5</w:t>
            </w:r>
          </w:p>
        </w:tc>
      </w:tr>
      <w:tr w:rsidR="00271E37" w:rsidRPr="001748FA" w14:paraId="290CE3C2" w14:textId="77777777">
        <w:trPr>
          <w:trHeight w:val="237"/>
        </w:trPr>
        <w:tc>
          <w:tcPr>
            <w:tcW w:w="0" w:type="auto"/>
            <w:tcBorders>
              <w:bottom w:val="single" w:sz="4" w:space="0" w:color="auto"/>
            </w:tcBorders>
          </w:tcPr>
          <w:p w14:paraId="6AE53EA0" w14:textId="77777777" w:rsidR="00271E37" w:rsidRPr="001748FA" w:rsidRDefault="00271E37" w:rsidP="001748FA">
            <w:pPr>
              <w:jc w:val="left"/>
            </w:pPr>
          </w:p>
        </w:tc>
        <w:tc>
          <w:tcPr>
            <w:tcW w:w="1108" w:type="dxa"/>
            <w:tcBorders>
              <w:bottom w:val="single" w:sz="4" w:space="0" w:color="auto"/>
            </w:tcBorders>
          </w:tcPr>
          <w:p w14:paraId="77A05EC2" w14:textId="77777777" w:rsidR="00271E37" w:rsidRPr="001748FA" w:rsidRDefault="00271E37" w:rsidP="000923EA">
            <w:pPr>
              <w:rPr>
                <w:b/>
                <w:bCs/>
              </w:rPr>
            </w:pPr>
            <w:r>
              <w:rPr>
                <w:b/>
                <w:bCs/>
              </w:rPr>
              <w:t>£</w:t>
            </w:r>
            <w:r w:rsidRPr="001748FA">
              <w:rPr>
                <w:b/>
                <w:bCs/>
              </w:rPr>
              <w:t>000</w:t>
            </w:r>
          </w:p>
        </w:tc>
        <w:tc>
          <w:tcPr>
            <w:tcW w:w="1108" w:type="dxa"/>
            <w:tcBorders>
              <w:bottom w:val="single" w:sz="4" w:space="0" w:color="auto"/>
            </w:tcBorders>
          </w:tcPr>
          <w:p w14:paraId="5E602233" w14:textId="77777777" w:rsidR="00271E37" w:rsidRPr="001748FA" w:rsidRDefault="00271E37" w:rsidP="000923EA">
            <w:r>
              <w:t>£</w:t>
            </w:r>
            <w:r w:rsidRPr="001748FA">
              <w:t>000</w:t>
            </w:r>
          </w:p>
        </w:tc>
      </w:tr>
      <w:tr w:rsidR="00271E37" w:rsidRPr="001748FA" w14:paraId="49218566" w14:textId="77777777">
        <w:trPr>
          <w:trHeight w:val="237"/>
        </w:trPr>
        <w:tc>
          <w:tcPr>
            <w:tcW w:w="0" w:type="auto"/>
            <w:tcBorders>
              <w:top w:val="single" w:sz="4" w:space="0" w:color="auto"/>
            </w:tcBorders>
          </w:tcPr>
          <w:p w14:paraId="6E8A4C29" w14:textId="77777777" w:rsidR="00271E37" w:rsidRPr="001748FA" w:rsidRDefault="00271E37">
            <w:pPr>
              <w:jc w:val="left"/>
            </w:pPr>
            <w:r w:rsidRPr="001748FA">
              <w:t>Trade receivables</w:t>
            </w:r>
          </w:p>
        </w:tc>
        <w:tc>
          <w:tcPr>
            <w:tcW w:w="1108" w:type="dxa"/>
            <w:tcBorders>
              <w:top w:val="single" w:sz="4" w:space="0" w:color="auto"/>
            </w:tcBorders>
            <w:vAlign w:val="center"/>
          </w:tcPr>
          <w:p w14:paraId="4A98B40F" w14:textId="77777777" w:rsidR="00271E37" w:rsidRPr="008C5795" w:rsidRDefault="00271E37">
            <w:pPr>
              <w:rPr>
                <w:b/>
                <w:bCs/>
              </w:rPr>
            </w:pPr>
            <w:r w:rsidRPr="008C5795">
              <w:rPr>
                <w:rFonts w:cs="Arial"/>
                <w:b/>
                <w:bCs/>
                <w:szCs w:val="16"/>
              </w:rPr>
              <w:t xml:space="preserve">20,913 </w:t>
            </w:r>
          </w:p>
        </w:tc>
        <w:tc>
          <w:tcPr>
            <w:tcW w:w="1108" w:type="dxa"/>
            <w:tcBorders>
              <w:top w:val="single" w:sz="4" w:space="0" w:color="auto"/>
            </w:tcBorders>
            <w:vAlign w:val="center"/>
          </w:tcPr>
          <w:p w14:paraId="5F408454" w14:textId="77777777" w:rsidR="00271E37" w:rsidRPr="008C5795" w:rsidRDefault="00271E37">
            <w:r w:rsidRPr="008C5795">
              <w:rPr>
                <w:rFonts w:cs="Arial"/>
                <w:szCs w:val="16"/>
              </w:rPr>
              <w:t xml:space="preserve">59,198 </w:t>
            </w:r>
          </w:p>
        </w:tc>
      </w:tr>
      <w:tr w:rsidR="00271E37" w:rsidRPr="001748FA" w14:paraId="6FEADBB7" w14:textId="77777777">
        <w:trPr>
          <w:trHeight w:val="237"/>
        </w:trPr>
        <w:tc>
          <w:tcPr>
            <w:tcW w:w="0" w:type="auto"/>
            <w:tcBorders>
              <w:bottom w:val="nil"/>
            </w:tcBorders>
          </w:tcPr>
          <w:p w14:paraId="26076FB3" w14:textId="77777777" w:rsidR="00271E37" w:rsidRPr="001748FA" w:rsidRDefault="00271E37">
            <w:pPr>
              <w:jc w:val="left"/>
            </w:pPr>
            <w:r w:rsidRPr="001748FA">
              <w:t>Prepayments, other receivables and accrued income</w:t>
            </w:r>
          </w:p>
        </w:tc>
        <w:tc>
          <w:tcPr>
            <w:tcW w:w="1108" w:type="dxa"/>
            <w:tcBorders>
              <w:bottom w:val="nil"/>
            </w:tcBorders>
            <w:vAlign w:val="center"/>
          </w:tcPr>
          <w:p w14:paraId="0654F11C" w14:textId="77777777" w:rsidR="00271E37" w:rsidRPr="008C5795" w:rsidRDefault="00271E37">
            <w:pPr>
              <w:rPr>
                <w:b/>
                <w:bCs/>
              </w:rPr>
            </w:pPr>
            <w:r w:rsidRPr="008C5795">
              <w:rPr>
                <w:rFonts w:cs="Arial"/>
                <w:b/>
                <w:bCs/>
                <w:szCs w:val="16"/>
              </w:rPr>
              <w:t xml:space="preserve">1,842 </w:t>
            </w:r>
          </w:p>
        </w:tc>
        <w:tc>
          <w:tcPr>
            <w:tcW w:w="1108" w:type="dxa"/>
            <w:tcBorders>
              <w:bottom w:val="nil"/>
            </w:tcBorders>
            <w:vAlign w:val="center"/>
          </w:tcPr>
          <w:p w14:paraId="03B272CD" w14:textId="77777777" w:rsidR="00271E37" w:rsidRPr="008C5795" w:rsidRDefault="00271E37">
            <w:r w:rsidRPr="008C5795">
              <w:rPr>
                <w:rFonts w:cs="Arial"/>
                <w:szCs w:val="16"/>
              </w:rPr>
              <w:t xml:space="preserve">6,081 </w:t>
            </w:r>
          </w:p>
        </w:tc>
      </w:tr>
      <w:tr w:rsidR="00271E37" w:rsidRPr="001748FA" w14:paraId="67A8F063" w14:textId="77777777">
        <w:trPr>
          <w:trHeight w:val="237"/>
        </w:trPr>
        <w:tc>
          <w:tcPr>
            <w:tcW w:w="0" w:type="auto"/>
            <w:tcBorders>
              <w:bottom w:val="single" w:sz="4" w:space="0" w:color="auto"/>
            </w:tcBorders>
          </w:tcPr>
          <w:p w14:paraId="1FFBF2FE" w14:textId="77777777" w:rsidR="00271E37" w:rsidRPr="001748FA" w:rsidRDefault="00271E37">
            <w:pPr>
              <w:jc w:val="left"/>
            </w:pPr>
            <w:r w:rsidRPr="001748FA">
              <w:t>VAT receivable</w:t>
            </w:r>
          </w:p>
        </w:tc>
        <w:tc>
          <w:tcPr>
            <w:tcW w:w="1108" w:type="dxa"/>
            <w:tcBorders>
              <w:bottom w:val="single" w:sz="4" w:space="0" w:color="auto"/>
            </w:tcBorders>
            <w:vAlign w:val="center"/>
          </w:tcPr>
          <w:p w14:paraId="1FA5C953" w14:textId="77777777" w:rsidR="00271E37" w:rsidRPr="008C5795" w:rsidRDefault="00271E37">
            <w:pPr>
              <w:rPr>
                <w:b/>
                <w:bCs/>
              </w:rPr>
            </w:pPr>
            <w:r w:rsidRPr="008C5795">
              <w:rPr>
                <w:rFonts w:cs="Arial"/>
                <w:b/>
                <w:bCs/>
                <w:szCs w:val="16"/>
              </w:rPr>
              <w:t xml:space="preserve">276 </w:t>
            </w:r>
          </w:p>
        </w:tc>
        <w:tc>
          <w:tcPr>
            <w:tcW w:w="1108" w:type="dxa"/>
            <w:tcBorders>
              <w:bottom w:val="single" w:sz="4" w:space="0" w:color="auto"/>
            </w:tcBorders>
            <w:vAlign w:val="center"/>
          </w:tcPr>
          <w:p w14:paraId="362940D5" w14:textId="77777777" w:rsidR="00271E37" w:rsidRPr="008C5795" w:rsidRDefault="00271E37">
            <w:r w:rsidRPr="008C5795">
              <w:rPr>
                <w:rFonts w:cs="Arial"/>
                <w:szCs w:val="16"/>
              </w:rPr>
              <w:t xml:space="preserve">303 </w:t>
            </w:r>
          </w:p>
        </w:tc>
      </w:tr>
      <w:tr w:rsidR="00271E37" w:rsidRPr="001748FA" w14:paraId="12C138D7" w14:textId="77777777">
        <w:trPr>
          <w:trHeight w:val="237"/>
        </w:trPr>
        <w:tc>
          <w:tcPr>
            <w:tcW w:w="0" w:type="auto"/>
            <w:tcBorders>
              <w:top w:val="single" w:sz="4" w:space="0" w:color="auto"/>
            </w:tcBorders>
          </w:tcPr>
          <w:p w14:paraId="571AEAF8" w14:textId="77777777" w:rsidR="00271E37" w:rsidRPr="001748FA" w:rsidRDefault="00271E37">
            <w:pPr>
              <w:jc w:val="left"/>
            </w:pPr>
          </w:p>
        </w:tc>
        <w:tc>
          <w:tcPr>
            <w:tcW w:w="1108" w:type="dxa"/>
            <w:tcBorders>
              <w:top w:val="single" w:sz="4" w:space="0" w:color="auto"/>
            </w:tcBorders>
            <w:vAlign w:val="center"/>
          </w:tcPr>
          <w:p w14:paraId="3EB5003D" w14:textId="77777777" w:rsidR="00271E37" w:rsidRPr="008C5795" w:rsidRDefault="00271E37">
            <w:pPr>
              <w:rPr>
                <w:b/>
                <w:bCs/>
              </w:rPr>
            </w:pPr>
            <w:r w:rsidRPr="008C5795">
              <w:rPr>
                <w:rFonts w:cs="Arial"/>
                <w:b/>
                <w:bCs/>
                <w:szCs w:val="16"/>
              </w:rPr>
              <w:t xml:space="preserve">23,031 </w:t>
            </w:r>
          </w:p>
        </w:tc>
        <w:tc>
          <w:tcPr>
            <w:tcW w:w="1108" w:type="dxa"/>
            <w:tcBorders>
              <w:top w:val="single" w:sz="4" w:space="0" w:color="auto"/>
            </w:tcBorders>
            <w:vAlign w:val="center"/>
          </w:tcPr>
          <w:p w14:paraId="40D6FD53" w14:textId="77777777" w:rsidR="00271E37" w:rsidRPr="008C5795" w:rsidRDefault="00271E37">
            <w:r w:rsidRPr="008C5795">
              <w:rPr>
                <w:rFonts w:cs="Arial"/>
                <w:szCs w:val="16"/>
              </w:rPr>
              <w:t xml:space="preserve">65,582 </w:t>
            </w:r>
          </w:p>
        </w:tc>
      </w:tr>
    </w:tbl>
    <w:p w14:paraId="19AE41DC" w14:textId="77777777" w:rsidR="00271E37" w:rsidRDefault="00271E37" w:rsidP="002E39D4"/>
    <w:p w14:paraId="4D215FC6" w14:textId="77777777" w:rsidR="00271E37" w:rsidRDefault="00271E37" w:rsidP="002E39D4">
      <w:r>
        <w:t>Certain subsidiaries of the Group are party to supplier financing arrangements with key customers and the associated balances are recognised as trade receivables until receipt of the payment from the bank, at which point the receivable is derecognised. At 31 March 2026, nothing had been drawn down on this arrangement (2025: £nil).</w:t>
      </w:r>
    </w:p>
    <w:p w14:paraId="14641A61" w14:textId="77777777" w:rsidR="00271E37" w:rsidRDefault="00271E37" w:rsidP="002E39D4"/>
    <w:p w14:paraId="5F54C0D8" w14:textId="6AEF9CCD" w:rsidR="00271E37" w:rsidRPr="00B1307F" w:rsidRDefault="00271E37">
      <w:r w:rsidRPr="00B1307F">
        <w:t xml:space="preserve">Under the terms of the </w:t>
      </w:r>
      <w:r w:rsidR="004029CD">
        <w:t>R</w:t>
      </w:r>
      <w:r w:rsidRPr="00B1307F">
        <w:t xml:space="preserve">eceivables </w:t>
      </w:r>
      <w:r w:rsidR="004029CD">
        <w:t>F</w:t>
      </w:r>
      <w:r w:rsidRPr="00B1307F">
        <w:t>inance arrangements, certain trade receivables are assigned to a receivables trustee. The Group retains exposure to credit risk and therefore continues to recognise the receivables on its balance sheet.</w:t>
      </w:r>
    </w:p>
    <w:p w14:paraId="517714DB" w14:textId="77777777" w:rsidR="00271E37" w:rsidRDefault="00271E37" w:rsidP="002E39D4"/>
    <w:p w14:paraId="6067EF19" w14:textId="77777777" w:rsidR="00271E37" w:rsidRDefault="00271E37" w:rsidP="002E39D4">
      <w:r>
        <w:t>Please see note 15 for more details of the banking facilities.</w:t>
      </w:r>
    </w:p>
    <w:p w14:paraId="0E4C6E3F" w14:textId="77777777" w:rsidR="00271E37" w:rsidRDefault="00271E37" w:rsidP="002E39D4"/>
    <w:p w14:paraId="252E2A66" w14:textId="77777777" w:rsidR="00271E37" w:rsidRDefault="00271E37" w:rsidP="002E39D4">
      <w:r>
        <w:t>There are no trade receivables in the current year (2025: £nil) expected to be recovered in more than twelve months.</w:t>
      </w:r>
    </w:p>
    <w:p w14:paraId="771D57C7" w14:textId="77777777" w:rsidR="00271E37" w:rsidRDefault="00271E37" w:rsidP="002E39D4"/>
    <w:p w14:paraId="3BBD6D7F" w14:textId="77777777" w:rsidR="00271E37" w:rsidRDefault="00271E37" w:rsidP="002E39D4">
      <w:r>
        <w:t>The Group’s exposure to credit and currency risks and provisions for doubtful debts related to trade and other receivables is disclosed in note 24.</w:t>
      </w:r>
    </w:p>
    <w:p w14:paraId="6D1E72E2" w14:textId="77777777" w:rsidR="00271E37" w:rsidRDefault="00271E37"/>
    <w:p w14:paraId="442A2876" w14:textId="77777777" w:rsidR="00271E37" w:rsidRPr="001748FA" w:rsidRDefault="00271E37">
      <w:pPr>
        <w:pStyle w:val="Heading2"/>
      </w:pPr>
      <w:r w:rsidRPr="001748FA">
        <w:t>14 Cash and cash equivalents/bank overdrafts</w:t>
      </w:r>
    </w:p>
    <w:tbl>
      <w:tblPr>
        <w:tblStyle w:val="tableDUL"/>
        <w:tblW w:w="9639" w:type="dxa"/>
        <w:tblLook w:val="04A0" w:firstRow="1" w:lastRow="0" w:firstColumn="1" w:lastColumn="0" w:noHBand="0" w:noVBand="1"/>
      </w:tblPr>
      <w:tblGrid>
        <w:gridCol w:w="7313"/>
        <w:gridCol w:w="1134"/>
        <w:gridCol w:w="1192"/>
      </w:tblGrid>
      <w:tr w:rsidR="00271E37" w:rsidRPr="001748FA" w14:paraId="5043CD09" w14:textId="77777777" w:rsidTr="006B42E0">
        <w:tc>
          <w:tcPr>
            <w:tcW w:w="0" w:type="auto"/>
            <w:tcBorders>
              <w:bottom w:val="nil"/>
            </w:tcBorders>
          </w:tcPr>
          <w:p w14:paraId="205F0120" w14:textId="77777777" w:rsidR="00271E37" w:rsidRPr="001748FA" w:rsidRDefault="00271E37" w:rsidP="001748FA">
            <w:pPr>
              <w:jc w:val="left"/>
            </w:pPr>
          </w:p>
        </w:tc>
        <w:tc>
          <w:tcPr>
            <w:tcW w:w="1134" w:type="dxa"/>
            <w:tcBorders>
              <w:bottom w:val="nil"/>
            </w:tcBorders>
          </w:tcPr>
          <w:p w14:paraId="77BADC53" w14:textId="77777777" w:rsidR="00271E37" w:rsidRPr="001748FA" w:rsidRDefault="00271E37" w:rsidP="000923EA">
            <w:pPr>
              <w:rPr>
                <w:b/>
                <w:bCs/>
              </w:rPr>
            </w:pPr>
            <w:r w:rsidRPr="001748FA">
              <w:rPr>
                <w:b/>
                <w:bCs/>
              </w:rPr>
              <w:t>202</w:t>
            </w:r>
            <w:r>
              <w:rPr>
                <w:b/>
                <w:bCs/>
              </w:rPr>
              <w:t>6</w:t>
            </w:r>
          </w:p>
        </w:tc>
        <w:tc>
          <w:tcPr>
            <w:tcW w:w="1192" w:type="dxa"/>
            <w:tcBorders>
              <w:bottom w:val="nil"/>
            </w:tcBorders>
          </w:tcPr>
          <w:p w14:paraId="56A342BA" w14:textId="77777777" w:rsidR="00271E37" w:rsidRPr="001748FA" w:rsidRDefault="00271E37" w:rsidP="000923EA">
            <w:r w:rsidRPr="001748FA">
              <w:t>202</w:t>
            </w:r>
            <w:r>
              <w:t>5</w:t>
            </w:r>
          </w:p>
        </w:tc>
      </w:tr>
      <w:tr w:rsidR="00271E37" w:rsidRPr="001748FA" w14:paraId="3948BE9E" w14:textId="77777777" w:rsidTr="006B42E0">
        <w:tc>
          <w:tcPr>
            <w:tcW w:w="0" w:type="auto"/>
            <w:tcBorders>
              <w:bottom w:val="single" w:sz="4" w:space="0" w:color="auto"/>
            </w:tcBorders>
          </w:tcPr>
          <w:p w14:paraId="541DA896" w14:textId="77777777" w:rsidR="00271E37" w:rsidRPr="001748FA" w:rsidRDefault="00271E37" w:rsidP="001748FA">
            <w:pPr>
              <w:jc w:val="left"/>
            </w:pPr>
          </w:p>
        </w:tc>
        <w:tc>
          <w:tcPr>
            <w:tcW w:w="1134" w:type="dxa"/>
            <w:tcBorders>
              <w:bottom w:val="single" w:sz="4" w:space="0" w:color="auto"/>
            </w:tcBorders>
          </w:tcPr>
          <w:p w14:paraId="10D965ED" w14:textId="77777777" w:rsidR="00271E37" w:rsidRPr="001748FA" w:rsidRDefault="00271E37" w:rsidP="000923EA">
            <w:pPr>
              <w:rPr>
                <w:b/>
                <w:bCs/>
              </w:rPr>
            </w:pPr>
            <w:r>
              <w:rPr>
                <w:b/>
                <w:bCs/>
              </w:rPr>
              <w:t>£</w:t>
            </w:r>
            <w:r w:rsidRPr="001748FA">
              <w:rPr>
                <w:b/>
                <w:bCs/>
              </w:rPr>
              <w:t>000</w:t>
            </w:r>
          </w:p>
        </w:tc>
        <w:tc>
          <w:tcPr>
            <w:tcW w:w="1192" w:type="dxa"/>
            <w:tcBorders>
              <w:bottom w:val="single" w:sz="4" w:space="0" w:color="auto"/>
            </w:tcBorders>
          </w:tcPr>
          <w:p w14:paraId="7F27E9FE" w14:textId="77777777" w:rsidR="00271E37" w:rsidRPr="001748FA" w:rsidRDefault="00271E37" w:rsidP="000923EA">
            <w:r>
              <w:t>£</w:t>
            </w:r>
            <w:r w:rsidRPr="001748FA">
              <w:t>000</w:t>
            </w:r>
          </w:p>
        </w:tc>
      </w:tr>
      <w:tr w:rsidR="00271E37" w:rsidRPr="001748FA" w14:paraId="2DE78085" w14:textId="77777777">
        <w:tc>
          <w:tcPr>
            <w:tcW w:w="0" w:type="auto"/>
            <w:tcBorders>
              <w:top w:val="single" w:sz="4" w:space="0" w:color="auto"/>
              <w:bottom w:val="nil"/>
            </w:tcBorders>
          </w:tcPr>
          <w:p w14:paraId="36C58B4A" w14:textId="77777777" w:rsidR="00271E37" w:rsidRPr="001748FA" w:rsidRDefault="00271E37">
            <w:pPr>
              <w:jc w:val="left"/>
            </w:pPr>
            <w:r w:rsidRPr="001748FA">
              <w:t>Cash and cash equivalents</w:t>
            </w:r>
          </w:p>
        </w:tc>
        <w:tc>
          <w:tcPr>
            <w:tcW w:w="1134" w:type="dxa"/>
            <w:tcBorders>
              <w:top w:val="single" w:sz="4" w:space="0" w:color="auto"/>
              <w:bottom w:val="nil"/>
            </w:tcBorders>
            <w:vAlign w:val="center"/>
          </w:tcPr>
          <w:p w14:paraId="537D7232" w14:textId="77777777" w:rsidR="00271E37" w:rsidRPr="006B42E0" w:rsidRDefault="00271E37">
            <w:pPr>
              <w:rPr>
                <w:b/>
                <w:bCs/>
              </w:rPr>
            </w:pPr>
            <w:r>
              <w:rPr>
                <w:rFonts w:cs="Arial"/>
                <w:b/>
                <w:bCs/>
                <w:color w:val="000000"/>
                <w:szCs w:val="16"/>
              </w:rPr>
              <w:t xml:space="preserve">54,678 </w:t>
            </w:r>
          </w:p>
        </w:tc>
        <w:tc>
          <w:tcPr>
            <w:tcW w:w="1192" w:type="dxa"/>
            <w:tcBorders>
              <w:top w:val="single" w:sz="4" w:space="0" w:color="auto"/>
              <w:bottom w:val="nil"/>
            </w:tcBorders>
            <w:vAlign w:val="center"/>
          </w:tcPr>
          <w:p w14:paraId="0E92B99D" w14:textId="77777777" w:rsidR="00271E37" w:rsidRPr="006B42E0" w:rsidRDefault="00271E37">
            <w:r>
              <w:rPr>
                <w:rFonts w:cs="Arial"/>
                <w:color w:val="000000"/>
                <w:szCs w:val="16"/>
              </w:rPr>
              <w:t xml:space="preserve">105,526 </w:t>
            </w:r>
          </w:p>
        </w:tc>
      </w:tr>
      <w:tr w:rsidR="00271E37" w:rsidRPr="001748FA" w14:paraId="12A3066A" w14:textId="77777777">
        <w:tc>
          <w:tcPr>
            <w:tcW w:w="0" w:type="auto"/>
            <w:tcBorders>
              <w:bottom w:val="single" w:sz="4" w:space="0" w:color="auto"/>
            </w:tcBorders>
          </w:tcPr>
          <w:p w14:paraId="253A48E8" w14:textId="77777777" w:rsidR="00271E37" w:rsidRPr="001748FA" w:rsidRDefault="00271E37">
            <w:pPr>
              <w:jc w:val="left"/>
            </w:pPr>
            <w:r w:rsidRPr="001748FA">
              <w:t>Bank overdrafts</w:t>
            </w:r>
            <w:r>
              <w:t xml:space="preserve"> </w:t>
            </w:r>
          </w:p>
        </w:tc>
        <w:tc>
          <w:tcPr>
            <w:tcW w:w="1134" w:type="dxa"/>
            <w:tcBorders>
              <w:bottom w:val="single" w:sz="4" w:space="0" w:color="auto"/>
            </w:tcBorders>
            <w:vAlign w:val="center"/>
          </w:tcPr>
          <w:p w14:paraId="480BB6E9" w14:textId="77777777" w:rsidR="00271E37" w:rsidRPr="006B42E0" w:rsidRDefault="00271E37">
            <w:pPr>
              <w:rPr>
                <w:b/>
                <w:bCs/>
              </w:rPr>
            </w:pPr>
            <w:r>
              <w:rPr>
                <w:rFonts w:cs="Arial"/>
                <w:b/>
                <w:bCs/>
                <w:color w:val="000000"/>
                <w:szCs w:val="16"/>
              </w:rPr>
              <w:t>(481)</w:t>
            </w:r>
          </w:p>
        </w:tc>
        <w:tc>
          <w:tcPr>
            <w:tcW w:w="1192" w:type="dxa"/>
            <w:tcBorders>
              <w:bottom w:val="single" w:sz="4" w:space="0" w:color="auto"/>
            </w:tcBorders>
            <w:vAlign w:val="center"/>
          </w:tcPr>
          <w:p w14:paraId="0474DF31" w14:textId="77777777" w:rsidR="00271E37" w:rsidRPr="006B42E0" w:rsidRDefault="00271E37">
            <w:r>
              <w:rPr>
                <w:rFonts w:cs="Arial"/>
                <w:color w:val="000000"/>
                <w:szCs w:val="16"/>
              </w:rPr>
              <w:t>(40,618)</w:t>
            </w:r>
          </w:p>
        </w:tc>
      </w:tr>
      <w:tr w:rsidR="00271E37" w:rsidRPr="001748FA" w14:paraId="4E9931EB" w14:textId="77777777">
        <w:tc>
          <w:tcPr>
            <w:tcW w:w="0" w:type="auto"/>
            <w:tcBorders>
              <w:top w:val="single" w:sz="4" w:space="0" w:color="auto"/>
            </w:tcBorders>
          </w:tcPr>
          <w:p w14:paraId="1339B90C" w14:textId="77777777" w:rsidR="00271E37" w:rsidRPr="001748FA" w:rsidRDefault="00271E37">
            <w:pPr>
              <w:jc w:val="left"/>
              <w:rPr>
                <w:b/>
                <w:bCs/>
              </w:rPr>
            </w:pPr>
            <w:r w:rsidRPr="001748FA">
              <w:rPr>
                <w:b/>
                <w:bCs/>
              </w:rPr>
              <w:t>Cash and cash equivalents and bank overdrafts per cash flow statement</w:t>
            </w:r>
          </w:p>
        </w:tc>
        <w:tc>
          <w:tcPr>
            <w:tcW w:w="1134" w:type="dxa"/>
            <w:tcBorders>
              <w:top w:val="single" w:sz="4" w:space="0" w:color="auto"/>
            </w:tcBorders>
            <w:vAlign w:val="center"/>
          </w:tcPr>
          <w:p w14:paraId="287CBF1A" w14:textId="77777777" w:rsidR="00271E37" w:rsidRPr="006B42E0" w:rsidRDefault="00271E37">
            <w:pPr>
              <w:rPr>
                <w:b/>
                <w:bCs/>
              </w:rPr>
            </w:pPr>
            <w:r>
              <w:rPr>
                <w:rFonts w:cs="Arial"/>
                <w:b/>
                <w:bCs/>
                <w:color w:val="000000"/>
                <w:szCs w:val="16"/>
              </w:rPr>
              <w:t xml:space="preserve">54,197 </w:t>
            </w:r>
          </w:p>
        </w:tc>
        <w:tc>
          <w:tcPr>
            <w:tcW w:w="1192" w:type="dxa"/>
            <w:tcBorders>
              <w:top w:val="single" w:sz="4" w:space="0" w:color="auto"/>
            </w:tcBorders>
            <w:vAlign w:val="center"/>
          </w:tcPr>
          <w:p w14:paraId="54BC15B2" w14:textId="77777777" w:rsidR="00271E37" w:rsidRPr="006B42E0" w:rsidRDefault="00271E37">
            <w:r>
              <w:rPr>
                <w:rFonts w:cs="Arial"/>
                <w:color w:val="000000"/>
                <w:szCs w:val="16"/>
              </w:rPr>
              <w:t xml:space="preserve">64,908 </w:t>
            </w:r>
          </w:p>
        </w:tc>
      </w:tr>
    </w:tbl>
    <w:p w14:paraId="661CDF8F" w14:textId="77777777" w:rsidR="00271E37" w:rsidRDefault="00271E37" w:rsidP="002E39D4"/>
    <w:p w14:paraId="7CB94CF5" w14:textId="055F5CBD" w:rsidR="00271E37" w:rsidRDefault="00271E37" w:rsidP="002E39D4">
      <w:r>
        <w:t>As of 31 March 2025</w:t>
      </w:r>
      <w:r w:rsidR="00273D22">
        <w:t>,</w:t>
      </w:r>
      <w:r>
        <w:t xml:space="preserve"> c</w:t>
      </w:r>
      <w:r w:rsidRPr="0019449C">
        <w:t>ash and cash equivalents include</w:t>
      </w:r>
      <w:r>
        <w:t>d</w:t>
      </w:r>
      <w:r w:rsidRPr="0019449C">
        <w:t xml:space="preserve"> </w:t>
      </w:r>
      <w:r>
        <w:t>£44.9</w:t>
      </w:r>
      <w:r w:rsidRPr="0019449C">
        <w:t xml:space="preserve"> million held within </w:t>
      </w:r>
      <w:r>
        <w:t>the HSBC</w:t>
      </w:r>
      <w:r w:rsidRPr="0019449C">
        <w:t xml:space="preserve"> cash pooling facilit</w:t>
      </w:r>
      <w:r>
        <w:t xml:space="preserve">y. </w:t>
      </w:r>
      <w:r w:rsidR="00B97E9D">
        <w:t>The c</w:t>
      </w:r>
      <w:r>
        <w:t xml:space="preserve">ash pooling facility was no longer available at 31 March 2026. </w:t>
      </w:r>
    </w:p>
    <w:p w14:paraId="6BCA554D" w14:textId="3675604E" w:rsidR="00271E37" w:rsidRDefault="00271E37" w:rsidP="002E39D4">
      <w:r>
        <w:t>Cash and cash equivalents included £47.9</w:t>
      </w:r>
      <w:r w:rsidRPr="0019449C">
        <w:t xml:space="preserve"> million (202</w:t>
      </w:r>
      <w:r>
        <w:t>5</w:t>
      </w:r>
      <w:r w:rsidRPr="0019449C">
        <w:t>:</w:t>
      </w:r>
      <w:r>
        <w:t xml:space="preserve"> £53.6</w:t>
      </w:r>
      <w:r w:rsidRPr="0019449C">
        <w:t xml:space="preserve"> million) o</w:t>
      </w:r>
      <w:r>
        <w:t>f cash</w:t>
      </w:r>
      <w:r w:rsidRPr="0019449C">
        <w:t xml:space="preserve"> deposit</w:t>
      </w:r>
      <w:r>
        <w:t>s</w:t>
      </w:r>
      <w:r w:rsidRPr="0019449C">
        <w:t xml:space="preserve"> and</w:t>
      </w:r>
      <w:r>
        <w:t xml:space="preserve"> £6.8 </w:t>
      </w:r>
      <w:r w:rsidRPr="0019449C">
        <w:t>million (202</w:t>
      </w:r>
      <w:r>
        <w:t>5</w:t>
      </w:r>
      <w:r w:rsidRPr="0019449C">
        <w:t xml:space="preserve">: </w:t>
      </w:r>
      <w:r>
        <w:t>£6.1</w:t>
      </w:r>
      <w:r w:rsidRPr="0019449C">
        <w:t xml:space="preserve"> million) </w:t>
      </w:r>
      <w:r>
        <w:t xml:space="preserve">of cash </w:t>
      </w:r>
      <w:r w:rsidRPr="0019449C">
        <w:t>held in bank</w:t>
      </w:r>
      <w:r>
        <w:t xml:space="preserve">. </w:t>
      </w:r>
    </w:p>
    <w:p w14:paraId="4C376661" w14:textId="4FFC592A" w:rsidR="00271E37" w:rsidRDefault="00271E37" w:rsidP="002E39D4">
      <w:r>
        <w:t>As of 31 March 2025</w:t>
      </w:r>
      <w:r w:rsidR="0057176C">
        <w:t>,</w:t>
      </w:r>
      <w:r>
        <w:t xml:space="preserve"> b</w:t>
      </w:r>
      <w:r w:rsidRPr="00AA4C4D">
        <w:t>ank overdrafts include</w:t>
      </w:r>
      <w:r>
        <w:t>d</w:t>
      </w:r>
      <w:r w:rsidRPr="00AA4C4D">
        <w:t xml:space="preserve"> </w:t>
      </w:r>
      <w:r>
        <w:t>£40.2</w:t>
      </w:r>
      <w:r w:rsidRPr="0019449C">
        <w:t xml:space="preserve"> </w:t>
      </w:r>
      <w:r w:rsidRPr="00AA4C4D">
        <w:t xml:space="preserve">million </w:t>
      </w:r>
      <w:r>
        <w:t>overdrafts within</w:t>
      </w:r>
      <w:r w:rsidRPr="00AA4C4D">
        <w:t xml:space="preserve"> </w:t>
      </w:r>
      <w:r>
        <w:t xml:space="preserve">the </w:t>
      </w:r>
      <w:r w:rsidRPr="00AA4C4D">
        <w:t xml:space="preserve">cash pooling </w:t>
      </w:r>
      <w:r>
        <w:t>facility</w:t>
      </w:r>
      <w:r w:rsidRPr="00AA4C4D">
        <w:t xml:space="preserve"> and </w:t>
      </w:r>
      <w:r>
        <w:t xml:space="preserve">£0.4 million of </w:t>
      </w:r>
      <w:r w:rsidRPr="00AA4C4D">
        <w:t>other overdraft facilities</w:t>
      </w:r>
      <w:r>
        <w:t xml:space="preserve">. </w:t>
      </w:r>
    </w:p>
    <w:p w14:paraId="045F7760" w14:textId="77777777" w:rsidR="00271E37" w:rsidRDefault="00271E37" w:rsidP="002E39D4"/>
    <w:p w14:paraId="5D735313" w14:textId="77777777" w:rsidR="00271E37" w:rsidRPr="001748FA" w:rsidRDefault="00271E37" w:rsidP="002E39D4">
      <w:pPr>
        <w:rPr>
          <w:b/>
          <w:bCs/>
          <w:i/>
          <w:iCs/>
        </w:rPr>
      </w:pPr>
      <w:r w:rsidRPr="001748FA">
        <w:rPr>
          <w:b/>
          <w:bCs/>
          <w:i/>
          <w:iCs/>
        </w:rPr>
        <w:t>Net cash</w:t>
      </w:r>
    </w:p>
    <w:tbl>
      <w:tblPr>
        <w:tblStyle w:val="tableDUL"/>
        <w:tblW w:w="9639" w:type="dxa"/>
        <w:tblLook w:val="04A0" w:firstRow="1" w:lastRow="0" w:firstColumn="1" w:lastColumn="0" w:noHBand="0" w:noVBand="1"/>
      </w:tblPr>
      <w:tblGrid>
        <w:gridCol w:w="7371"/>
        <w:gridCol w:w="1134"/>
        <w:gridCol w:w="1134"/>
      </w:tblGrid>
      <w:tr w:rsidR="00271E37" w:rsidRPr="001748FA" w14:paraId="31E848AA" w14:textId="77777777" w:rsidTr="001748FA">
        <w:tc>
          <w:tcPr>
            <w:tcW w:w="0" w:type="auto"/>
            <w:tcBorders>
              <w:bottom w:val="nil"/>
            </w:tcBorders>
          </w:tcPr>
          <w:p w14:paraId="2C46D865" w14:textId="77777777" w:rsidR="00271E37" w:rsidRPr="001748FA" w:rsidRDefault="00271E37" w:rsidP="001748FA">
            <w:pPr>
              <w:jc w:val="left"/>
            </w:pPr>
          </w:p>
        </w:tc>
        <w:tc>
          <w:tcPr>
            <w:tcW w:w="1134" w:type="dxa"/>
            <w:tcBorders>
              <w:bottom w:val="nil"/>
            </w:tcBorders>
          </w:tcPr>
          <w:p w14:paraId="34E86206" w14:textId="77777777" w:rsidR="00271E37" w:rsidRPr="001748FA" w:rsidRDefault="00271E37" w:rsidP="000923EA">
            <w:pPr>
              <w:rPr>
                <w:b/>
                <w:bCs/>
              </w:rPr>
            </w:pPr>
            <w:r w:rsidRPr="001748FA">
              <w:rPr>
                <w:b/>
                <w:bCs/>
              </w:rPr>
              <w:t>202</w:t>
            </w:r>
            <w:r>
              <w:rPr>
                <w:b/>
                <w:bCs/>
              </w:rPr>
              <w:t>6</w:t>
            </w:r>
          </w:p>
        </w:tc>
        <w:tc>
          <w:tcPr>
            <w:tcW w:w="1134" w:type="dxa"/>
            <w:tcBorders>
              <w:bottom w:val="nil"/>
            </w:tcBorders>
          </w:tcPr>
          <w:p w14:paraId="52055705" w14:textId="77777777" w:rsidR="00271E37" w:rsidRPr="001748FA" w:rsidRDefault="00271E37" w:rsidP="000923EA">
            <w:r w:rsidRPr="001748FA">
              <w:t>202</w:t>
            </w:r>
            <w:r>
              <w:t>5</w:t>
            </w:r>
          </w:p>
        </w:tc>
      </w:tr>
      <w:tr w:rsidR="00271E37" w:rsidRPr="001748FA" w14:paraId="5ED78360" w14:textId="77777777" w:rsidTr="001748FA">
        <w:tc>
          <w:tcPr>
            <w:tcW w:w="0" w:type="auto"/>
            <w:tcBorders>
              <w:bottom w:val="single" w:sz="4" w:space="0" w:color="auto"/>
            </w:tcBorders>
          </w:tcPr>
          <w:p w14:paraId="3738602D" w14:textId="77777777" w:rsidR="00271E37" w:rsidRPr="001748FA" w:rsidRDefault="00271E37" w:rsidP="001748FA">
            <w:pPr>
              <w:jc w:val="left"/>
            </w:pPr>
          </w:p>
        </w:tc>
        <w:tc>
          <w:tcPr>
            <w:tcW w:w="1134" w:type="dxa"/>
            <w:tcBorders>
              <w:bottom w:val="single" w:sz="4" w:space="0" w:color="auto"/>
            </w:tcBorders>
          </w:tcPr>
          <w:p w14:paraId="08CE5D97" w14:textId="77777777" w:rsidR="00271E37" w:rsidRPr="001748FA" w:rsidRDefault="00271E37" w:rsidP="000923EA">
            <w:pPr>
              <w:rPr>
                <w:b/>
                <w:bCs/>
              </w:rPr>
            </w:pPr>
            <w:r>
              <w:rPr>
                <w:b/>
                <w:bCs/>
              </w:rPr>
              <w:t>£</w:t>
            </w:r>
            <w:r w:rsidRPr="001748FA">
              <w:rPr>
                <w:b/>
                <w:bCs/>
              </w:rPr>
              <w:t>000</w:t>
            </w:r>
          </w:p>
        </w:tc>
        <w:tc>
          <w:tcPr>
            <w:tcW w:w="1134" w:type="dxa"/>
            <w:tcBorders>
              <w:bottom w:val="single" w:sz="4" w:space="0" w:color="auto"/>
            </w:tcBorders>
          </w:tcPr>
          <w:p w14:paraId="6FE92904" w14:textId="77777777" w:rsidR="00271E37" w:rsidRPr="001748FA" w:rsidRDefault="00271E37" w:rsidP="000923EA">
            <w:r>
              <w:t>£</w:t>
            </w:r>
            <w:r w:rsidRPr="001748FA">
              <w:t>000</w:t>
            </w:r>
          </w:p>
        </w:tc>
      </w:tr>
      <w:tr w:rsidR="00271E37" w:rsidRPr="001748FA" w14:paraId="5365EE81" w14:textId="77777777">
        <w:tc>
          <w:tcPr>
            <w:tcW w:w="0" w:type="auto"/>
            <w:tcBorders>
              <w:top w:val="single" w:sz="4" w:space="0" w:color="auto"/>
              <w:bottom w:val="nil"/>
            </w:tcBorders>
          </w:tcPr>
          <w:p w14:paraId="0CD7DCB5" w14:textId="77777777" w:rsidR="00271E37" w:rsidRPr="001748FA" w:rsidRDefault="00271E37">
            <w:pPr>
              <w:jc w:val="left"/>
            </w:pPr>
            <w:r w:rsidRPr="001748FA">
              <w:t>Cash and cash equivalents</w:t>
            </w:r>
          </w:p>
        </w:tc>
        <w:tc>
          <w:tcPr>
            <w:tcW w:w="1134" w:type="dxa"/>
            <w:tcBorders>
              <w:top w:val="single" w:sz="4" w:space="0" w:color="auto"/>
              <w:bottom w:val="nil"/>
            </w:tcBorders>
            <w:vAlign w:val="center"/>
          </w:tcPr>
          <w:p w14:paraId="503AD5A2" w14:textId="77777777" w:rsidR="00271E37" w:rsidRPr="006B42E0" w:rsidRDefault="00271E37">
            <w:pPr>
              <w:rPr>
                <w:b/>
                <w:bCs/>
              </w:rPr>
            </w:pPr>
            <w:r>
              <w:rPr>
                <w:rFonts w:cs="Arial"/>
                <w:b/>
                <w:bCs/>
                <w:color w:val="000000"/>
                <w:szCs w:val="16"/>
              </w:rPr>
              <w:t xml:space="preserve">54,197 </w:t>
            </w:r>
          </w:p>
        </w:tc>
        <w:tc>
          <w:tcPr>
            <w:tcW w:w="1134" w:type="dxa"/>
            <w:tcBorders>
              <w:top w:val="single" w:sz="4" w:space="0" w:color="auto"/>
              <w:bottom w:val="nil"/>
            </w:tcBorders>
            <w:vAlign w:val="center"/>
          </w:tcPr>
          <w:p w14:paraId="7C22856F" w14:textId="77777777" w:rsidR="00271E37" w:rsidRPr="006B42E0" w:rsidRDefault="00271E37">
            <w:r>
              <w:rPr>
                <w:rFonts w:cs="Arial"/>
                <w:color w:val="000000"/>
                <w:szCs w:val="16"/>
              </w:rPr>
              <w:t xml:space="preserve">64,908 </w:t>
            </w:r>
          </w:p>
        </w:tc>
      </w:tr>
      <w:tr w:rsidR="00271E37" w:rsidRPr="001748FA" w14:paraId="5BD31330" w14:textId="77777777">
        <w:tc>
          <w:tcPr>
            <w:tcW w:w="0" w:type="auto"/>
            <w:tcBorders>
              <w:bottom w:val="single" w:sz="4" w:space="0" w:color="auto"/>
            </w:tcBorders>
          </w:tcPr>
          <w:p w14:paraId="087BBC62" w14:textId="77777777" w:rsidR="00271E37" w:rsidRPr="001748FA" w:rsidRDefault="00271E37">
            <w:pPr>
              <w:jc w:val="left"/>
            </w:pPr>
            <w:r w:rsidRPr="001748FA">
              <w:t>Loan arrangement fees</w:t>
            </w:r>
          </w:p>
        </w:tc>
        <w:tc>
          <w:tcPr>
            <w:tcW w:w="1134" w:type="dxa"/>
            <w:tcBorders>
              <w:bottom w:val="single" w:sz="4" w:space="0" w:color="auto"/>
            </w:tcBorders>
            <w:vAlign w:val="center"/>
          </w:tcPr>
          <w:p w14:paraId="0DF6B633" w14:textId="77777777" w:rsidR="00271E37" w:rsidRPr="006B42E0" w:rsidRDefault="00271E37">
            <w:pPr>
              <w:rPr>
                <w:b/>
                <w:bCs/>
              </w:rPr>
            </w:pPr>
            <w:r>
              <w:rPr>
                <w:rFonts w:cs="Arial"/>
                <w:b/>
                <w:bCs/>
                <w:color w:val="000000"/>
                <w:szCs w:val="16"/>
              </w:rPr>
              <w:t xml:space="preserve">420 </w:t>
            </w:r>
          </w:p>
        </w:tc>
        <w:tc>
          <w:tcPr>
            <w:tcW w:w="1134" w:type="dxa"/>
            <w:tcBorders>
              <w:bottom w:val="single" w:sz="4" w:space="0" w:color="auto"/>
            </w:tcBorders>
            <w:vAlign w:val="center"/>
          </w:tcPr>
          <w:p w14:paraId="4CB877A7" w14:textId="77777777" w:rsidR="00271E37" w:rsidRPr="006B42E0" w:rsidRDefault="00271E37">
            <w:r>
              <w:rPr>
                <w:rFonts w:cs="Arial"/>
                <w:color w:val="000000"/>
                <w:szCs w:val="16"/>
              </w:rPr>
              <w:t xml:space="preserve">647 </w:t>
            </w:r>
          </w:p>
        </w:tc>
      </w:tr>
      <w:tr w:rsidR="00271E37" w:rsidRPr="001748FA" w14:paraId="0941AFE0" w14:textId="77777777">
        <w:tc>
          <w:tcPr>
            <w:tcW w:w="0" w:type="auto"/>
            <w:tcBorders>
              <w:top w:val="single" w:sz="4" w:space="0" w:color="auto"/>
            </w:tcBorders>
          </w:tcPr>
          <w:p w14:paraId="4B940A41" w14:textId="77777777" w:rsidR="00271E37" w:rsidRPr="001748FA" w:rsidRDefault="00271E37">
            <w:pPr>
              <w:jc w:val="left"/>
              <w:rPr>
                <w:b/>
                <w:bCs/>
              </w:rPr>
            </w:pPr>
            <w:r w:rsidRPr="001748FA">
              <w:rPr>
                <w:b/>
                <w:bCs/>
              </w:rPr>
              <w:t>Net cash as used in the financial review cash flow statement</w:t>
            </w:r>
          </w:p>
        </w:tc>
        <w:tc>
          <w:tcPr>
            <w:tcW w:w="1134" w:type="dxa"/>
            <w:tcBorders>
              <w:top w:val="single" w:sz="4" w:space="0" w:color="auto"/>
            </w:tcBorders>
            <w:vAlign w:val="center"/>
          </w:tcPr>
          <w:p w14:paraId="095A3616" w14:textId="77777777" w:rsidR="00271E37" w:rsidRPr="006B42E0" w:rsidRDefault="00271E37">
            <w:pPr>
              <w:rPr>
                <w:b/>
                <w:bCs/>
              </w:rPr>
            </w:pPr>
            <w:r>
              <w:rPr>
                <w:rFonts w:cs="Arial"/>
                <w:b/>
                <w:bCs/>
                <w:color w:val="000000"/>
                <w:szCs w:val="16"/>
              </w:rPr>
              <w:t xml:space="preserve">54,617 </w:t>
            </w:r>
          </w:p>
        </w:tc>
        <w:tc>
          <w:tcPr>
            <w:tcW w:w="1134" w:type="dxa"/>
            <w:tcBorders>
              <w:top w:val="single" w:sz="4" w:space="0" w:color="auto"/>
            </w:tcBorders>
            <w:vAlign w:val="center"/>
          </w:tcPr>
          <w:p w14:paraId="64D98EA1" w14:textId="77777777" w:rsidR="00271E37" w:rsidRPr="006B42E0" w:rsidRDefault="00271E37">
            <w:r>
              <w:rPr>
                <w:rFonts w:cs="Arial"/>
                <w:color w:val="000000"/>
                <w:szCs w:val="16"/>
              </w:rPr>
              <w:t xml:space="preserve">65,555 </w:t>
            </w:r>
          </w:p>
        </w:tc>
      </w:tr>
    </w:tbl>
    <w:p w14:paraId="3804E1BE" w14:textId="77777777" w:rsidR="00271E37" w:rsidRDefault="00271E37" w:rsidP="002E39D4"/>
    <w:p w14:paraId="2E5506CC" w14:textId="1EF58F61" w:rsidR="00271E37" w:rsidRDefault="00271E37" w:rsidP="002E39D4">
      <w:r>
        <w:t xml:space="preserve">The Group’s exposure to interest rate risk and sensitivity analysis for financial assets and liabilities </w:t>
      </w:r>
      <w:r w:rsidR="00DF1FE8">
        <w:t>is</w:t>
      </w:r>
      <w:r>
        <w:t xml:space="preserve"> disclosed in note 24.</w:t>
      </w:r>
    </w:p>
    <w:p w14:paraId="0EF2929C" w14:textId="77777777" w:rsidR="00271E37" w:rsidRDefault="00271E37" w:rsidP="002E39D4"/>
    <w:p w14:paraId="0AEF1DA0" w14:textId="4B7A5873" w:rsidR="00271E37" w:rsidRPr="009E648E" w:rsidRDefault="00271E37">
      <w:r w:rsidRPr="009E648E">
        <w:t xml:space="preserve">Certain cash balances are subject to control arrangements under the Group’s </w:t>
      </w:r>
      <w:r w:rsidR="00DF1FE8">
        <w:t>R</w:t>
      </w:r>
      <w:r w:rsidRPr="009E648E">
        <w:t xml:space="preserve">eceivables </w:t>
      </w:r>
      <w:r w:rsidR="00DF1FE8">
        <w:t>F</w:t>
      </w:r>
      <w:r w:rsidRPr="009E648E">
        <w:t>inance facilities.</w:t>
      </w:r>
    </w:p>
    <w:p w14:paraId="12504A63" w14:textId="77777777" w:rsidR="00271E37" w:rsidRDefault="00271E37" w:rsidP="002E39D4">
      <w:r w:rsidRPr="002B1808">
        <w:t>The bank loans and overdrafts are secured by a fixed charge on certain of the Group’s land and buildings, a fixed charge on certain of the Group’s book debts and a floating charge on certain of the Group’s other assets. See note 15 for further details of the Group’s</w:t>
      </w:r>
      <w:r>
        <w:t xml:space="preserve"> loans and overdrafts.</w:t>
      </w:r>
    </w:p>
    <w:p w14:paraId="2D42617A" w14:textId="77777777" w:rsidR="00271E37" w:rsidRDefault="00271E37" w:rsidP="002E39D4"/>
    <w:p w14:paraId="66A250EC" w14:textId="77777777" w:rsidR="00271E37" w:rsidRPr="001748FA" w:rsidRDefault="00271E37" w:rsidP="002E39D4">
      <w:pPr>
        <w:rPr>
          <w:b/>
          <w:bCs/>
          <w:i/>
          <w:iCs/>
        </w:rPr>
      </w:pPr>
      <w:r w:rsidRPr="001748FA">
        <w:rPr>
          <w:b/>
          <w:bCs/>
          <w:i/>
          <w:iCs/>
        </w:rPr>
        <w:t>Changes in net cash</w:t>
      </w:r>
    </w:p>
    <w:tbl>
      <w:tblPr>
        <w:tblStyle w:val="tableDUL"/>
        <w:tblW w:w="9639" w:type="dxa"/>
        <w:tblLook w:val="04A0" w:firstRow="1" w:lastRow="0" w:firstColumn="1" w:lastColumn="0" w:noHBand="0" w:noVBand="1"/>
      </w:tblPr>
      <w:tblGrid>
        <w:gridCol w:w="6237"/>
        <w:gridCol w:w="1134"/>
        <w:gridCol w:w="1134"/>
        <w:gridCol w:w="1134"/>
      </w:tblGrid>
      <w:tr w:rsidR="00271E37" w:rsidRPr="00C92BB6" w14:paraId="68CEEBA0" w14:textId="77777777" w:rsidTr="00C92BB6">
        <w:tc>
          <w:tcPr>
            <w:tcW w:w="0" w:type="auto"/>
          </w:tcPr>
          <w:p w14:paraId="7C075223" w14:textId="77777777" w:rsidR="00271E37" w:rsidRPr="00C92BB6" w:rsidRDefault="00271E37" w:rsidP="00C92BB6">
            <w:pPr>
              <w:jc w:val="left"/>
            </w:pPr>
          </w:p>
        </w:tc>
        <w:tc>
          <w:tcPr>
            <w:tcW w:w="1134" w:type="dxa"/>
          </w:tcPr>
          <w:p w14:paraId="3FE6F1D7" w14:textId="77777777" w:rsidR="00271E37" w:rsidRPr="00C92BB6" w:rsidRDefault="00271E37" w:rsidP="000923EA">
            <w:r w:rsidRPr="00C92BB6">
              <w:t xml:space="preserve">Loan </w:t>
            </w:r>
          </w:p>
        </w:tc>
        <w:tc>
          <w:tcPr>
            <w:tcW w:w="1134" w:type="dxa"/>
          </w:tcPr>
          <w:p w14:paraId="19D898F4" w14:textId="77777777" w:rsidR="00271E37" w:rsidRPr="00C92BB6" w:rsidRDefault="00271E37" w:rsidP="000923EA">
            <w:r w:rsidRPr="00C92BB6">
              <w:t>Other assets</w:t>
            </w:r>
          </w:p>
        </w:tc>
        <w:tc>
          <w:tcPr>
            <w:tcW w:w="1134" w:type="dxa"/>
          </w:tcPr>
          <w:p w14:paraId="257085EF" w14:textId="77777777" w:rsidR="00271E37" w:rsidRPr="00C92BB6" w:rsidRDefault="00271E37" w:rsidP="000923EA"/>
        </w:tc>
      </w:tr>
      <w:tr w:rsidR="00271E37" w:rsidRPr="00C92BB6" w14:paraId="17DBDB69" w14:textId="77777777" w:rsidTr="00C92BB6">
        <w:tc>
          <w:tcPr>
            <w:tcW w:w="0" w:type="auto"/>
          </w:tcPr>
          <w:p w14:paraId="6532561A" w14:textId="77777777" w:rsidR="00271E37" w:rsidRPr="00C92BB6" w:rsidRDefault="00271E37" w:rsidP="00C92BB6">
            <w:pPr>
              <w:jc w:val="left"/>
            </w:pPr>
          </w:p>
        </w:tc>
        <w:tc>
          <w:tcPr>
            <w:tcW w:w="1134" w:type="dxa"/>
          </w:tcPr>
          <w:p w14:paraId="571E22BF" w14:textId="77777777" w:rsidR="00271E37" w:rsidRPr="00C92BB6" w:rsidRDefault="00271E37" w:rsidP="000923EA">
            <w:r w:rsidRPr="00C92BB6">
              <w:t>arrangement</w:t>
            </w:r>
          </w:p>
        </w:tc>
        <w:tc>
          <w:tcPr>
            <w:tcW w:w="1134" w:type="dxa"/>
          </w:tcPr>
          <w:p w14:paraId="3A27EA87" w14:textId="77777777" w:rsidR="00271E37" w:rsidRPr="00C92BB6" w:rsidRDefault="00271E37" w:rsidP="000923EA">
            <w:r w:rsidRPr="00C92BB6">
              <w:t>cash/bank</w:t>
            </w:r>
          </w:p>
        </w:tc>
        <w:tc>
          <w:tcPr>
            <w:tcW w:w="1134" w:type="dxa"/>
          </w:tcPr>
          <w:p w14:paraId="285D2186" w14:textId="77777777" w:rsidR="00271E37" w:rsidRPr="00C92BB6" w:rsidRDefault="00271E37" w:rsidP="000923EA"/>
        </w:tc>
      </w:tr>
      <w:tr w:rsidR="00271E37" w:rsidRPr="00C92BB6" w14:paraId="006E7A41" w14:textId="77777777" w:rsidTr="00C92BB6">
        <w:tc>
          <w:tcPr>
            <w:tcW w:w="0" w:type="auto"/>
            <w:tcBorders>
              <w:bottom w:val="nil"/>
            </w:tcBorders>
          </w:tcPr>
          <w:p w14:paraId="687D1ACB" w14:textId="77777777" w:rsidR="00271E37" w:rsidRPr="00C92BB6" w:rsidRDefault="00271E37" w:rsidP="00C92BB6">
            <w:pPr>
              <w:jc w:val="left"/>
            </w:pPr>
          </w:p>
        </w:tc>
        <w:tc>
          <w:tcPr>
            <w:tcW w:w="1134" w:type="dxa"/>
            <w:tcBorders>
              <w:bottom w:val="nil"/>
            </w:tcBorders>
          </w:tcPr>
          <w:p w14:paraId="2279BACF" w14:textId="77777777" w:rsidR="00271E37" w:rsidRPr="00C92BB6" w:rsidRDefault="00271E37" w:rsidP="000923EA">
            <w:r w:rsidRPr="00C92BB6">
              <w:t>fees</w:t>
            </w:r>
          </w:p>
        </w:tc>
        <w:tc>
          <w:tcPr>
            <w:tcW w:w="1134" w:type="dxa"/>
            <w:tcBorders>
              <w:bottom w:val="nil"/>
            </w:tcBorders>
          </w:tcPr>
          <w:p w14:paraId="3300619B" w14:textId="77777777" w:rsidR="00271E37" w:rsidRPr="00C92BB6" w:rsidRDefault="00271E37" w:rsidP="000923EA">
            <w:r w:rsidRPr="00C92BB6">
              <w:t>overdrafts</w:t>
            </w:r>
          </w:p>
        </w:tc>
        <w:tc>
          <w:tcPr>
            <w:tcW w:w="1134" w:type="dxa"/>
            <w:tcBorders>
              <w:bottom w:val="nil"/>
            </w:tcBorders>
          </w:tcPr>
          <w:p w14:paraId="30AD38F2" w14:textId="77777777" w:rsidR="00271E37" w:rsidRPr="00C92BB6" w:rsidRDefault="00271E37" w:rsidP="000923EA">
            <w:r w:rsidRPr="00C92BB6">
              <w:t>Total</w:t>
            </w:r>
          </w:p>
        </w:tc>
      </w:tr>
      <w:tr w:rsidR="00271E37" w:rsidRPr="00C92BB6" w14:paraId="0376E14A" w14:textId="77777777" w:rsidTr="00C92BB6">
        <w:tc>
          <w:tcPr>
            <w:tcW w:w="0" w:type="auto"/>
            <w:tcBorders>
              <w:bottom w:val="single" w:sz="4" w:space="0" w:color="auto"/>
            </w:tcBorders>
          </w:tcPr>
          <w:p w14:paraId="2954B707" w14:textId="77777777" w:rsidR="00271E37" w:rsidRPr="00C92BB6" w:rsidRDefault="00271E37" w:rsidP="00C92BB6">
            <w:pPr>
              <w:jc w:val="left"/>
            </w:pPr>
          </w:p>
        </w:tc>
        <w:tc>
          <w:tcPr>
            <w:tcW w:w="1134" w:type="dxa"/>
            <w:tcBorders>
              <w:bottom w:val="single" w:sz="4" w:space="0" w:color="auto"/>
            </w:tcBorders>
          </w:tcPr>
          <w:p w14:paraId="31FE4FDA" w14:textId="77777777" w:rsidR="00271E37" w:rsidRPr="00C92BB6" w:rsidRDefault="00271E37" w:rsidP="000923EA">
            <w:r>
              <w:t>£</w:t>
            </w:r>
            <w:r w:rsidRPr="00C92BB6">
              <w:t>000</w:t>
            </w:r>
          </w:p>
        </w:tc>
        <w:tc>
          <w:tcPr>
            <w:tcW w:w="1134" w:type="dxa"/>
            <w:tcBorders>
              <w:bottom w:val="single" w:sz="4" w:space="0" w:color="auto"/>
            </w:tcBorders>
          </w:tcPr>
          <w:p w14:paraId="044A280B" w14:textId="77777777" w:rsidR="00271E37" w:rsidRPr="00C92BB6" w:rsidRDefault="00271E37" w:rsidP="000923EA">
            <w:r>
              <w:t>£</w:t>
            </w:r>
            <w:r w:rsidRPr="00C92BB6">
              <w:t>000</w:t>
            </w:r>
          </w:p>
        </w:tc>
        <w:tc>
          <w:tcPr>
            <w:tcW w:w="1134" w:type="dxa"/>
            <w:tcBorders>
              <w:bottom w:val="single" w:sz="4" w:space="0" w:color="auto"/>
            </w:tcBorders>
          </w:tcPr>
          <w:p w14:paraId="2BEECE8E" w14:textId="77777777" w:rsidR="00271E37" w:rsidRPr="00C92BB6" w:rsidRDefault="00271E37" w:rsidP="000923EA">
            <w:r>
              <w:t>£</w:t>
            </w:r>
            <w:r w:rsidRPr="00C92BB6">
              <w:t>000</w:t>
            </w:r>
          </w:p>
        </w:tc>
      </w:tr>
      <w:tr w:rsidR="00271E37" w:rsidRPr="00C92BB6" w14:paraId="3AAFDE6C" w14:textId="77777777">
        <w:tc>
          <w:tcPr>
            <w:tcW w:w="0" w:type="auto"/>
            <w:tcBorders>
              <w:top w:val="single" w:sz="4" w:space="0" w:color="auto"/>
            </w:tcBorders>
          </w:tcPr>
          <w:p w14:paraId="02AD787D" w14:textId="77777777" w:rsidR="00271E37" w:rsidRPr="00C92BB6" w:rsidRDefault="00271E37">
            <w:pPr>
              <w:jc w:val="left"/>
            </w:pPr>
            <w:r w:rsidRPr="00C92BB6">
              <w:t>Balance at 1 April 202</w:t>
            </w:r>
            <w:r>
              <w:t>4</w:t>
            </w:r>
          </w:p>
        </w:tc>
        <w:tc>
          <w:tcPr>
            <w:tcW w:w="1134" w:type="dxa"/>
            <w:tcBorders>
              <w:top w:val="single" w:sz="4" w:space="0" w:color="auto"/>
            </w:tcBorders>
            <w:vAlign w:val="bottom"/>
          </w:tcPr>
          <w:p w14:paraId="53F40FC4" w14:textId="77777777" w:rsidR="00271E37" w:rsidRPr="005D1FAF" w:rsidRDefault="00271E37">
            <w:pPr>
              <w:rPr>
                <w:rFonts w:cs="Arial"/>
                <w:b/>
                <w:bCs/>
                <w:szCs w:val="16"/>
              </w:rPr>
            </w:pPr>
            <w:r w:rsidRPr="005D1FAF">
              <w:rPr>
                <w:rFonts w:cs="Arial"/>
                <w:b/>
                <w:bCs/>
                <w:szCs w:val="16"/>
              </w:rPr>
              <w:t xml:space="preserve">1,202 </w:t>
            </w:r>
          </w:p>
        </w:tc>
        <w:tc>
          <w:tcPr>
            <w:tcW w:w="1134" w:type="dxa"/>
            <w:tcBorders>
              <w:top w:val="single" w:sz="4" w:space="0" w:color="auto"/>
            </w:tcBorders>
            <w:vAlign w:val="bottom"/>
          </w:tcPr>
          <w:p w14:paraId="550DA4D0" w14:textId="77777777" w:rsidR="00271E37" w:rsidRPr="005D1FAF" w:rsidRDefault="00271E37">
            <w:pPr>
              <w:rPr>
                <w:rFonts w:cs="Arial"/>
                <w:b/>
                <w:bCs/>
                <w:szCs w:val="16"/>
              </w:rPr>
            </w:pPr>
            <w:r w:rsidRPr="005D1FAF">
              <w:rPr>
                <w:rFonts w:cs="Arial"/>
                <w:b/>
                <w:bCs/>
                <w:szCs w:val="16"/>
              </w:rPr>
              <w:t xml:space="preserve">74,265 </w:t>
            </w:r>
          </w:p>
        </w:tc>
        <w:tc>
          <w:tcPr>
            <w:tcW w:w="1134" w:type="dxa"/>
            <w:tcBorders>
              <w:top w:val="single" w:sz="4" w:space="0" w:color="auto"/>
            </w:tcBorders>
            <w:vAlign w:val="bottom"/>
          </w:tcPr>
          <w:p w14:paraId="0778A71E" w14:textId="77777777" w:rsidR="00271E37" w:rsidRPr="005D1FAF" w:rsidRDefault="00271E37">
            <w:pPr>
              <w:rPr>
                <w:rFonts w:cs="Arial"/>
                <w:b/>
                <w:bCs/>
                <w:szCs w:val="16"/>
              </w:rPr>
            </w:pPr>
            <w:r w:rsidRPr="005D1FAF">
              <w:rPr>
                <w:rFonts w:cs="Arial"/>
                <w:b/>
                <w:bCs/>
                <w:szCs w:val="16"/>
              </w:rPr>
              <w:t xml:space="preserve">75,467 </w:t>
            </w:r>
          </w:p>
        </w:tc>
      </w:tr>
      <w:tr w:rsidR="00271E37" w:rsidRPr="00C92BB6" w14:paraId="25960F92" w14:textId="77777777">
        <w:tc>
          <w:tcPr>
            <w:tcW w:w="0" w:type="auto"/>
          </w:tcPr>
          <w:p w14:paraId="07F4BBBD" w14:textId="77777777" w:rsidR="00271E37" w:rsidRPr="00C92BB6" w:rsidRDefault="00271E37">
            <w:pPr>
              <w:jc w:val="left"/>
            </w:pPr>
            <w:r w:rsidRPr="00C92BB6">
              <w:t>Cash flows</w:t>
            </w:r>
          </w:p>
        </w:tc>
        <w:tc>
          <w:tcPr>
            <w:tcW w:w="1134" w:type="dxa"/>
            <w:vAlign w:val="center"/>
          </w:tcPr>
          <w:p w14:paraId="52D307B8" w14:textId="77777777" w:rsidR="00271E37" w:rsidRPr="005D1FAF" w:rsidRDefault="00271E37">
            <w:pPr>
              <w:rPr>
                <w:rFonts w:cs="Arial"/>
                <w:b/>
                <w:bCs/>
                <w:szCs w:val="16"/>
              </w:rPr>
            </w:pPr>
            <w:r w:rsidRPr="005D1FAF">
              <w:rPr>
                <w:rFonts w:cs="Arial"/>
                <w:szCs w:val="16"/>
              </w:rPr>
              <w:t xml:space="preserve"> - </w:t>
            </w:r>
          </w:p>
        </w:tc>
        <w:tc>
          <w:tcPr>
            <w:tcW w:w="1134" w:type="dxa"/>
            <w:vAlign w:val="center"/>
          </w:tcPr>
          <w:p w14:paraId="04DBF151" w14:textId="2702D76C" w:rsidR="00271E37" w:rsidRPr="005D1FAF" w:rsidRDefault="00271E37">
            <w:pPr>
              <w:rPr>
                <w:rFonts w:cs="Arial"/>
                <w:b/>
                <w:bCs/>
                <w:szCs w:val="16"/>
              </w:rPr>
            </w:pPr>
            <w:r w:rsidRPr="005D1FAF">
              <w:rPr>
                <w:rFonts w:cs="Arial"/>
                <w:szCs w:val="16"/>
              </w:rPr>
              <w:t>(</w:t>
            </w:r>
            <w:r>
              <w:rPr>
                <w:rFonts w:cs="Arial"/>
                <w:szCs w:val="16"/>
              </w:rPr>
              <w:t>10,0</w:t>
            </w:r>
            <w:r w:rsidR="00925198">
              <w:rPr>
                <w:rFonts w:cs="Arial"/>
                <w:szCs w:val="16"/>
              </w:rPr>
              <w:t>10</w:t>
            </w:r>
            <w:r w:rsidRPr="005D1FAF">
              <w:rPr>
                <w:rFonts w:cs="Arial"/>
                <w:szCs w:val="16"/>
              </w:rPr>
              <w:t>)</w:t>
            </w:r>
          </w:p>
        </w:tc>
        <w:tc>
          <w:tcPr>
            <w:tcW w:w="1134" w:type="dxa"/>
            <w:vAlign w:val="center"/>
          </w:tcPr>
          <w:p w14:paraId="04C5713E" w14:textId="330F21C0" w:rsidR="00271E37" w:rsidRPr="005D1FAF" w:rsidRDefault="00271E37">
            <w:pPr>
              <w:rPr>
                <w:rFonts w:cs="Arial"/>
                <w:b/>
                <w:bCs/>
                <w:szCs w:val="16"/>
              </w:rPr>
            </w:pPr>
            <w:r w:rsidRPr="005D1FAF">
              <w:rPr>
                <w:rFonts w:cs="Arial"/>
                <w:szCs w:val="16"/>
              </w:rPr>
              <w:t>(</w:t>
            </w:r>
            <w:r>
              <w:rPr>
                <w:rFonts w:cs="Arial"/>
                <w:szCs w:val="16"/>
              </w:rPr>
              <w:t>10,0</w:t>
            </w:r>
            <w:r w:rsidR="00815874">
              <w:rPr>
                <w:rFonts w:cs="Arial"/>
                <w:szCs w:val="16"/>
              </w:rPr>
              <w:t>10</w:t>
            </w:r>
            <w:r w:rsidRPr="005D1FAF">
              <w:rPr>
                <w:rFonts w:cs="Arial"/>
                <w:szCs w:val="16"/>
              </w:rPr>
              <w:t>)</w:t>
            </w:r>
          </w:p>
        </w:tc>
      </w:tr>
      <w:tr w:rsidR="00271E37" w:rsidRPr="00C92BB6" w14:paraId="13B6154D" w14:textId="77777777">
        <w:tc>
          <w:tcPr>
            <w:tcW w:w="0" w:type="auto"/>
            <w:tcBorders>
              <w:bottom w:val="nil"/>
            </w:tcBorders>
          </w:tcPr>
          <w:p w14:paraId="08E028C9" w14:textId="77777777" w:rsidR="00271E37" w:rsidRPr="00C92BB6" w:rsidRDefault="00271E37">
            <w:pPr>
              <w:jc w:val="left"/>
            </w:pPr>
            <w:r w:rsidRPr="00C92BB6">
              <w:t>Amortisation of loan arrangement fees</w:t>
            </w:r>
          </w:p>
        </w:tc>
        <w:tc>
          <w:tcPr>
            <w:tcW w:w="1134" w:type="dxa"/>
            <w:tcBorders>
              <w:bottom w:val="nil"/>
            </w:tcBorders>
            <w:vAlign w:val="center"/>
          </w:tcPr>
          <w:p w14:paraId="1A896B35" w14:textId="77777777" w:rsidR="00271E37" w:rsidRPr="005D1FAF" w:rsidRDefault="00271E37">
            <w:pPr>
              <w:rPr>
                <w:rFonts w:cs="Arial"/>
                <w:b/>
                <w:bCs/>
                <w:szCs w:val="16"/>
              </w:rPr>
            </w:pPr>
            <w:r w:rsidRPr="005D1FAF">
              <w:rPr>
                <w:rFonts w:cs="Arial"/>
                <w:szCs w:val="16"/>
              </w:rPr>
              <w:t>(</w:t>
            </w:r>
            <w:r>
              <w:rPr>
                <w:rFonts w:cs="Arial"/>
                <w:szCs w:val="16"/>
              </w:rPr>
              <w:t>555</w:t>
            </w:r>
            <w:r w:rsidRPr="005D1FAF">
              <w:rPr>
                <w:rFonts w:cs="Arial"/>
                <w:szCs w:val="16"/>
              </w:rPr>
              <w:t>)</w:t>
            </w:r>
          </w:p>
        </w:tc>
        <w:tc>
          <w:tcPr>
            <w:tcW w:w="1134" w:type="dxa"/>
            <w:tcBorders>
              <w:bottom w:val="nil"/>
            </w:tcBorders>
            <w:vAlign w:val="center"/>
          </w:tcPr>
          <w:p w14:paraId="24E28EF9" w14:textId="77777777" w:rsidR="00271E37" w:rsidRPr="005D1FAF" w:rsidRDefault="00271E37">
            <w:pPr>
              <w:rPr>
                <w:rFonts w:cs="Arial"/>
                <w:b/>
                <w:bCs/>
                <w:szCs w:val="16"/>
              </w:rPr>
            </w:pPr>
            <w:r w:rsidRPr="005D1FAF">
              <w:rPr>
                <w:rFonts w:cs="Arial"/>
                <w:szCs w:val="16"/>
              </w:rPr>
              <w:t xml:space="preserve"> - </w:t>
            </w:r>
          </w:p>
        </w:tc>
        <w:tc>
          <w:tcPr>
            <w:tcW w:w="1134" w:type="dxa"/>
            <w:tcBorders>
              <w:bottom w:val="nil"/>
            </w:tcBorders>
            <w:vAlign w:val="center"/>
          </w:tcPr>
          <w:p w14:paraId="22939B35" w14:textId="77777777" w:rsidR="00271E37" w:rsidRPr="005D1FAF" w:rsidRDefault="00271E37">
            <w:pPr>
              <w:rPr>
                <w:rFonts w:cs="Arial"/>
                <w:b/>
                <w:bCs/>
                <w:szCs w:val="16"/>
              </w:rPr>
            </w:pPr>
            <w:r w:rsidRPr="005D1FAF">
              <w:rPr>
                <w:rFonts w:cs="Arial"/>
                <w:szCs w:val="16"/>
              </w:rPr>
              <w:t>(</w:t>
            </w:r>
            <w:r>
              <w:rPr>
                <w:rFonts w:cs="Arial"/>
                <w:szCs w:val="16"/>
              </w:rPr>
              <w:t>555</w:t>
            </w:r>
            <w:r w:rsidRPr="005D1FAF">
              <w:rPr>
                <w:rFonts w:cs="Arial"/>
                <w:szCs w:val="16"/>
              </w:rPr>
              <w:t>)</w:t>
            </w:r>
          </w:p>
        </w:tc>
      </w:tr>
      <w:tr w:rsidR="00271E37" w:rsidRPr="00C92BB6" w14:paraId="12DB0337" w14:textId="77777777">
        <w:tc>
          <w:tcPr>
            <w:tcW w:w="0" w:type="auto"/>
            <w:tcBorders>
              <w:bottom w:val="single" w:sz="4" w:space="0" w:color="auto"/>
            </w:tcBorders>
          </w:tcPr>
          <w:p w14:paraId="4B5BE4AB" w14:textId="77777777" w:rsidR="00271E37" w:rsidRPr="00C92BB6" w:rsidRDefault="00271E37">
            <w:pPr>
              <w:jc w:val="left"/>
            </w:pPr>
            <w:r w:rsidRPr="00C92BB6">
              <w:t>Effect of movements in foreign exchange</w:t>
            </w:r>
          </w:p>
        </w:tc>
        <w:tc>
          <w:tcPr>
            <w:tcW w:w="1134" w:type="dxa"/>
            <w:tcBorders>
              <w:bottom w:val="single" w:sz="4" w:space="0" w:color="auto"/>
            </w:tcBorders>
            <w:vAlign w:val="center"/>
          </w:tcPr>
          <w:p w14:paraId="1F6048B8" w14:textId="77777777" w:rsidR="00271E37" w:rsidRPr="005D1FAF" w:rsidRDefault="00271E37">
            <w:pPr>
              <w:rPr>
                <w:rFonts w:cs="Arial"/>
                <w:b/>
                <w:bCs/>
                <w:szCs w:val="16"/>
              </w:rPr>
            </w:pPr>
            <w:r>
              <w:rPr>
                <w:rFonts w:cs="Arial"/>
                <w:szCs w:val="16"/>
              </w:rPr>
              <w:t>-</w:t>
            </w:r>
            <w:r w:rsidRPr="005D1FAF">
              <w:rPr>
                <w:rFonts w:cs="Arial"/>
                <w:szCs w:val="16"/>
              </w:rPr>
              <w:t xml:space="preserve"> </w:t>
            </w:r>
          </w:p>
        </w:tc>
        <w:tc>
          <w:tcPr>
            <w:tcW w:w="1134" w:type="dxa"/>
            <w:tcBorders>
              <w:bottom w:val="single" w:sz="4" w:space="0" w:color="auto"/>
            </w:tcBorders>
            <w:vAlign w:val="center"/>
          </w:tcPr>
          <w:p w14:paraId="4BD27117" w14:textId="668EA295" w:rsidR="00271E37" w:rsidRPr="005D1FAF" w:rsidRDefault="00A9795D">
            <w:pPr>
              <w:rPr>
                <w:rFonts w:cs="Arial"/>
                <w:b/>
                <w:bCs/>
                <w:szCs w:val="16"/>
              </w:rPr>
            </w:pPr>
            <w:r>
              <w:rPr>
                <w:rFonts w:cs="Arial"/>
                <w:szCs w:val="16"/>
              </w:rPr>
              <w:t>653</w:t>
            </w:r>
            <w:r w:rsidR="00271E37" w:rsidRPr="005D1FAF">
              <w:rPr>
                <w:rFonts w:cs="Arial"/>
                <w:szCs w:val="16"/>
              </w:rPr>
              <w:t xml:space="preserve"> </w:t>
            </w:r>
          </w:p>
        </w:tc>
        <w:tc>
          <w:tcPr>
            <w:tcW w:w="1134" w:type="dxa"/>
            <w:tcBorders>
              <w:bottom w:val="single" w:sz="4" w:space="0" w:color="auto"/>
            </w:tcBorders>
            <w:vAlign w:val="center"/>
          </w:tcPr>
          <w:p w14:paraId="63496CAD" w14:textId="0900142F" w:rsidR="00271E37" w:rsidRPr="005D1FAF" w:rsidRDefault="00271E37">
            <w:pPr>
              <w:rPr>
                <w:rFonts w:cs="Arial"/>
                <w:b/>
                <w:bCs/>
                <w:szCs w:val="16"/>
              </w:rPr>
            </w:pPr>
            <w:r>
              <w:rPr>
                <w:rFonts w:cs="Arial"/>
                <w:szCs w:val="16"/>
              </w:rPr>
              <w:t>6</w:t>
            </w:r>
            <w:r w:rsidR="008149D2">
              <w:rPr>
                <w:rFonts w:cs="Arial"/>
                <w:szCs w:val="16"/>
              </w:rPr>
              <w:t>53</w:t>
            </w:r>
            <w:r w:rsidRPr="005D1FAF">
              <w:rPr>
                <w:rFonts w:cs="Arial"/>
                <w:szCs w:val="16"/>
              </w:rPr>
              <w:t xml:space="preserve"> </w:t>
            </w:r>
          </w:p>
        </w:tc>
      </w:tr>
      <w:tr w:rsidR="00D55A00" w:rsidRPr="00C92BB6" w14:paraId="2682864A" w14:textId="77777777">
        <w:tc>
          <w:tcPr>
            <w:tcW w:w="0" w:type="auto"/>
            <w:tcBorders>
              <w:top w:val="single" w:sz="4" w:space="0" w:color="auto"/>
            </w:tcBorders>
          </w:tcPr>
          <w:p w14:paraId="77170AB3" w14:textId="77777777" w:rsidR="00D55A00" w:rsidRPr="00C92BB6" w:rsidRDefault="00D55A00" w:rsidP="00D55A00">
            <w:pPr>
              <w:jc w:val="left"/>
            </w:pPr>
            <w:r w:rsidRPr="00C92BB6">
              <w:t>Balance at 31 March 202</w:t>
            </w:r>
            <w:r>
              <w:t>5</w:t>
            </w:r>
          </w:p>
        </w:tc>
        <w:tc>
          <w:tcPr>
            <w:tcW w:w="1134" w:type="dxa"/>
            <w:tcBorders>
              <w:top w:val="single" w:sz="4" w:space="0" w:color="auto"/>
            </w:tcBorders>
            <w:vAlign w:val="bottom"/>
          </w:tcPr>
          <w:p w14:paraId="4A027E4C" w14:textId="631311AF" w:rsidR="00D55A00" w:rsidRPr="005D1FAF" w:rsidRDefault="00D55A00" w:rsidP="00D55A00">
            <w:pPr>
              <w:rPr>
                <w:rFonts w:cs="Arial"/>
                <w:b/>
                <w:bCs/>
                <w:szCs w:val="16"/>
              </w:rPr>
            </w:pPr>
            <w:r>
              <w:rPr>
                <w:rFonts w:cs="Arial"/>
                <w:b/>
                <w:bCs/>
                <w:color w:val="000000"/>
                <w:szCs w:val="16"/>
              </w:rPr>
              <w:t xml:space="preserve">647 </w:t>
            </w:r>
          </w:p>
        </w:tc>
        <w:tc>
          <w:tcPr>
            <w:tcW w:w="1134" w:type="dxa"/>
            <w:tcBorders>
              <w:top w:val="single" w:sz="4" w:space="0" w:color="auto"/>
            </w:tcBorders>
            <w:vAlign w:val="bottom"/>
          </w:tcPr>
          <w:p w14:paraId="5CB3FA75" w14:textId="6D9A52C5" w:rsidR="00D55A00" w:rsidRPr="005D1FAF" w:rsidRDefault="00D55A00" w:rsidP="00D55A00">
            <w:pPr>
              <w:rPr>
                <w:rFonts w:cs="Arial"/>
                <w:b/>
                <w:bCs/>
                <w:szCs w:val="16"/>
              </w:rPr>
            </w:pPr>
            <w:r>
              <w:rPr>
                <w:rFonts w:cs="Arial"/>
                <w:b/>
                <w:bCs/>
                <w:color w:val="000000"/>
                <w:szCs w:val="16"/>
              </w:rPr>
              <w:t xml:space="preserve">64,908 </w:t>
            </w:r>
          </w:p>
        </w:tc>
        <w:tc>
          <w:tcPr>
            <w:tcW w:w="1134" w:type="dxa"/>
            <w:tcBorders>
              <w:top w:val="single" w:sz="4" w:space="0" w:color="auto"/>
            </w:tcBorders>
            <w:vAlign w:val="bottom"/>
          </w:tcPr>
          <w:p w14:paraId="7F9C33F7" w14:textId="5466347E" w:rsidR="00D55A00" w:rsidRPr="005D1FAF" w:rsidRDefault="00D55A00" w:rsidP="00D55A00">
            <w:pPr>
              <w:rPr>
                <w:rFonts w:cs="Arial"/>
                <w:b/>
                <w:bCs/>
                <w:szCs w:val="16"/>
              </w:rPr>
            </w:pPr>
            <w:r>
              <w:rPr>
                <w:rFonts w:cs="Arial"/>
                <w:b/>
                <w:bCs/>
                <w:color w:val="000000"/>
                <w:szCs w:val="16"/>
              </w:rPr>
              <w:t xml:space="preserve">65,555 </w:t>
            </w:r>
          </w:p>
        </w:tc>
      </w:tr>
      <w:tr w:rsidR="00D55A00" w:rsidRPr="00C92BB6" w14:paraId="7D8CBB95" w14:textId="77777777">
        <w:tc>
          <w:tcPr>
            <w:tcW w:w="0" w:type="auto"/>
          </w:tcPr>
          <w:p w14:paraId="78668C96" w14:textId="77777777" w:rsidR="00D55A00" w:rsidRPr="00C92BB6" w:rsidRDefault="00D55A00" w:rsidP="00D55A00">
            <w:pPr>
              <w:jc w:val="left"/>
            </w:pPr>
            <w:r w:rsidRPr="00C92BB6">
              <w:t>Cash flows</w:t>
            </w:r>
          </w:p>
        </w:tc>
        <w:tc>
          <w:tcPr>
            <w:tcW w:w="1134" w:type="dxa"/>
            <w:vAlign w:val="center"/>
          </w:tcPr>
          <w:p w14:paraId="112C502E" w14:textId="6FF8B963" w:rsidR="00D55A00" w:rsidRPr="005D1FAF" w:rsidRDefault="00D55A00" w:rsidP="00D55A00">
            <w:pPr>
              <w:rPr>
                <w:rFonts w:cs="Arial"/>
                <w:b/>
                <w:bCs/>
                <w:szCs w:val="16"/>
              </w:rPr>
            </w:pPr>
            <w:r>
              <w:rPr>
                <w:rFonts w:cs="Arial"/>
                <w:color w:val="000000"/>
                <w:szCs w:val="16"/>
              </w:rPr>
              <w:t xml:space="preserve">880 </w:t>
            </w:r>
          </w:p>
        </w:tc>
        <w:tc>
          <w:tcPr>
            <w:tcW w:w="1134" w:type="dxa"/>
            <w:vAlign w:val="center"/>
          </w:tcPr>
          <w:p w14:paraId="6C0CA796" w14:textId="1BB38729" w:rsidR="00D55A00" w:rsidRPr="005D1FAF" w:rsidRDefault="00D55A00" w:rsidP="00D55A00">
            <w:pPr>
              <w:rPr>
                <w:rFonts w:cs="Arial"/>
                <w:b/>
                <w:bCs/>
                <w:szCs w:val="16"/>
              </w:rPr>
            </w:pPr>
            <w:r>
              <w:rPr>
                <w:rFonts w:cs="Arial"/>
                <w:color w:val="000000"/>
                <w:szCs w:val="16"/>
              </w:rPr>
              <w:t>(1,671)</w:t>
            </w:r>
          </w:p>
        </w:tc>
        <w:tc>
          <w:tcPr>
            <w:tcW w:w="1134" w:type="dxa"/>
            <w:vAlign w:val="center"/>
          </w:tcPr>
          <w:p w14:paraId="3C860C25" w14:textId="167F1274" w:rsidR="00D55A00" w:rsidRPr="005D1FAF" w:rsidRDefault="00D55A00" w:rsidP="00D55A00">
            <w:pPr>
              <w:rPr>
                <w:rFonts w:cs="Arial"/>
                <w:b/>
                <w:bCs/>
                <w:szCs w:val="16"/>
              </w:rPr>
            </w:pPr>
            <w:r>
              <w:rPr>
                <w:rFonts w:cs="Arial"/>
                <w:color w:val="000000"/>
                <w:szCs w:val="16"/>
              </w:rPr>
              <w:t>(791)</w:t>
            </w:r>
          </w:p>
        </w:tc>
      </w:tr>
      <w:tr w:rsidR="00D55A00" w:rsidRPr="00C92BB6" w14:paraId="25C88841" w14:textId="77777777">
        <w:tc>
          <w:tcPr>
            <w:tcW w:w="0" w:type="auto"/>
            <w:tcBorders>
              <w:bottom w:val="nil"/>
            </w:tcBorders>
          </w:tcPr>
          <w:p w14:paraId="1B0542A9" w14:textId="77777777" w:rsidR="00D55A00" w:rsidRPr="00C92BB6" w:rsidRDefault="00D55A00" w:rsidP="00D55A00">
            <w:pPr>
              <w:jc w:val="left"/>
            </w:pPr>
            <w:r w:rsidRPr="00C92BB6">
              <w:t>Amortisation of loan arrangement fees</w:t>
            </w:r>
          </w:p>
        </w:tc>
        <w:tc>
          <w:tcPr>
            <w:tcW w:w="1134" w:type="dxa"/>
            <w:tcBorders>
              <w:bottom w:val="nil"/>
            </w:tcBorders>
            <w:vAlign w:val="center"/>
          </w:tcPr>
          <w:p w14:paraId="33DB06DE" w14:textId="454299B9" w:rsidR="00D55A00" w:rsidRPr="005D1FAF" w:rsidRDefault="00D55A00" w:rsidP="00D55A00">
            <w:pPr>
              <w:rPr>
                <w:rFonts w:cs="Arial"/>
                <w:b/>
                <w:bCs/>
                <w:szCs w:val="16"/>
              </w:rPr>
            </w:pPr>
            <w:r>
              <w:rPr>
                <w:rFonts w:cs="Arial"/>
                <w:color w:val="000000"/>
                <w:szCs w:val="16"/>
              </w:rPr>
              <w:t>(256)</w:t>
            </w:r>
          </w:p>
        </w:tc>
        <w:tc>
          <w:tcPr>
            <w:tcW w:w="1134" w:type="dxa"/>
            <w:tcBorders>
              <w:bottom w:val="nil"/>
            </w:tcBorders>
            <w:vAlign w:val="center"/>
          </w:tcPr>
          <w:p w14:paraId="74A33256" w14:textId="27102EF1" w:rsidR="00D55A00" w:rsidRPr="005D1FAF" w:rsidRDefault="00D55A00" w:rsidP="00D55A00">
            <w:pPr>
              <w:rPr>
                <w:rFonts w:cs="Arial"/>
                <w:b/>
                <w:bCs/>
                <w:szCs w:val="16"/>
              </w:rPr>
            </w:pPr>
            <w:r>
              <w:rPr>
                <w:rFonts w:cs="Arial"/>
                <w:color w:val="000000"/>
                <w:szCs w:val="16"/>
              </w:rPr>
              <w:t xml:space="preserve"> - </w:t>
            </w:r>
          </w:p>
        </w:tc>
        <w:tc>
          <w:tcPr>
            <w:tcW w:w="1134" w:type="dxa"/>
            <w:tcBorders>
              <w:bottom w:val="nil"/>
            </w:tcBorders>
            <w:vAlign w:val="center"/>
          </w:tcPr>
          <w:p w14:paraId="33CEF638" w14:textId="7A18367C" w:rsidR="00D55A00" w:rsidRPr="005D1FAF" w:rsidRDefault="00D55A00" w:rsidP="00D55A00">
            <w:pPr>
              <w:rPr>
                <w:rFonts w:cs="Arial"/>
                <w:b/>
                <w:bCs/>
                <w:szCs w:val="16"/>
              </w:rPr>
            </w:pPr>
            <w:r>
              <w:rPr>
                <w:rFonts w:cs="Arial"/>
                <w:color w:val="000000"/>
                <w:szCs w:val="16"/>
              </w:rPr>
              <w:t>(256)</w:t>
            </w:r>
          </w:p>
        </w:tc>
      </w:tr>
      <w:tr w:rsidR="00D55A00" w:rsidRPr="00C92BB6" w14:paraId="077D4B26" w14:textId="77777777">
        <w:tc>
          <w:tcPr>
            <w:tcW w:w="0" w:type="auto"/>
            <w:tcBorders>
              <w:bottom w:val="nil"/>
            </w:tcBorders>
          </w:tcPr>
          <w:p w14:paraId="191FEB26" w14:textId="77777777" w:rsidR="00D55A00" w:rsidRPr="00C92BB6" w:rsidRDefault="00D55A00" w:rsidP="00D55A00">
            <w:pPr>
              <w:jc w:val="left"/>
            </w:pPr>
            <w:r>
              <w:t>Derecognition of disposal of subsidiary</w:t>
            </w:r>
          </w:p>
        </w:tc>
        <w:tc>
          <w:tcPr>
            <w:tcW w:w="1134" w:type="dxa"/>
            <w:tcBorders>
              <w:bottom w:val="nil"/>
            </w:tcBorders>
            <w:vAlign w:val="center"/>
          </w:tcPr>
          <w:p w14:paraId="788CD9DB" w14:textId="36A49F80" w:rsidR="00D55A00" w:rsidRPr="005D1FAF" w:rsidRDefault="00D55A00" w:rsidP="00D55A00">
            <w:pPr>
              <w:rPr>
                <w:rFonts w:cs="Arial"/>
                <w:szCs w:val="16"/>
              </w:rPr>
            </w:pPr>
            <w:r>
              <w:rPr>
                <w:rFonts w:cs="Arial"/>
                <w:szCs w:val="16"/>
              </w:rPr>
              <w:t>(851)</w:t>
            </w:r>
          </w:p>
        </w:tc>
        <w:tc>
          <w:tcPr>
            <w:tcW w:w="1134" w:type="dxa"/>
            <w:tcBorders>
              <w:bottom w:val="nil"/>
            </w:tcBorders>
            <w:vAlign w:val="center"/>
          </w:tcPr>
          <w:p w14:paraId="4E8EAA95" w14:textId="45D8F993" w:rsidR="00D55A00" w:rsidRPr="005D1FAF" w:rsidRDefault="00D55A00" w:rsidP="00D55A00">
            <w:pPr>
              <w:rPr>
                <w:rFonts w:cs="Arial"/>
                <w:szCs w:val="16"/>
              </w:rPr>
            </w:pPr>
            <w:r>
              <w:rPr>
                <w:rFonts w:cs="Arial"/>
                <w:color w:val="000000"/>
                <w:szCs w:val="16"/>
              </w:rPr>
              <w:t>(7,899)</w:t>
            </w:r>
          </w:p>
        </w:tc>
        <w:tc>
          <w:tcPr>
            <w:tcW w:w="1134" w:type="dxa"/>
            <w:tcBorders>
              <w:bottom w:val="nil"/>
            </w:tcBorders>
            <w:vAlign w:val="center"/>
          </w:tcPr>
          <w:p w14:paraId="5232F211" w14:textId="5055BA6D" w:rsidR="00D55A00" w:rsidRPr="005D1FAF" w:rsidRDefault="00D55A00" w:rsidP="00D55A00">
            <w:pPr>
              <w:rPr>
                <w:rFonts w:cs="Arial"/>
                <w:szCs w:val="16"/>
              </w:rPr>
            </w:pPr>
            <w:r>
              <w:rPr>
                <w:rFonts w:cs="Arial"/>
                <w:color w:val="000000"/>
                <w:szCs w:val="16"/>
              </w:rPr>
              <w:t>(8,750)</w:t>
            </w:r>
          </w:p>
        </w:tc>
      </w:tr>
      <w:tr w:rsidR="00D55A00" w:rsidRPr="00C92BB6" w14:paraId="57E312CA" w14:textId="77777777">
        <w:tc>
          <w:tcPr>
            <w:tcW w:w="0" w:type="auto"/>
            <w:tcBorders>
              <w:top w:val="nil"/>
              <w:bottom w:val="single" w:sz="4" w:space="0" w:color="auto"/>
            </w:tcBorders>
          </w:tcPr>
          <w:p w14:paraId="6CB8A387" w14:textId="77777777" w:rsidR="00D55A00" w:rsidRPr="00C92BB6" w:rsidRDefault="00D55A00" w:rsidP="00D55A00">
            <w:pPr>
              <w:jc w:val="left"/>
            </w:pPr>
            <w:r w:rsidRPr="00C92BB6">
              <w:t>Effect of movements in foreign exchange</w:t>
            </w:r>
          </w:p>
        </w:tc>
        <w:tc>
          <w:tcPr>
            <w:tcW w:w="1134" w:type="dxa"/>
            <w:tcBorders>
              <w:top w:val="nil"/>
              <w:bottom w:val="single" w:sz="4" w:space="0" w:color="auto"/>
            </w:tcBorders>
            <w:vAlign w:val="center"/>
          </w:tcPr>
          <w:p w14:paraId="02667120" w14:textId="03DDD945" w:rsidR="00D55A00" w:rsidRPr="005D1FAF" w:rsidRDefault="00D55A00" w:rsidP="00D55A00">
            <w:pPr>
              <w:rPr>
                <w:rFonts w:cs="Arial"/>
                <w:b/>
                <w:bCs/>
                <w:szCs w:val="16"/>
              </w:rPr>
            </w:pPr>
            <w:r>
              <w:rPr>
                <w:rFonts w:cs="Arial"/>
                <w:color w:val="000000"/>
                <w:szCs w:val="16"/>
              </w:rPr>
              <w:t xml:space="preserve"> - </w:t>
            </w:r>
          </w:p>
        </w:tc>
        <w:tc>
          <w:tcPr>
            <w:tcW w:w="1134" w:type="dxa"/>
            <w:tcBorders>
              <w:top w:val="nil"/>
              <w:bottom w:val="single" w:sz="4" w:space="0" w:color="auto"/>
            </w:tcBorders>
            <w:vAlign w:val="center"/>
          </w:tcPr>
          <w:p w14:paraId="2F0E8E80" w14:textId="14C8A70C" w:rsidR="00D55A00" w:rsidRPr="005D1FAF" w:rsidRDefault="00D55A00" w:rsidP="00D55A00">
            <w:pPr>
              <w:rPr>
                <w:rFonts w:cs="Arial"/>
                <w:b/>
                <w:bCs/>
                <w:szCs w:val="16"/>
              </w:rPr>
            </w:pPr>
            <w:r>
              <w:rPr>
                <w:rFonts w:cs="Arial"/>
                <w:color w:val="000000"/>
                <w:szCs w:val="16"/>
              </w:rPr>
              <w:t>(1,141)</w:t>
            </w:r>
          </w:p>
        </w:tc>
        <w:tc>
          <w:tcPr>
            <w:tcW w:w="1134" w:type="dxa"/>
            <w:tcBorders>
              <w:top w:val="nil"/>
              <w:bottom w:val="single" w:sz="4" w:space="0" w:color="auto"/>
            </w:tcBorders>
            <w:vAlign w:val="center"/>
          </w:tcPr>
          <w:p w14:paraId="5C7D8EFB" w14:textId="2301B259" w:rsidR="00D55A00" w:rsidRPr="005D1FAF" w:rsidRDefault="00D55A00" w:rsidP="00D55A00">
            <w:pPr>
              <w:rPr>
                <w:rFonts w:cs="Arial"/>
                <w:b/>
                <w:bCs/>
                <w:szCs w:val="16"/>
              </w:rPr>
            </w:pPr>
            <w:r>
              <w:rPr>
                <w:rFonts w:cs="Arial"/>
                <w:color w:val="000000"/>
                <w:szCs w:val="16"/>
              </w:rPr>
              <w:t>(1,141)</w:t>
            </w:r>
          </w:p>
        </w:tc>
      </w:tr>
      <w:tr w:rsidR="00D55A00" w:rsidRPr="00C92BB6" w14:paraId="1EF86B4E" w14:textId="77777777">
        <w:tc>
          <w:tcPr>
            <w:tcW w:w="0" w:type="auto"/>
            <w:tcBorders>
              <w:top w:val="single" w:sz="4" w:space="0" w:color="auto"/>
            </w:tcBorders>
          </w:tcPr>
          <w:p w14:paraId="3D54C6E5" w14:textId="77777777" w:rsidR="00D55A00" w:rsidRPr="00C92BB6" w:rsidRDefault="00D55A00" w:rsidP="00D55A00">
            <w:pPr>
              <w:jc w:val="left"/>
              <w:rPr>
                <w:b/>
                <w:bCs/>
              </w:rPr>
            </w:pPr>
            <w:r w:rsidRPr="00C92BB6">
              <w:rPr>
                <w:b/>
                <w:bCs/>
              </w:rPr>
              <w:t>Balance at 31 March 202</w:t>
            </w:r>
            <w:r>
              <w:rPr>
                <w:b/>
                <w:bCs/>
              </w:rPr>
              <w:t>6</w:t>
            </w:r>
          </w:p>
        </w:tc>
        <w:tc>
          <w:tcPr>
            <w:tcW w:w="1134" w:type="dxa"/>
            <w:tcBorders>
              <w:top w:val="single" w:sz="4" w:space="0" w:color="auto"/>
            </w:tcBorders>
            <w:vAlign w:val="bottom"/>
          </w:tcPr>
          <w:p w14:paraId="785F0E2A" w14:textId="1323CFFC" w:rsidR="00D55A00" w:rsidRPr="005D1FAF" w:rsidRDefault="00D55A00" w:rsidP="00D55A00">
            <w:pPr>
              <w:rPr>
                <w:rFonts w:cs="Arial"/>
                <w:b/>
                <w:bCs/>
                <w:szCs w:val="16"/>
              </w:rPr>
            </w:pPr>
            <w:r>
              <w:rPr>
                <w:rFonts w:cs="Arial"/>
                <w:b/>
                <w:bCs/>
                <w:color w:val="000000"/>
                <w:szCs w:val="16"/>
              </w:rPr>
              <w:t xml:space="preserve">420 </w:t>
            </w:r>
          </w:p>
        </w:tc>
        <w:tc>
          <w:tcPr>
            <w:tcW w:w="1134" w:type="dxa"/>
            <w:tcBorders>
              <w:top w:val="single" w:sz="4" w:space="0" w:color="auto"/>
            </w:tcBorders>
            <w:vAlign w:val="bottom"/>
          </w:tcPr>
          <w:p w14:paraId="71AF4C54" w14:textId="5FEEAD3E" w:rsidR="00D55A00" w:rsidRPr="005D1FAF" w:rsidRDefault="00D55A00" w:rsidP="00D55A00">
            <w:pPr>
              <w:rPr>
                <w:rFonts w:cs="Arial"/>
                <w:b/>
                <w:bCs/>
                <w:szCs w:val="16"/>
              </w:rPr>
            </w:pPr>
            <w:r>
              <w:rPr>
                <w:rFonts w:cs="Arial"/>
                <w:b/>
                <w:bCs/>
                <w:color w:val="000000"/>
                <w:szCs w:val="16"/>
              </w:rPr>
              <w:t xml:space="preserve">54,197 </w:t>
            </w:r>
          </w:p>
        </w:tc>
        <w:tc>
          <w:tcPr>
            <w:tcW w:w="1134" w:type="dxa"/>
            <w:tcBorders>
              <w:top w:val="single" w:sz="4" w:space="0" w:color="auto"/>
            </w:tcBorders>
            <w:vAlign w:val="bottom"/>
          </w:tcPr>
          <w:p w14:paraId="6D102215" w14:textId="6279144A" w:rsidR="00D55A00" w:rsidRPr="005D1FAF" w:rsidRDefault="00D55A00" w:rsidP="00D55A00">
            <w:pPr>
              <w:rPr>
                <w:rFonts w:cs="Arial"/>
                <w:b/>
                <w:bCs/>
                <w:szCs w:val="16"/>
              </w:rPr>
            </w:pPr>
            <w:r>
              <w:rPr>
                <w:rFonts w:cs="Arial"/>
                <w:b/>
                <w:bCs/>
                <w:color w:val="000000"/>
                <w:szCs w:val="16"/>
              </w:rPr>
              <w:t xml:space="preserve">54,617 </w:t>
            </w:r>
          </w:p>
        </w:tc>
      </w:tr>
    </w:tbl>
    <w:p w14:paraId="3B394390" w14:textId="77777777" w:rsidR="00271E37" w:rsidRDefault="00271E37" w:rsidP="002E39D4">
      <w:pPr>
        <w:rPr>
          <w:b/>
          <w:bCs/>
        </w:rPr>
      </w:pPr>
    </w:p>
    <w:p w14:paraId="1EE1B5F2" w14:textId="77777777" w:rsidR="00271E37" w:rsidRPr="00C92BB6" w:rsidRDefault="00271E37">
      <w:pPr>
        <w:pStyle w:val="Heading2"/>
      </w:pPr>
      <w:r w:rsidRPr="00C92BB6">
        <w:t>15 Loans and borrowings</w:t>
      </w:r>
    </w:p>
    <w:p w14:paraId="540DB518" w14:textId="77777777" w:rsidR="00271E37" w:rsidRDefault="00271E37" w:rsidP="002E39D4">
      <w:r>
        <w:t xml:space="preserve">This note provides </w:t>
      </w:r>
      <w:r w:rsidRPr="00E00116">
        <w:t>information about the contractual terms of the Group’s interest-bearing loans and borrowings. For more information about the Group’s</w:t>
      </w:r>
      <w:r>
        <w:t xml:space="preserve"> exposure to interest rate and foreign currency risk, see note 24.</w:t>
      </w:r>
    </w:p>
    <w:p w14:paraId="2CE92BB1" w14:textId="77777777" w:rsidR="00271E37" w:rsidRDefault="00271E37" w:rsidP="002E39D4"/>
    <w:tbl>
      <w:tblPr>
        <w:tblStyle w:val="tableDUL"/>
        <w:tblW w:w="9639" w:type="dxa"/>
        <w:tblLook w:val="04A0" w:firstRow="1" w:lastRow="0" w:firstColumn="1" w:lastColumn="0" w:noHBand="0" w:noVBand="1"/>
      </w:tblPr>
      <w:tblGrid>
        <w:gridCol w:w="7371"/>
        <w:gridCol w:w="1134"/>
        <w:gridCol w:w="1134"/>
      </w:tblGrid>
      <w:tr w:rsidR="00271E37" w:rsidRPr="00C92BB6" w14:paraId="07DD99B4" w14:textId="77777777" w:rsidTr="00A40B25">
        <w:tc>
          <w:tcPr>
            <w:tcW w:w="0" w:type="auto"/>
            <w:tcBorders>
              <w:bottom w:val="nil"/>
            </w:tcBorders>
          </w:tcPr>
          <w:p w14:paraId="083DF434" w14:textId="77777777" w:rsidR="00271E37" w:rsidRPr="00C92BB6" w:rsidRDefault="00271E37" w:rsidP="00C92BB6">
            <w:pPr>
              <w:jc w:val="left"/>
            </w:pPr>
          </w:p>
        </w:tc>
        <w:tc>
          <w:tcPr>
            <w:tcW w:w="1134" w:type="dxa"/>
            <w:tcBorders>
              <w:bottom w:val="nil"/>
            </w:tcBorders>
          </w:tcPr>
          <w:p w14:paraId="4BCE2CA2" w14:textId="77777777" w:rsidR="00271E37" w:rsidRPr="00A40B25" w:rsidRDefault="00271E37" w:rsidP="000923EA">
            <w:pPr>
              <w:rPr>
                <w:b/>
                <w:bCs/>
              </w:rPr>
            </w:pPr>
            <w:r w:rsidRPr="00A40B25">
              <w:rPr>
                <w:b/>
                <w:bCs/>
              </w:rPr>
              <w:t>202</w:t>
            </w:r>
            <w:r>
              <w:rPr>
                <w:b/>
                <w:bCs/>
              </w:rPr>
              <w:t>6</w:t>
            </w:r>
          </w:p>
        </w:tc>
        <w:tc>
          <w:tcPr>
            <w:tcW w:w="1134" w:type="dxa"/>
            <w:tcBorders>
              <w:bottom w:val="nil"/>
            </w:tcBorders>
          </w:tcPr>
          <w:p w14:paraId="3F93101A" w14:textId="77777777" w:rsidR="00271E37" w:rsidRPr="00C92BB6" w:rsidRDefault="00271E37" w:rsidP="000923EA">
            <w:r w:rsidRPr="00C92BB6">
              <w:t>202</w:t>
            </w:r>
            <w:r>
              <w:t>5</w:t>
            </w:r>
          </w:p>
        </w:tc>
      </w:tr>
      <w:tr w:rsidR="00271E37" w:rsidRPr="00C92BB6" w14:paraId="2FD19896" w14:textId="77777777" w:rsidTr="00A40B25">
        <w:tc>
          <w:tcPr>
            <w:tcW w:w="0" w:type="auto"/>
            <w:tcBorders>
              <w:bottom w:val="single" w:sz="4" w:space="0" w:color="auto"/>
            </w:tcBorders>
          </w:tcPr>
          <w:p w14:paraId="5B5E4337" w14:textId="77777777" w:rsidR="00271E37" w:rsidRPr="00C92BB6" w:rsidRDefault="00271E37" w:rsidP="00C92BB6">
            <w:pPr>
              <w:jc w:val="left"/>
            </w:pPr>
          </w:p>
        </w:tc>
        <w:tc>
          <w:tcPr>
            <w:tcW w:w="1134" w:type="dxa"/>
            <w:tcBorders>
              <w:bottom w:val="single" w:sz="4" w:space="0" w:color="auto"/>
            </w:tcBorders>
          </w:tcPr>
          <w:p w14:paraId="4A4570FE" w14:textId="77777777" w:rsidR="00271E37" w:rsidRPr="00A40B25" w:rsidRDefault="00271E37" w:rsidP="000923EA">
            <w:pPr>
              <w:rPr>
                <w:b/>
                <w:bCs/>
              </w:rPr>
            </w:pPr>
            <w:r>
              <w:rPr>
                <w:b/>
                <w:bCs/>
              </w:rPr>
              <w:t>£</w:t>
            </w:r>
            <w:r w:rsidRPr="00A40B25">
              <w:rPr>
                <w:b/>
                <w:bCs/>
              </w:rPr>
              <w:t>000</w:t>
            </w:r>
          </w:p>
        </w:tc>
        <w:tc>
          <w:tcPr>
            <w:tcW w:w="1134" w:type="dxa"/>
            <w:tcBorders>
              <w:bottom w:val="single" w:sz="4" w:space="0" w:color="auto"/>
            </w:tcBorders>
          </w:tcPr>
          <w:p w14:paraId="650C9C35" w14:textId="77777777" w:rsidR="00271E37" w:rsidRPr="00C92BB6" w:rsidRDefault="00271E37" w:rsidP="000923EA">
            <w:r>
              <w:t>£</w:t>
            </w:r>
            <w:r w:rsidRPr="00C92BB6">
              <w:t>000</w:t>
            </w:r>
          </w:p>
        </w:tc>
      </w:tr>
      <w:tr w:rsidR="00271E37" w:rsidRPr="00C92BB6" w14:paraId="33193F3C" w14:textId="77777777">
        <w:tc>
          <w:tcPr>
            <w:tcW w:w="0" w:type="auto"/>
            <w:tcBorders>
              <w:top w:val="single" w:sz="4" w:space="0" w:color="auto"/>
            </w:tcBorders>
          </w:tcPr>
          <w:p w14:paraId="16D78B96" w14:textId="77777777" w:rsidR="00271E37" w:rsidRPr="00A40B25" w:rsidRDefault="00271E37">
            <w:pPr>
              <w:jc w:val="left"/>
              <w:rPr>
                <w:b/>
                <w:bCs/>
              </w:rPr>
            </w:pPr>
            <w:r w:rsidRPr="00A40B25">
              <w:rPr>
                <w:b/>
                <w:bCs/>
              </w:rPr>
              <w:t>Non-current liabilities</w:t>
            </w:r>
          </w:p>
        </w:tc>
        <w:tc>
          <w:tcPr>
            <w:tcW w:w="1134" w:type="dxa"/>
            <w:tcBorders>
              <w:top w:val="single" w:sz="4" w:space="0" w:color="auto"/>
            </w:tcBorders>
            <w:vAlign w:val="center"/>
          </w:tcPr>
          <w:p w14:paraId="6612ABD8" w14:textId="77777777" w:rsidR="00271E37" w:rsidRPr="00A40B25" w:rsidRDefault="00271E37">
            <w:pPr>
              <w:rPr>
                <w:b/>
                <w:bCs/>
              </w:rPr>
            </w:pPr>
          </w:p>
        </w:tc>
        <w:tc>
          <w:tcPr>
            <w:tcW w:w="1134" w:type="dxa"/>
            <w:tcBorders>
              <w:top w:val="single" w:sz="4" w:space="0" w:color="auto"/>
            </w:tcBorders>
            <w:vAlign w:val="center"/>
          </w:tcPr>
          <w:p w14:paraId="755759B4" w14:textId="77777777" w:rsidR="00271E37" w:rsidRPr="00C92BB6" w:rsidRDefault="00271E37"/>
        </w:tc>
      </w:tr>
      <w:tr w:rsidR="00271E37" w:rsidRPr="00C92BB6" w14:paraId="1D68CAA1" w14:textId="77777777">
        <w:tc>
          <w:tcPr>
            <w:tcW w:w="0" w:type="auto"/>
            <w:tcBorders>
              <w:bottom w:val="nil"/>
            </w:tcBorders>
          </w:tcPr>
          <w:p w14:paraId="6A9BA98D" w14:textId="77777777" w:rsidR="00271E37" w:rsidRPr="00C92BB6" w:rsidRDefault="00271E37">
            <w:pPr>
              <w:jc w:val="left"/>
            </w:pPr>
            <w:r w:rsidRPr="00C92BB6">
              <w:t xml:space="preserve">Secured bank loans </w:t>
            </w:r>
          </w:p>
        </w:tc>
        <w:tc>
          <w:tcPr>
            <w:tcW w:w="1134" w:type="dxa"/>
            <w:tcBorders>
              <w:bottom w:val="nil"/>
            </w:tcBorders>
            <w:vAlign w:val="center"/>
          </w:tcPr>
          <w:p w14:paraId="70C46E5F" w14:textId="77777777" w:rsidR="00271E37" w:rsidRPr="00A40B25" w:rsidRDefault="00271E37">
            <w:pPr>
              <w:rPr>
                <w:b/>
                <w:bCs/>
              </w:rPr>
            </w:pPr>
            <w:r>
              <w:rPr>
                <w:rFonts w:cs="Arial"/>
                <w:b/>
                <w:bCs/>
                <w:color w:val="000000"/>
                <w:szCs w:val="16"/>
              </w:rPr>
              <w:t xml:space="preserve"> - </w:t>
            </w:r>
          </w:p>
        </w:tc>
        <w:tc>
          <w:tcPr>
            <w:tcW w:w="1134" w:type="dxa"/>
            <w:tcBorders>
              <w:bottom w:val="nil"/>
            </w:tcBorders>
            <w:vAlign w:val="center"/>
          </w:tcPr>
          <w:p w14:paraId="3ACB1EC9" w14:textId="77777777" w:rsidR="00271E37" w:rsidRPr="00C92BB6" w:rsidRDefault="00271E37">
            <w:r>
              <w:rPr>
                <w:rFonts w:cs="Arial"/>
                <w:color w:val="000000"/>
                <w:szCs w:val="16"/>
              </w:rPr>
              <w:t xml:space="preserve"> - </w:t>
            </w:r>
          </w:p>
        </w:tc>
      </w:tr>
      <w:tr w:rsidR="00271E37" w:rsidRPr="00C92BB6" w14:paraId="40799EAE" w14:textId="77777777">
        <w:tc>
          <w:tcPr>
            <w:tcW w:w="0" w:type="auto"/>
            <w:tcBorders>
              <w:bottom w:val="single" w:sz="4" w:space="0" w:color="auto"/>
            </w:tcBorders>
          </w:tcPr>
          <w:p w14:paraId="58325283" w14:textId="77777777" w:rsidR="00271E37" w:rsidRPr="00C92BB6" w:rsidRDefault="00271E37">
            <w:pPr>
              <w:jc w:val="left"/>
            </w:pPr>
            <w:r w:rsidRPr="00C92BB6">
              <w:t>Loan arrangement fees</w:t>
            </w:r>
          </w:p>
        </w:tc>
        <w:tc>
          <w:tcPr>
            <w:tcW w:w="1134" w:type="dxa"/>
            <w:tcBorders>
              <w:bottom w:val="single" w:sz="4" w:space="0" w:color="auto"/>
            </w:tcBorders>
            <w:vAlign w:val="center"/>
          </w:tcPr>
          <w:p w14:paraId="1D944522" w14:textId="77777777" w:rsidR="00271E37" w:rsidRPr="00A40B25" w:rsidRDefault="00271E37">
            <w:pPr>
              <w:rPr>
                <w:b/>
                <w:bCs/>
              </w:rPr>
            </w:pPr>
            <w:r>
              <w:rPr>
                <w:rFonts w:cs="Arial"/>
                <w:b/>
                <w:bCs/>
                <w:color w:val="000000"/>
                <w:szCs w:val="16"/>
              </w:rPr>
              <w:t>(228)</w:t>
            </w:r>
          </w:p>
        </w:tc>
        <w:tc>
          <w:tcPr>
            <w:tcW w:w="1134" w:type="dxa"/>
            <w:tcBorders>
              <w:bottom w:val="single" w:sz="4" w:space="0" w:color="auto"/>
            </w:tcBorders>
            <w:vAlign w:val="center"/>
          </w:tcPr>
          <w:p w14:paraId="5C2CDF26" w14:textId="77777777" w:rsidR="00271E37" w:rsidRPr="002B1808" w:rsidRDefault="00271E37">
            <w:r>
              <w:rPr>
                <w:rFonts w:cs="Arial"/>
                <w:color w:val="000000"/>
                <w:szCs w:val="16"/>
              </w:rPr>
              <w:t>(92)</w:t>
            </w:r>
          </w:p>
        </w:tc>
      </w:tr>
      <w:tr w:rsidR="00271E37" w:rsidRPr="00C92BB6" w14:paraId="558A2F5E" w14:textId="77777777">
        <w:tc>
          <w:tcPr>
            <w:tcW w:w="0" w:type="auto"/>
            <w:tcBorders>
              <w:top w:val="single" w:sz="4" w:space="0" w:color="auto"/>
              <w:bottom w:val="single" w:sz="4" w:space="0" w:color="auto"/>
            </w:tcBorders>
          </w:tcPr>
          <w:p w14:paraId="14C945F1" w14:textId="77777777" w:rsidR="00271E37" w:rsidRPr="00C92BB6" w:rsidRDefault="00271E37">
            <w:pPr>
              <w:jc w:val="left"/>
            </w:pPr>
          </w:p>
        </w:tc>
        <w:tc>
          <w:tcPr>
            <w:tcW w:w="1134" w:type="dxa"/>
            <w:tcBorders>
              <w:top w:val="single" w:sz="4" w:space="0" w:color="auto"/>
              <w:bottom w:val="single" w:sz="4" w:space="0" w:color="auto"/>
            </w:tcBorders>
            <w:vAlign w:val="center"/>
          </w:tcPr>
          <w:p w14:paraId="088CE208" w14:textId="77777777" w:rsidR="00271E37" w:rsidRPr="00A40B25" w:rsidRDefault="00271E37">
            <w:pPr>
              <w:rPr>
                <w:b/>
                <w:bCs/>
              </w:rPr>
            </w:pPr>
            <w:r>
              <w:rPr>
                <w:rFonts w:cs="Arial"/>
                <w:b/>
                <w:bCs/>
                <w:color w:val="000000"/>
                <w:szCs w:val="16"/>
              </w:rPr>
              <w:t>(228)</w:t>
            </w:r>
          </w:p>
        </w:tc>
        <w:tc>
          <w:tcPr>
            <w:tcW w:w="1134" w:type="dxa"/>
            <w:tcBorders>
              <w:top w:val="single" w:sz="4" w:space="0" w:color="auto"/>
              <w:bottom w:val="single" w:sz="4" w:space="0" w:color="auto"/>
            </w:tcBorders>
            <w:vAlign w:val="center"/>
          </w:tcPr>
          <w:p w14:paraId="1FC7F838" w14:textId="77777777" w:rsidR="00271E37" w:rsidRPr="002B1808" w:rsidRDefault="00271E37">
            <w:r>
              <w:rPr>
                <w:rFonts w:cs="Arial"/>
                <w:color w:val="000000"/>
                <w:szCs w:val="16"/>
              </w:rPr>
              <w:t>(92)</w:t>
            </w:r>
          </w:p>
        </w:tc>
      </w:tr>
      <w:tr w:rsidR="00271E37" w:rsidRPr="00C92BB6" w14:paraId="7ADDCAED" w14:textId="77777777">
        <w:tc>
          <w:tcPr>
            <w:tcW w:w="0" w:type="auto"/>
            <w:tcBorders>
              <w:top w:val="single" w:sz="4" w:space="0" w:color="auto"/>
            </w:tcBorders>
          </w:tcPr>
          <w:p w14:paraId="31481DBD" w14:textId="77777777" w:rsidR="00271E37" w:rsidRPr="00A40B25" w:rsidRDefault="00271E37">
            <w:pPr>
              <w:jc w:val="left"/>
              <w:rPr>
                <w:b/>
                <w:bCs/>
              </w:rPr>
            </w:pPr>
            <w:r w:rsidRPr="00A40B25">
              <w:rPr>
                <w:b/>
                <w:bCs/>
              </w:rPr>
              <w:t>Current liabilities</w:t>
            </w:r>
          </w:p>
        </w:tc>
        <w:tc>
          <w:tcPr>
            <w:tcW w:w="1134" w:type="dxa"/>
            <w:tcBorders>
              <w:top w:val="single" w:sz="4" w:space="0" w:color="auto"/>
            </w:tcBorders>
            <w:vAlign w:val="center"/>
          </w:tcPr>
          <w:p w14:paraId="36A9A76A" w14:textId="77777777" w:rsidR="00271E37" w:rsidRPr="00A40B25" w:rsidRDefault="00271E37">
            <w:pPr>
              <w:rPr>
                <w:b/>
                <w:bCs/>
              </w:rPr>
            </w:pPr>
          </w:p>
        </w:tc>
        <w:tc>
          <w:tcPr>
            <w:tcW w:w="1134" w:type="dxa"/>
            <w:tcBorders>
              <w:top w:val="single" w:sz="4" w:space="0" w:color="auto"/>
            </w:tcBorders>
            <w:vAlign w:val="center"/>
          </w:tcPr>
          <w:p w14:paraId="2588597D" w14:textId="77777777" w:rsidR="00271E37" w:rsidRPr="002B1808" w:rsidRDefault="00271E37"/>
        </w:tc>
      </w:tr>
      <w:tr w:rsidR="00271E37" w:rsidRPr="00C92BB6" w14:paraId="4E20A4B5" w14:textId="77777777">
        <w:tc>
          <w:tcPr>
            <w:tcW w:w="0" w:type="auto"/>
            <w:tcBorders>
              <w:bottom w:val="nil"/>
            </w:tcBorders>
          </w:tcPr>
          <w:p w14:paraId="29BEE0FB" w14:textId="77777777" w:rsidR="00271E37" w:rsidRPr="00C92BB6" w:rsidRDefault="00271E37">
            <w:pPr>
              <w:jc w:val="left"/>
            </w:pPr>
            <w:r w:rsidRPr="00C92BB6">
              <w:t xml:space="preserve">Current portion of secured bank loans </w:t>
            </w:r>
          </w:p>
        </w:tc>
        <w:tc>
          <w:tcPr>
            <w:tcW w:w="1134" w:type="dxa"/>
            <w:tcBorders>
              <w:bottom w:val="nil"/>
            </w:tcBorders>
            <w:vAlign w:val="center"/>
          </w:tcPr>
          <w:p w14:paraId="1AC9D2D4" w14:textId="77777777" w:rsidR="00271E37" w:rsidRPr="00A40B25" w:rsidRDefault="00271E37">
            <w:pPr>
              <w:rPr>
                <w:b/>
                <w:bCs/>
              </w:rPr>
            </w:pPr>
            <w:r>
              <w:rPr>
                <w:rFonts w:cs="Arial"/>
                <w:b/>
                <w:bCs/>
                <w:color w:val="000000"/>
                <w:szCs w:val="16"/>
              </w:rPr>
              <w:t xml:space="preserve"> - </w:t>
            </w:r>
          </w:p>
        </w:tc>
        <w:tc>
          <w:tcPr>
            <w:tcW w:w="1134" w:type="dxa"/>
            <w:tcBorders>
              <w:bottom w:val="nil"/>
            </w:tcBorders>
            <w:vAlign w:val="center"/>
          </w:tcPr>
          <w:p w14:paraId="4BA9DA18" w14:textId="77777777" w:rsidR="00271E37" w:rsidRPr="002B1808" w:rsidRDefault="00271E37">
            <w:r>
              <w:rPr>
                <w:rFonts w:cs="Arial"/>
                <w:color w:val="000000"/>
                <w:szCs w:val="16"/>
              </w:rPr>
              <w:t xml:space="preserve"> - </w:t>
            </w:r>
          </w:p>
        </w:tc>
      </w:tr>
      <w:tr w:rsidR="00271E37" w:rsidRPr="00C92BB6" w14:paraId="59D1DF2E" w14:textId="77777777">
        <w:tc>
          <w:tcPr>
            <w:tcW w:w="0" w:type="auto"/>
            <w:tcBorders>
              <w:bottom w:val="single" w:sz="4" w:space="0" w:color="auto"/>
            </w:tcBorders>
          </w:tcPr>
          <w:p w14:paraId="555B935D" w14:textId="77777777" w:rsidR="00271E37" w:rsidRPr="00C92BB6" w:rsidRDefault="00271E37">
            <w:pPr>
              <w:jc w:val="left"/>
            </w:pPr>
            <w:r w:rsidRPr="00C92BB6">
              <w:t>Loan arrangement fees</w:t>
            </w:r>
          </w:p>
        </w:tc>
        <w:tc>
          <w:tcPr>
            <w:tcW w:w="1134" w:type="dxa"/>
            <w:tcBorders>
              <w:bottom w:val="single" w:sz="4" w:space="0" w:color="auto"/>
            </w:tcBorders>
            <w:vAlign w:val="center"/>
          </w:tcPr>
          <w:p w14:paraId="353127EF" w14:textId="77777777" w:rsidR="00271E37" w:rsidRPr="00A40B25" w:rsidRDefault="00271E37">
            <w:pPr>
              <w:rPr>
                <w:b/>
                <w:bCs/>
              </w:rPr>
            </w:pPr>
            <w:r>
              <w:rPr>
                <w:rFonts w:cs="Arial"/>
                <w:b/>
                <w:bCs/>
                <w:color w:val="000000"/>
                <w:szCs w:val="16"/>
              </w:rPr>
              <w:t>(192)</w:t>
            </w:r>
          </w:p>
        </w:tc>
        <w:tc>
          <w:tcPr>
            <w:tcW w:w="1134" w:type="dxa"/>
            <w:tcBorders>
              <w:bottom w:val="single" w:sz="4" w:space="0" w:color="auto"/>
            </w:tcBorders>
            <w:vAlign w:val="center"/>
          </w:tcPr>
          <w:p w14:paraId="39D5CACD" w14:textId="77777777" w:rsidR="00271E37" w:rsidRPr="002B1808" w:rsidRDefault="00271E37">
            <w:r>
              <w:rPr>
                <w:rFonts w:cs="Arial"/>
                <w:color w:val="000000"/>
                <w:szCs w:val="16"/>
              </w:rPr>
              <w:t>(555)</w:t>
            </w:r>
          </w:p>
        </w:tc>
      </w:tr>
      <w:tr w:rsidR="00271E37" w:rsidRPr="00C92BB6" w14:paraId="52DBB5F4" w14:textId="77777777">
        <w:tc>
          <w:tcPr>
            <w:tcW w:w="0" w:type="auto"/>
            <w:tcBorders>
              <w:top w:val="single" w:sz="4" w:space="0" w:color="auto"/>
            </w:tcBorders>
          </w:tcPr>
          <w:p w14:paraId="636BD734" w14:textId="77777777" w:rsidR="00271E37" w:rsidRPr="00C92BB6" w:rsidRDefault="00271E37">
            <w:pPr>
              <w:jc w:val="left"/>
            </w:pPr>
          </w:p>
        </w:tc>
        <w:tc>
          <w:tcPr>
            <w:tcW w:w="1134" w:type="dxa"/>
            <w:tcBorders>
              <w:top w:val="single" w:sz="4" w:space="0" w:color="auto"/>
            </w:tcBorders>
            <w:vAlign w:val="center"/>
          </w:tcPr>
          <w:p w14:paraId="3B2BCA85" w14:textId="77777777" w:rsidR="00271E37" w:rsidRPr="00A40B25" w:rsidRDefault="00271E37">
            <w:pPr>
              <w:rPr>
                <w:b/>
                <w:bCs/>
              </w:rPr>
            </w:pPr>
            <w:r>
              <w:rPr>
                <w:rFonts w:cs="Arial"/>
                <w:b/>
                <w:bCs/>
                <w:color w:val="000000"/>
                <w:szCs w:val="16"/>
              </w:rPr>
              <w:t>(192)</w:t>
            </w:r>
          </w:p>
        </w:tc>
        <w:tc>
          <w:tcPr>
            <w:tcW w:w="1134" w:type="dxa"/>
            <w:tcBorders>
              <w:top w:val="single" w:sz="4" w:space="0" w:color="auto"/>
            </w:tcBorders>
            <w:vAlign w:val="center"/>
          </w:tcPr>
          <w:p w14:paraId="1A0527FC" w14:textId="77777777" w:rsidR="00271E37" w:rsidRPr="002B1808" w:rsidRDefault="00271E37">
            <w:r>
              <w:rPr>
                <w:rFonts w:cs="Arial"/>
                <w:color w:val="000000"/>
                <w:szCs w:val="16"/>
              </w:rPr>
              <w:t>(555)</w:t>
            </w:r>
          </w:p>
        </w:tc>
      </w:tr>
    </w:tbl>
    <w:p w14:paraId="51E02F73" w14:textId="77777777" w:rsidR="00271E37" w:rsidRDefault="00271E37" w:rsidP="002E39D4"/>
    <w:p w14:paraId="20893881" w14:textId="77777777" w:rsidR="00271E37" w:rsidRDefault="00271E37" w:rsidP="002876C8">
      <w:pPr>
        <w:pStyle w:val="Heading3"/>
        <w:rPr>
          <w:bCs/>
          <w:i/>
          <w:iCs/>
        </w:rPr>
      </w:pPr>
      <w:r w:rsidRPr="002876C8">
        <w:rPr>
          <w:sz w:val="16"/>
          <w:szCs w:val="16"/>
        </w:rPr>
        <w:t>Financing facilities</w:t>
      </w:r>
    </w:p>
    <w:p w14:paraId="4B496BA7" w14:textId="77777777" w:rsidR="00271E37" w:rsidRPr="00E97486" w:rsidRDefault="00271E37" w:rsidP="002E39D4">
      <w:pPr>
        <w:rPr>
          <w:b/>
          <w:bCs/>
          <w:i/>
          <w:iCs/>
        </w:rPr>
      </w:pPr>
    </w:p>
    <w:p w14:paraId="5AB3C7BF" w14:textId="2FA01FAD" w:rsidR="00271E37" w:rsidRPr="00227087" w:rsidRDefault="00271E37">
      <w:r w:rsidRPr="00227087">
        <w:t>At 3</w:t>
      </w:r>
      <w:r>
        <w:t>1</w:t>
      </w:r>
      <w:r w:rsidRPr="00227087">
        <w:t xml:space="preserve"> March 2026, the Group had access to a Receivables Finance </w:t>
      </w:r>
      <w:r w:rsidR="00007C58">
        <w:t>f</w:t>
      </w:r>
      <w:r w:rsidRPr="00227087">
        <w:t xml:space="preserve">acility with HSBC and NatWest. This facility was entered into on 11 July 2025 and provides up to </w:t>
      </w:r>
      <w:r w:rsidRPr="00DD406B">
        <w:t>£40.0 million</w:t>
      </w:r>
      <w:r w:rsidRPr="00227087">
        <w:t xml:space="preserve"> of funding based on a borrowing base linked to eligible receivables across participating Group companies. Availability is determined by reference to the value of eligible receivables, subject to eligibility criteria and concentration limits. The facility has an initial minimum term of 36 months.</w:t>
      </w:r>
    </w:p>
    <w:p w14:paraId="3E02E1AC" w14:textId="2CEBF8E7" w:rsidR="00271E37" w:rsidRPr="00DE3854" w:rsidRDefault="00271E37">
      <w:r w:rsidRPr="00DE3854">
        <w:t xml:space="preserve">The Receivables Finance </w:t>
      </w:r>
      <w:r w:rsidR="00007C58">
        <w:t>f</w:t>
      </w:r>
      <w:r w:rsidRPr="00DE3854">
        <w:t>acility does not include financial ratio covenants but is subject to certain operational covenants.</w:t>
      </w:r>
    </w:p>
    <w:p w14:paraId="643DFF71" w14:textId="0634749B" w:rsidR="00271E37" w:rsidRPr="00DE3854" w:rsidRDefault="00271E37">
      <w:r w:rsidRPr="00DE3854">
        <w:lastRenderedPageBreak/>
        <w:t>The facility is supported by a</w:t>
      </w:r>
      <w:r w:rsidRPr="00DE3854" w:rsidDel="0091784B">
        <w:t xml:space="preserve"> </w:t>
      </w:r>
      <w:r w:rsidRPr="00DE3854">
        <w:t>security package provided by participating Group undertakings. This includes the assignment of receivables to a receivables trustee together with fixed and floating charges over assets, including bank accounts and other property, under debentures and equivalent local law security documents.</w:t>
      </w:r>
      <w:r w:rsidR="003860EE">
        <w:t xml:space="preserve"> </w:t>
      </w:r>
      <w:r w:rsidRPr="00DE3854">
        <w:t>These security arrangements are held by a security agent on behalf of the lenders.</w:t>
      </w:r>
    </w:p>
    <w:p w14:paraId="397D806C" w14:textId="77777777" w:rsidR="00271E37" w:rsidRDefault="00271E37"/>
    <w:p w14:paraId="1EB47811" w14:textId="70532809" w:rsidR="00271E37" w:rsidRPr="00237ECF" w:rsidRDefault="00271E37">
      <w:r>
        <w:t>The</w:t>
      </w:r>
      <w:r w:rsidRPr="00237ECF">
        <w:t xml:space="preserve"> Group cancelled its Asset Backed Lending (ABL) facility on 30 May 2025 following the disposal of DG Americas. </w:t>
      </w:r>
      <w:r w:rsidR="00375CEA" w:rsidRPr="00375CEA">
        <w:t>This facility had previously been amended in April 2025 to extend its maturity to June 2027 and reduce the maximum facility amount to $100.0 million.</w:t>
      </w:r>
      <w:r w:rsidR="00223B94">
        <w:t xml:space="preserve"> </w:t>
      </w:r>
      <w:r w:rsidR="001426E7" w:rsidRPr="001426E7">
        <w:t xml:space="preserve">During FY2025 the Group had an unsecured overdraft facility provided by HSBC of £8.5 million. This facility was replaced with £15.0 million overdraft facility on 30 May 2025 and was subsequently </w:t>
      </w:r>
      <w:r w:rsidR="008E5FA2" w:rsidRPr="001426E7">
        <w:t>cancelled</w:t>
      </w:r>
      <w:r w:rsidR="001426E7" w:rsidRPr="001426E7">
        <w:t xml:space="preserve"> on introduction of the Receivables Finance </w:t>
      </w:r>
      <w:r w:rsidRPr="00237ECF" w:rsidDel="001426E7">
        <w:t>facility</w:t>
      </w:r>
      <w:r w:rsidR="001426E7" w:rsidRPr="001426E7">
        <w:t>.</w:t>
      </w:r>
      <w:r w:rsidRPr="00237ECF" w:rsidDel="001426E7">
        <w:t xml:space="preserve"> </w:t>
      </w:r>
      <w:r w:rsidRPr="00237ECF">
        <w:t>No additional committed facilities were entered into or cancelled during FY</w:t>
      </w:r>
      <w:r>
        <w:t>20</w:t>
      </w:r>
      <w:r w:rsidRPr="00237ECF">
        <w:t>26.</w:t>
      </w:r>
    </w:p>
    <w:p w14:paraId="0C6EECEF" w14:textId="77777777" w:rsidR="00271E37" w:rsidRDefault="00271E37"/>
    <w:p w14:paraId="16844E9D" w14:textId="4133D170" w:rsidR="00271E37" w:rsidRDefault="00271E37">
      <w:r>
        <w:t xml:space="preserve">At 31 March 2026, the amount drawn under the facility was nil (2025: drawdown under the ABL facility - nil). </w:t>
      </w:r>
    </w:p>
    <w:p w14:paraId="6CC8A2F1" w14:textId="77777777" w:rsidR="00271E37" w:rsidRDefault="00271E37" w:rsidP="002E39D4"/>
    <w:p w14:paraId="681FE372" w14:textId="77777777" w:rsidR="00271E37" w:rsidRPr="00C63151" w:rsidRDefault="00271E37" w:rsidP="002876C8">
      <w:pPr>
        <w:pStyle w:val="Heading3"/>
        <w:rPr>
          <w:sz w:val="16"/>
          <w:szCs w:val="16"/>
        </w:rPr>
      </w:pPr>
      <w:r w:rsidRPr="002876C8">
        <w:rPr>
          <w:sz w:val="16"/>
          <w:szCs w:val="16"/>
        </w:rPr>
        <w:t>Interest</w:t>
      </w:r>
      <w:r w:rsidRPr="00C63151">
        <w:rPr>
          <w:sz w:val="16"/>
          <w:szCs w:val="16"/>
        </w:rPr>
        <w:t xml:space="preserve"> costs and fees</w:t>
      </w:r>
    </w:p>
    <w:p w14:paraId="2A657BD6" w14:textId="77777777" w:rsidR="00271E37" w:rsidRPr="00BC4B4D" w:rsidRDefault="00271E37" w:rsidP="002E39D4">
      <w:pPr>
        <w:rPr>
          <w:b/>
          <w:bCs/>
          <w:i/>
          <w:iCs/>
        </w:rPr>
      </w:pPr>
    </w:p>
    <w:p w14:paraId="124C780B" w14:textId="7BF68C60" w:rsidR="00271E37" w:rsidRPr="00DD406B" w:rsidRDefault="00271E37">
      <w:r w:rsidRPr="00DD406B">
        <w:t xml:space="preserve">Under the Receivables Finance </w:t>
      </w:r>
      <w:r w:rsidR="000E76D0">
        <w:t>f</w:t>
      </w:r>
      <w:r w:rsidRPr="00DD406B">
        <w:t>acility, the Group incurs a discount charge on financed receivables. The discount is calculated daily on the Discounting Account Balance at a rate equal to the applicable Base Rate plus a margin of 1.75% per annum. Base Rates are defined as:</w:t>
      </w:r>
    </w:p>
    <w:p w14:paraId="1AA5F36C" w14:textId="0B7E7BA0" w:rsidR="00271E37" w:rsidRPr="00DD406B" w:rsidRDefault="00271E37" w:rsidP="005B0EAC">
      <w:pPr>
        <w:numPr>
          <w:ilvl w:val="0"/>
          <w:numId w:val="47"/>
        </w:numPr>
      </w:pPr>
      <w:r w:rsidRPr="00DD406B">
        <w:t>GBP – Bank of England base rate</w:t>
      </w:r>
      <w:r w:rsidR="00232B91">
        <w:t>;</w:t>
      </w:r>
    </w:p>
    <w:p w14:paraId="6B783D44" w14:textId="19FD7CDD" w:rsidR="00271E37" w:rsidRPr="00DD406B" w:rsidRDefault="00271E37" w:rsidP="005B0EAC">
      <w:pPr>
        <w:numPr>
          <w:ilvl w:val="0"/>
          <w:numId w:val="47"/>
        </w:numPr>
      </w:pPr>
      <w:r w:rsidRPr="00DD406B">
        <w:t>EUR – European Central Bank base rate</w:t>
      </w:r>
      <w:r w:rsidR="00232B91">
        <w:t>; and</w:t>
      </w:r>
    </w:p>
    <w:p w14:paraId="7ED33B08" w14:textId="036C2A0B" w:rsidR="00271E37" w:rsidRPr="00DD406B" w:rsidRDefault="00271E37" w:rsidP="005B0EAC">
      <w:pPr>
        <w:numPr>
          <w:ilvl w:val="0"/>
          <w:numId w:val="47"/>
        </w:numPr>
      </w:pPr>
      <w:r w:rsidRPr="00DD406B">
        <w:t>USD – Upper limit of the Federal Reserve federal funds target rate</w:t>
      </w:r>
      <w:r w:rsidR="00232B91">
        <w:t>.</w:t>
      </w:r>
    </w:p>
    <w:p w14:paraId="088CA050" w14:textId="77777777" w:rsidR="00271E37" w:rsidRDefault="00271E37">
      <w:r w:rsidRPr="00DD406B">
        <w:t>Additional arrangement and service fees apply; no non</w:t>
      </w:r>
      <w:r w:rsidRPr="00DD406B">
        <w:noBreakHyphen/>
        <w:t>utilisation or commitment fees are charged.</w:t>
      </w:r>
    </w:p>
    <w:p w14:paraId="15EEE106" w14:textId="77777777" w:rsidR="00271E37" w:rsidRDefault="00271E37"/>
    <w:p w14:paraId="083B735B" w14:textId="77777777" w:rsidR="00271E37" w:rsidRDefault="00271E37">
      <w:r w:rsidRPr="00D17E6E">
        <w:t>Loan arrangement fees represent the unamortised costs in arranging the Group facilities. These fees are being amortised on a straight-line basis over the terms of the facilities.</w:t>
      </w:r>
    </w:p>
    <w:p w14:paraId="6BC52B2B" w14:textId="77777777" w:rsidR="00271E37" w:rsidRDefault="00271E37"/>
    <w:p w14:paraId="06160AE8" w14:textId="77777777" w:rsidR="00271E37" w:rsidRPr="00DD406B" w:rsidRDefault="00271E37" w:rsidP="002876C8">
      <w:pPr>
        <w:pStyle w:val="Heading3"/>
        <w:rPr>
          <w:bCs/>
          <w:i/>
          <w:iCs/>
        </w:rPr>
      </w:pPr>
      <w:r w:rsidRPr="002876C8">
        <w:rPr>
          <w:sz w:val="16"/>
          <w:szCs w:val="16"/>
        </w:rPr>
        <w:t>Supplier financing arrangements</w:t>
      </w:r>
    </w:p>
    <w:p w14:paraId="16AD2A8B" w14:textId="77777777" w:rsidR="00271E37" w:rsidRPr="00546C27" w:rsidRDefault="00271E37"/>
    <w:p w14:paraId="0C45DC2F" w14:textId="77777777" w:rsidR="00271E37" w:rsidRPr="00241B30" w:rsidRDefault="00271E37">
      <w:r w:rsidRPr="00322D4B">
        <w:t>The Group participates in supplier financing arrangements with several key customers. Balances arising under these arrangements are recognised as trade receivables until receipt of payment from the customer’s financing bank, at which point the receivable is derecognised.</w:t>
      </w:r>
      <w:r>
        <w:t xml:space="preserve"> </w:t>
      </w:r>
      <w:r w:rsidRPr="00241B30">
        <w:t>These arrangements do not modify the underlying payment terms with customers.</w:t>
      </w:r>
    </w:p>
    <w:p w14:paraId="6F1CA7B3" w14:textId="77777777" w:rsidR="00271E37" w:rsidRPr="00AA3699" w:rsidRDefault="00271E37">
      <w:pPr>
        <w:pStyle w:val="Heading2"/>
      </w:pPr>
      <w:r w:rsidRPr="00AA3699">
        <w:t>16 Deferred income</w:t>
      </w:r>
    </w:p>
    <w:tbl>
      <w:tblPr>
        <w:tblStyle w:val="tableDUL"/>
        <w:tblW w:w="9639" w:type="dxa"/>
        <w:tblLook w:val="04A0" w:firstRow="1" w:lastRow="0" w:firstColumn="1" w:lastColumn="0" w:noHBand="0" w:noVBand="1"/>
      </w:tblPr>
      <w:tblGrid>
        <w:gridCol w:w="7371"/>
        <w:gridCol w:w="1134"/>
        <w:gridCol w:w="1134"/>
      </w:tblGrid>
      <w:tr w:rsidR="00271E37" w:rsidRPr="00AA3699" w14:paraId="339A4ECA" w14:textId="77777777" w:rsidTr="00AA3699">
        <w:trPr>
          <w:trHeight w:val="73"/>
        </w:trPr>
        <w:tc>
          <w:tcPr>
            <w:tcW w:w="0" w:type="auto"/>
            <w:tcBorders>
              <w:bottom w:val="nil"/>
            </w:tcBorders>
          </w:tcPr>
          <w:p w14:paraId="395A79CF" w14:textId="77777777" w:rsidR="00271E37" w:rsidRPr="00AA3699" w:rsidRDefault="00271E37" w:rsidP="00AA3699">
            <w:pPr>
              <w:jc w:val="left"/>
            </w:pPr>
          </w:p>
        </w:tc>
        <w:tc>
          <w:tcPr>
            <w:tcW w:w="1134" w:type="dxa"/>
            <w:tcBorders>
              <w:bottom w:val="nil"/>
            </w:tcBorders>
          </w:tcPr>
          <w:p w14:paraId="5EFFD6BC" w14:textId="77777777" w:rsidR="00271E37" w:rsidRPr="00AA3699" w:rsidRDefault="00271E37" w:rsidP="000923EA">
            <w:pPr>
              <w:rPr>
                <w:b/>
                <w:bCs/>
              </w:rPr>
            </w:pPr>
            <w:r w:rsidRPr="00AA3699">
              <w:rPr>
                <w:b/>
                <w:bCs/>
              </w:rPr>
              <w:t>202</w:t>
            </w:r>
            <w:r>
              <w:rPr>
                <w:b/>
                <w:bCs/>
              </w:rPr>
              <w:t>6</w:t>
            </w:r>
          </w:p>
        </w:tc>
        <w:tc>
          <w:tcPr>
            <w:tcW w:w="1134" w:type="dxa"/>
            <w:tcBorders>
              <w:bottom w:val="nil"/>
            </w:tcBorders>
          </w:tcPr>
          <w:p w14:paraId="17DDD0A7" w14:textId="77777777" w:rsidR="00271E37" w:rsidRPr="00AA3699" w:rsidRDefault="00271E37" w:rsidP="000923EA">
            <w:r w:rsidRPr="00AA3699">
              <w:t>202</w:t>
            </w:r>
            <w:r>
              <w:t>5</w:t>
            </w:r>
          </w:p>
        </w:tc>
      </w:tr>
      <w:tr w:rsidR="00271E37" w:rsidRPr="00AA3699" w14:paraId="3F33E2C9" w14:textId="77777777" w:rsidTr="00AA3699">
        <w:tc>
          <w:tcPr>
            <w:tcW w:w="0" w:type="auto"/>
            <w:tcBorders>
              <w:bottom w:val="single" w:sz="4" w:space="0" w:color="auto"/>
            </w:tcBorders>
          </w:tcPr>
          <w:p w14:paraId="41CD7718" w14:textId="77777777" w:rsidR="00271E37" w:rsidRPr="00AA3699" w:rsidRDefault="00271E37" w:rsidP="00AA3699">
            <w:pPr>
              <w:jc w:val="left"/>
            </w:pPr>
          </w:p>
        </w:tc>
        <w:tc>
          <w:tcPr>
            <w:tcW w:w="1134" w:type="dxa"/>
            <w:tcBorders>
              <w:bottom w:val="single" w:sz="4" w:space="0" w:color="auto"/>
            </w:tcBorders>
          </w:tcPr>
          <w:p w14:paraId="025EBA26" w14:textId="77777777" w:rsidR="00271E37" w:rsidRPr="00AA3699" w:rsidRDefault="00271E37" w:rsidP="000923EA">
            <w:pPr>
              <w:rPr>
                <w:b/>
                <w:bCs/>
              </w:rPr>
            </w:pPr>
            <w:r>
              <w:rPr>
                <w:b/>
                <w:bCs/>
              </w:rPr>
              <w:t>£</w:t>
            </w:r>
            <w:r w:rsidRPr="00AA3699">
              <w:rPr>
                <w:b/>
                <w:bCs/>
              </w:rPr>
              <w:t>000</w:t>
            </w:r>
          </w:p>
        </w:tc>
        <w:tc>
          <w:tcPr>
            <w:tcW w:w="1134" w:type="dxa"/>
            <w:tcBorders>
              <w:bottom w:val="single" w:sz="4" w:space="0" w:color="auto"/>
            </w:tcBorders>
          </w:tcPr>
          <w:p w14:paraId="071802E6" w14:textId="77777777" w:rsidR="00271E37" w:rsidRPr="00AA3699" w:rsidRDefault="00271E37" w:rsidP="000923EA">
            <w:r>
              <w:t>£</w:t>
            </w:r>
            <w:r w:rsidRPr="00AA3699">
              <w:t>000</w:t>
            </w:r>
          </w:p>
        </w:tc>
      </w:tr>
      <w:tr w:rsidR="00271E37" w:rsidRPr="00AA3699" w14:paraId="33BF81AD" w14:textId="77777777">
        <w:tc>
          <w:tcPr>
            <w:tcW w:w="0" w:type="auto"/>
            <w:tcBorders>
              <w:top w:val="single" w:sz="4" w:space="0" w:color="auto"/>
              <w:bottom w:val="nil"/>
            </w:tcBorders>
          </w:tcPr>
          <w:p w14:paraId="44901074" w14:textId="77777777" w:rsidR="00271E37" w:rsidRPr="00AA3699" w:rsidRDefault="00271E37">
            <w:pPr>
              <w:jc w:val="left"/>
              <w:rPr>
                <w:b/>
                <w:bCs/>
              </w:rPr>
            </w:pPr>
            <w:r w:rsidRPr="00AA3699">
              <w:rPr>
                <w:b/>
                <w:bCs/>
              </w:rPr>
              <w:t>Included within non-current liabilities</w:t>
            </w:r>
          </w:p>
        </w:tc>
        <w:tc>
          <w:tcPr>
            <w:tcW w:w="1134" w:type="dxa"/>
            <w:tcBorders>
              <w:top w:val="single" w:sz="4" w:space="0" w:color="auto"/>
              <w:bottom w:val="nil"/>
            </w:tcBorders>
            <w:vAlign w:val="center"/>
          </w:tcPr>
          <w:p w14:paraId="65D3FBB8" w14:textId="77777777" w:rsidR="00271E37" w:rsidRPr="00AA3699" w:rsidRDefault="00271E37">
            <w:pPr>
              <w:rPr>
                <w:b/>
                <w:bCs/>
              </w:rPr>
            </w:pPr>
          </w:p>
        </w:tc>
        <w:tc>
          <w:tcPr>
            <w:tcW w:w="1134" w:type="dxa"/>
            <w:tcBorders>
              <w:top w:val="single" w:sz="4" w:space="0" w:color="auto"/>
              <w:bottom w:val="nil"/>
            </w:tcBorders>
            <w:vAlign w:val="center"/>
          </w:tcPr>
          <w:p w14:paraId="106CA9EC" w14:textId="77777777" w:rsidR="00271E37" w:rsidRPr="00AA3699" w:rsidRDefault="00271E37"/>
        </w:tc>
      </w:tr>
      <w:tr w:rsidR="00271E37" w:rsidRPr="00AA3699" w14:paraId="50144250" w14:textId="77777777">
        <w:tc>
          <w:tcPr>
            <w:tcW w:w="0" w:type="auto"/>
            <w:tcBorders>
              <w:bottom w:val="single" w:sz="4" w:space="0" w:color="auto"/>
            </w:tcBorders>
          </w:tcPr>
          <w:p w14:paraId="54DE9380" w14:textId="77777777" w:rsidR="00271E37" w:rsidRPr="00AA3699" w:rsidRDefault="00271E37">
            <w:pPr>
              <w:jc w:val="left"/>
            </w:pPr>
            <w:r w:rsidRPr="00AA3699">
              <w:t>Deferred grant income</w:t>
            </w:r>
          </w:p>
        </w:tc>
        <w:tc>
          <w:tcPr>
            <w:tcW w:w="1134" w:type="dxa"/>
            <w:tcBorders>
              <w:bottom w:val="single" w:sz="4" w:space="0" w:color="auto"/>
            </w:tcBorders>
            <w:vAlign w:val="center"/>
          </w:tcPr>
          <w:p w14:paraId="79CD848A" w14:textId="77777777" w:rsidR="00271E37" w:rsidRPr="00AA3699" w:rsidRDefault="00271E37">
            <w:pPr>
              <w:rPr>
                <w:b/>
                <w:bCs/>
              </w:rPr>
            </w:pPr>
            <w:r>
              <w:rPr>
                <w:rFonts w:cs="Arial"/>
                <w:b/>
                <w:bCs/>
                <w:color w:val="000000"/>
                <w:szCs w:val="16"/>
              </w:rPr>
              <w:t xml:space="preserve">133 </w:t>
            </w:r>
          </w:p>
        </w:tc>
        <w:tc>
          <w:tcPr>
            <w:tcW w:w="1134" w:type="dxa"/>
            <w:tcBorders>
              <w:bottom w:val="single" w:sz="4" w:space="0" w:color="auto"/>
            </w:tcBorders>
            <w:vAlign w:val="center"/>
          </w:tcPr>
          <w:p w14:paraId="5C62A9AD" w14:textId="77777777" w:rsidR="00271E37" w:rsidRPr="00BA2984" w:rsidRDefault="00271E37">
            <w:r w:rsidRPr="00BA2984">
              <w:rPr>
                <w:rFonts w:cs="Arial"/>
                <w:color w:val="000000"/>
                <w:szCs w:val="16"/>
              </w:rPr>
              <w:t xml:space="preserve">1,630 </w:t>
            </w:r>
          </w:p>
        </w:tc>
      </w:tr>
      <w:tr w:rsidR="00271E37" w:rsidRPr="00AA3699" w14:paraId="3E1DDAD3" w14:textId="77777777">
        <w:tc>
          <w:tcPr>
            <w:tcW w:w="0" w:type="auto"/>
            <w:tcBorders>
              <w:top w:val="single" w:sz="4" w:space="0" w:color="auto"/>
            </w:tcBorders>
          </w:tcPr>
          <w:p w14:paraId="3440E98E" w14:textId="77777777" w:rsidR="00271E37" w:rsidRPr="00AA3699" w:rsidRDefault="00271E37">
            <w:pPr>
              <w:jc w:val="left"/>
              <w:rPr>
                <w:b/>
                <w:bCs/>
              </w:rPr>
            </w:pPr>
            <w:r w:rsidRPr="00AA3699">
              <w:rPr>
                <w:b/>
                <w:bCs/>
              </w:rPr>
              <w:t>Included within current liabilities</w:t>
            </w:r>
          </w:p>
        </w:tc>
        <w:tc>
          <w:tcPr>
            <w:tcW w:w="1134" w:type="dxa"/>
            <w:tcBorders>
              <w:top w:val="single" w:sz="4" w:space="0" w:color="auto"/>
            </w:tcBorders>
            <w:vAlign w:val="center"/>
          </w:tcPr>
          <w:p w14:paraId="394CB50B" w14:textId="77777777" w:rsidR="00271E37" w:rsidRPr="00AA3699" w:rsidRDefault="00271E37">
            <w:pPr>
              <w:rPr>
                <w:b/>
                <w:bCs/>
              </w:rPr>
            </w:pPr>
          </w:p>
        </w:tc>
        <w:tc>
          <w:tcPr>
            <w:tcW w:w="1134" w:type="dxa"/>
            <w:tcBorders>
              <w:top w:val="single" w:sz="4" w:space="0" w:color="auto"/>
            </w:tcBorders>
            <w:vAlign w:val="center"/>
          </w:tcPr>
          <w:p w14:paraId="4ECA3346" w14:textId="77777777" w:rsidR="00271E37" w:rsidRPr="00BA2984" w:rsidRDefault="00271E37"/>
        </w:tc>
      </w:tr>
      <w:tr w:rsidR="00271E37" w:rsidRPr="00AA3699" w14:paraId="0D5DD50F" w14:textId="77777777">
        <w:tc>
          <w:tcPr>
            <w:tcW w:w="0" w:type="auto"/>
            <w:tcBorders>
              <w:bottom w:val="nil"/>
            </w:tcBorders>
          </w:tcPr>
          <w:p w14:paraId="1A6094B1" w14:textId="77777777" w:rsidR="00271E37" w:rsidRPr="00AA3699" w:rsidRDefault="00271E37">
            <w:pPr>
              <w:jc w:val="left"/>
            </w:pPr>
            <w:r w:rsidRPr="00AA3699">
              <w:t>Deferred grant income</w:t>
            </w:r>
          </w:p>
        </w:tc>
        <w:tc>
          <w:tcPr>
            <w:tcW w:w="1134" w:type="dxa"/>
            <w:tcBorders>
              <w:bottom w:val="nil"/>
            </w:tcBorders>
            <w:vAlign w:val="center"/>
          </w:tcPr>
          <w:p w14:paraId="0634FB15" w14:textId="77777777" w:rsidR="00271E37" w:rsidRPr="00AA3699" w:rsidRDefault="00271E37">
            <w:pPr>
              <w:rPr>
                <w:b/>
                <w:bCs/>
              </w:rPr>
            </w:pPr>
            <w:r>
              <w:rPr>
                <w:rFonts w:cs="Arial"/>
                <w:b/>
                <w:bCs/>
                <w:color w:val="000000"/>
                <w:szCs w:val="16"/>
              </w:rPr>
              <w:t xml:space="preserve">66 </w:t>
            </w:r>
          </w:p>
        </w:tc>
        <w:tc>
          <w:tcPr>
            <w:tcW w:w="1134" w:type="dxa"/>
            <w:tcBorders>
              <w:bottom w:val="nil"/>
            </w:tcBorders>
            <w:vAlign w:val="center"/>
          </w:tcPr>
          <w:p w14:paraId="3991119F" w14:textId="77777777" w:rsidR="00271E37" w:rsidRPr="00BA2984" w:rsidRDefault="00271E37">
            <w:r w:rsidRPr="00BA2984">
              <w:rPr>
                <w:rFonts w:cs="Arial"/>
                <w:color w:val="000000"/>
                <w:szCs w:val="16"/>
              </w:rPr>
              <w:t xml:space="preserve">197 </w:t>
            </w:r>
          </w:p>
        </w:tc>
      </w:tr>
      <w:tr w:rsidR="00271E37" w:rsidRPr="00AA3699" w14:paraId="72A97B1E" w14:textId="77777777">
        <w:tc>
          <w:tcPr>
            <w:tcW w:w="0" w:type="auto"/>
            <w:tcBorders>
              <w:bottom w:val="single" w:sz="4" w:space="0" w:color="auto"/>
            </w:tcBorders>
          </w:tcPr>
          <w:p w14:paraId="63C3612F" w14:textId="77777777" w:rsidR="00271E37" w:rsidRPr="00AA3699" w:rsidRDefault="00271E37">
            <w:pPr>
              <w:jc w:val="left"/>
            </w:pPr>
            <w:r w:rsidRPr="00AA3699">
              <w:t>Other deferred income</w:t>
            </w:r>
          </w:p>
        </w:tc>
        <w:tc>
          <w:tcPr>
            <w:tcW w:w="1134" w:type="dxa"/>
            <w:tcBorders>
              <w:bottom w:val="single" w:sz="4" w:space="0" w:color="auto"/>
            </w:tcBorders>
            <w:vAlign w:val="center"/>
          </w:tcPr>
          <w:p w14:paraId="597445E1" w14:textId="77777777" w:rsidR="00271E37" w:rsidRPr="00AA3699" w:rsidRDefault="00271E37">
            <w:pPr>
              <w:rPr>
                <w:b/>
                <w:bCs/>
              </w:rPr>
            </w:pPr>
            <w:r>
              <w:rPr>
                <w:rFonts w:cs="Arial"/>
                <w:b/>
                <w:bCs/>
                <w:color w:val="000000"/>
                <w:szCs w:val="16"/>
              </w:rPr>
              <w:t xml:space="preserve">30 </w:t>
            </w:r>
          </w:p>
        </w:tc>
        <w:tc>
          <w:tcPr>
            <w:tcW w:w="1134" w:type="dxa"/>
            <w:tcBorders>
              <w:bottom w:val="single" w:sz="4" w:space="0" w:color="auto"/>
            </w:tcBorders>
            <w:vAlign w:val="center"/>
          </w:tcPr>
          <w:p w14:paraId="5CA9A19A" w14:textId="77777777" w:rsidR="00271E37" w:rsidRPr="00BA2984" w:rsidRDefault="00271E37">
            <w:r w:rsidRPr="00BA2984">
              <w:rPr>
                <w:rFonts w:cs="Arial"/>
                <w:color w:val="000000"/>
                <w:szCs w:val="16"/>
              </w:rPr>
              <w:t xml:space="preserve">6 </w:t>
            </w:r>
          </w:p>
        </w:tc>
      </w:tr>
      <w:tr w:rsidR="00271E37" w:rsidRPr="00AA3699" w14:paraId="2135A22F" w14:textId="77777777">
        <w:tc>
          <w:tcPr>
            <w:tcW w:w="0" w:type="auto"/>
            <w:tcBorders>
              <w:top w:val="single" w:sz="4" w:space="0" w:color="auto"/>
            </w:tcBorders>
          </w:tcPr>
          <w:p w14:paraId="6AE5167F" w14:textId="77777777" w:rsidR="00271E37" w:rsidRPr="00AA3699" w:rsidRDefault="00271E37">
            <w:pPr>
              <w:jc w:val="left"/>
            </w:pPr>
          </w:p>
        </w:tc>
        <w:tc>
          <w:tcPr>
            <w:tcW w:w="1134" w:type="dxa"/>
            <w:tcBorders>
              <w:top w:val="single" w:sz="4" w:space="0" w:color="auto"/>
            </w:tcBorders>
            <w:vAlign w:val="center"/>
          </w:tcPr>
          <w:p w14:paraId="719CF5DA" w14:textId="77777777" w:rsidR="00271E37" w:rsidRPr="00AA3699" w:rsidRDefault="00271E37">
            <w:pPr>
              <w:rPr>
                <w:b/>
                <w:bCs/>
              </w:rPr>
            </w:pPr>
            <w:r>
              <w:rPr>
                <w:rFonts w:cs="Arial"/>
                <w:b/>
                <w:bCs/>
                <w:color w:val="000000"/>
                <w:szCs w:val="16"/>
              </w:rPr>
              <w:t xml:space="preserve">96 </w:t>
            </w:r>
          </w:p>
        </w:tc>
        <w:tc>
          <w:tcPr>
            <w:tcW w:w="1134" w:type="dxa"/>
            <w:tcBorders>
              <w:top w:val="single" w:sz="4" w:space="0" w:color="auto"/>
            </w:tcBorders>
            <w:vAlign w:val="center"/>
          </w:tcPr>
          <w:p w14:paraId="2D90A5CE" w14:textId="77777777" w:rsidR="00271E37" w:rsidRPr="00BA2984" w:rsidRDefault="00271E37">
            <w:r w:rsidRPr="00BA2984">
              <w:rPr>
                <w:rFonts w:cs="Arial"/>
                <w:color w:val="000000"/>
                <w:szCs w:val="16"/>
              </w:rPr>
              <w:t xml:space="preserve">203 </w:t>
            </w:r>
          </w:p>
        </w:tc>
      </w:tr>
    </w:tbl>
    <w:p w14:paraId="219BB074" w14:textId="77777777" w:rsidR="00271E37" w:rsidRDefault="00271E37" w:rsidP="002E39D4"/>
    <w:p w14:paraId="6CCD21A3" w14:textId="77777777" w:rsidR="00271E37" w:rsidRPr="00AA3699" w:rsidRDefault="00271E37" w:rsidP="002E39D4">
      <w:pPr>
        <w:rPr>
          <w:b/>
          <w:bCs/>
        </w:rPr>
      </w:pPr>
      <w:r w:rsidRPr="00A6768D">
        <w:t>The deferred grant income is in respect of government grants relating to the development of the Penallta site in Wales.</w:t>
      </w:r>
      <w:r>
        <w:t xml:space="preserve"> </w:t>
      </w:r>
      <w:r w:rsidRPr="00A6768D">
        <w:t>Deferred income is being released in line with the depreciation of the assets for which the grant is related to.</w:t>
      </w:r>
    </w:p>
    <w:p w14:paraId="14905FB5" w14:textId="77777777" w:rsidR="00271E37" w:rsidRPr="00AA3699" w:rsidRDefault="00271E37">
      <w:pPr>
        <w:pStyle w:val="Heading2"/>
      </w:pPr>
      <w:r w:rsidRPr="00AA3699">
        <w:t>17 Provisions</w:t>
      </w:r>
    </w:p>
    <w:tbl>
      <w:tblPr>
        <w:tblStyle w:val="tableDUL"/>
        <w:tblW w:w="9639" w:type="dxa"/>
        <w:tblLook w:val="04A0" w:firstRow="1" w:lastRow="0" w:firstColumn="1" w:lastColumn="0" w:noHBand="0" w:noVBand="1"/>
      </w:tblPr>
      <w:tblGrid>
        <w:gridCol w:w="5103"/>
        <w:gridCol w:w="1134"/>
        <w:gridCol w:w="1134"/>
        <w:gridCol w:w="1134"/>
        <w:gridCol w:w="1134"/>
      </w:tblGrid>
      <w:tr w:rsidR="00271E37" w:rsidRPr="00AA3699" w14:paraId="0FD7E2EA" w14:textId="77777777" w:rsidTr="00AA3699">
        <w:tc>
          <w:tcPr>
            <w:tcW w:w="0" w:type="auto"/>
          </w:tcPr>
          <w:p w14:paraId="01B44F0A" w14:textId="77777777" w:rsidR="00271E37" w:rsidRPr="00AA3699" w:rsidRDefault="00271E37" w:rsidP="00AA3699">
            <w:pPr>
              <w:jc w:val="left"/>
            </w:pPr>
          </w:p>
        </w:tc>
        <w:tc>
          <w:tcPr>
            <w:tcW w:w="1134" w:type="dxa"/>
          </w:tcPr>
          <w:p w14:paraId="7D48F384" w14:textId="77777777" w:rsidR="00271E37" w:rsidRPr="00AA3699" w:rsidRDefault="00271E37" w:rsidP="000923EA"/>
        </w:tc>
        <w:tc>
          <w:tcPr>
            <w:tcW w:w="1134" w:type="dxa"/>
          </w:tcPr>
          <w:p w14:paraId="72B31AB2" w14:textId="77777777" w:rsidR="00271E37" w:rsidRPr="00AA3699" w:rsidRDefault="00271E37" w:rsidP="000923EA">
            <w:r w:rsidRPr="00AA3699">
              <w:t xml:space="preserve">Duties, </w:t>
            </w:r>
          </w:p>
        </w:tc>
        <w:tc>
          <w:tcPr>
            <w:tcW w:w="1134" w:type="dxa"/>
          </w:tcPr>
          <w:p w14:paraId="5C14064A" w14:textId="77777777" w:rsidR="00271E37" w:rsidRPr="00AA3699" w:rsidRDefault="00271E37" w:rsidP="000923EA"/>
        </w:tc>
        <w:tc>
          <w:tcPr>
            <w:tcW w:w="1134" w:type="dxa"/>
          </w:tcPr>
          <w:p w14:paraId="074226D1" w14:textId="77777777" w:rsidR="00271E37" w:rsidRPr="00AA3699" w:rsidRDefault="00271E37" w:rsidP="000923EA"/>
        </w:tc>
      </w:tr>
      <w:tr w:rsidR="00271E37" w:rsidRPr="00AA3699" w14:paraId="01FA7D06" w14:textId="77777777" w:rsidTr="00AA3699">
        <w:tc>
          <w:tcPr>
            <w:tcW w:w="0" w:type="auto"/>
          </w:tcPr>
          <w:p w14:paraId="6828ED51" w14:textId="77777777" w:rsidR="00271E37" w:rsidRPr="00AA3699" w:rsidRDefault="00271E37" w:rsidP="00AA3699">
            <w:pPr>
              <w:jc w:val="left"/>
            </w:pPr>
          </w:p>
        </w:tc>
        <w:tc>
          <w:tcPr>
            <w:tcW w:w="1134" w:type="dxa"/>
          </w:tcPr>
          <w:p w14:paraId="0525331E" w14:textId="77777777" w:rsidR="00271E37" w:rsidRPr="00AA3699" w:rsidRDefault="00271E37" w:rsidP="000923EA"/>
        </w:tc>
        <w:tc>
          <w:tcPr>
            <w:tcW w:w="1134" w:type="dxa"/>
          </w:tcPr>
          <w:p w14:paraId="7F26AE95" w14:textId="77777777" w:rsidR="00271E37" w:rsidRPr="00AA3699" w:rsidRDefault="00271E37" w:rsidP="000923EA">
            <w:r w:rsidRPr="00AA3699">
              <w:t xml:space="preserve">interest and </w:t>
            </w:r>
          </w:p>
        </w:tc>
        <w:tc>
          <w:tcPr>
            <w:tcW w:w="1134" w:type="dxa"/>
          </w:tcPr>
          <w:p w14:paraId="0A047C2C" w14:textId="77777777" w:rsidR="00271E37" w:rsidRPr="00AA3699" w:rsidRDefault="00271E37" w:rsidP="000923EA"/>
        </w:tc>
        <w:tc>
          <w:tcPr>
            <w:tcW w:w="1134" w:type="dxa"/>
          </w:tcPr>
          <w:p w14:paraId="691C6924" w14:textId="77777777" w:rsidR="00271E37" w:rsidRPr="00AA3699" w:rsidRDefault="00271E37" w:rsidP="000923EA"/>
        </w:tc>
      </w:tr>
      <w:tr w:rsidR="00271E37" w:rsidRPr="00AA3699" w14:paraId="641DE51A" w14:textId="77777777" w:rsidTr="00AA3699">
        <w:tc>
          <w:tcPr>
            <w:tcW w:w="0" w:type="auto"/>
            <w:tcBorders>
              <w:bottom w:val="nil"/>
            </w:tcBorders>
          </w:tcPr>
          <w:p w14:paraId="019AF4B9" w14:textId="77777777" w:rsidR="00271E37" w:rsidRPr="00AA3699" w:rsidRDefault="00271E37" w:rsidP="00AA3699">
            <w:pPr>
              <w:jc w:val="left"/>
            </w:pPr>
          </w:p>
        </w:tc>
        <w:tc>
          <w:tcPr>
            <w:tcW w:w="1134" w:type="dxa"/>
            <w:tcBorders>
              <w:bottom w:val="nil"/>
            </w:tcBorders>
          </w:tcPr>
          <w:p w14:paraId="30AB10C3" w14:textId="77777777" w:rsidR="00271E37" w:rsidRPr="00AA3699" w:rsidRDefault="00271E37" w:rsidP="000923EA">
            <w:r w:rsidRPr="00AA3699">
              <w:t>Propert</w:t>
            </w:r>
            <w:r>
              <w:t>ies</w:t>
            </w:r>
          </w:p>
        </w:tc>
        <w:tc>
          <w:tcPr>
            <w:tcW w:w="1134" w:type="dxa"/>
            <w:tcBorders>
              <w:bottom w:val="nil"/>
            </w:tcBorders>
          </w:tcPr>
          <w:p w14:paraId="2DAED21E" w14:textId="77777777" w:rsidR="00271E37" w:rsidRPr="00AA3699" w:rsidRDefault="00271E37" w:rsidP="000923EA">
            <w:r w:rsidRPr="00AA3699">
              <w:t>penalties</w:t>
            </w:r>
          </w:p>
        </w:tc>
        <w:tc>
          <w:tcPr>
            <w:tcW w:w="1134" w:type="dxa"/>
            <w:tcBorders>
              <w:bottom w:val="nil"/>
            </w:tcBorders>
          </w:tcPr>
          <w:p w14:paraId="26BF81F5" w14:textId="77777777" w:rsidR="00271E37" w:rsidRPr="00AA3699" w:rsidRDefault="00271E37" w:rsidP="000923EA">
            <w:r w:rsidRPr="00AA3699">
              <w:t>Other</w:t>
            </w:r>
          </w:p>
        </w:tc>
        <w:tc>
          <w:tcPr>
            <w:tcW w:w="1134" w:type="dxa"/>
            <w:tcBorders>
              <w:bottom w:val="nil"/>
            </w:tcBorders>
          </w:tcPr>
          <w:p w14:paraId="1BE966EA" w14:textId="77777777" w:rsidR="00271E37" w:rsidRPr="00AA3699" w:rsidRDefault="00271E37" w:rsidP="000923EA">
            <w:r w:rsidRPr="00AA3699">
              <w:t>Total</w:t>
            </w:r>
          </w:p>
        </w:tc>
      </w:tr>
      <w:tr w:rsidR="00271E37" w:rsidRPr="00AA3699" w14:paraId="4368B250" w14:textId="77777777" w:rsidTr="00AA3699">
        <w:tc>
          <w:tcPr>
            <w:tcW w:w="0" w:type="auto"/>
            <w:tcBorders>
              <w:bottom w:val="single" w:sz="4" w:space="0" w:color="auto"/>
            </w:tcBorders>
          </w:tcPr>
          <w:p w14:paraId="69EB0094" w14:textId="77777777" w:rsidR="00271E37" w:rsidRPr="00AA3699" w:rsidRDefault="00271E37" w:rsidP="00AA3699">
            <w:pPr>
              <w:jc w:val="left"/>
            </w:pPr>
          </w:p>
        </w:tc>
        <w:tc>
          <w:tcPr>
            <w:tcW w:w="1134" w:type="dxa"/>
            <w:tcBorders>
              <w:bottom w:val="single" w:sz="4" w:space="0" w:color="auto"/>
            </w:tcBorders>
          </w:tcPr>
          <w:p w14:paraId="77822619" w14:textId="77777777" w:rsidR="00271E37" w:rsidRPr="00AA3699" w:rsidRDefault="00271E37" w:rsidP="000923EA">
            <w:r>
              <w:t>£</w:t>
            </w:r>
            <w:r w:rsidRPr="00AA3699">
              <w:t>000</w:t>
            </w:r>
          </w:p>
        </w:tc>
        <w:tc>
          <w:tcPr>
            <w:tcW w:w="1134" w:type="dxa"/>
            <w:tcBorders>
              <w:bottom w:val="single" w:sz="4" w:space="0" w:color="auto"/>
            </w:tcBorders>
          </w:tcPr>
          <w:p w14:paraId="56FC8258" w14:textId="77777777" w:rsidR="00271E37" w:rsidRPr="00AA3699" w:rsidRDefault="00271E37" w:rsidP="000923EA">
            <w:r>
              <w:t>£</w:t>
            </w:r>
            <w:r w:rsidRPr="00AA3699">
              <w:t>000</w:t>
            </w:r>
          </w:p>
        </w:tc>
        <w:tc>
          <w:tcPr>
            <w:tcW w:w="1134" w:type="dxa"/>
            <w:tcBorders>
              <w:bottom w:val="single" w:sz="4" w:space="0" w:color="auto"/>
            </w:tcBorders>
          </w:tcPr>
          <w:p w14:paraId="30214E26" w14:textId="77777777" w:rsidR="00271E37" w:rsidRPr="00AA3699" w:rsidRDefault="00271E37" w:rsidP="000923EA">
            <w:r>
              <w:t>£</w:t>
            </w:r>
            <w:r w:rsidRPr="00AA3699">
              <w:t>000</w:t>
            </w:r>
          </w:p>
        </w:tc>
        <w:tc>
          <w:tcPr>
            <w:tcW w:w="1134" w:type="dxa"/>
            <w:tcBorders>
              <w:bottom w:val="single" w:sz="4" w:space="0" w:color="auto"/>
            </w:tcBorders>
          </w:tcPr>
          <w:p w14:paraId="08BFDC07" w14:textId="77777777" w:rsidR="00271E37" w:rsidRPr="00AA3699" w:rsidRDefault="00271E37" w:rsidP="000923EA">
            <w:r>
              <w:t>£</w:t>
            </w:r>
            <w:r w:rsidRPr="00AA3699">
              <w:t>000</w:t>
            </w:r>
          </w:p>
        </w:tc>
      </w:tr>
      <w:tr w:rsidR="00271E37" w:rsidRPr="00AA3699" w14:paraId="0A37F1DD" w14:textId="77777777">
        <w:tc>
          <w:tcPr>
            <w:tcW w:w="0" w:type="auto"/>
            <w:tcBorders>
              <w:top w:val="single" w:sz="4" w:space="0" w:color="auto"/>
            </w:tcBorders>
          </w:tcPr>
          <w:p w14:paraId="228D82A1" w14:textId="77777777" w:rsidR="00271E37" w:rsidRPr="00AA3699" w:rsidRDefault="00271E37">
            <w:pPr>
              <w:jc w:val="left"/>
            </w:pPr>
            <w:r w:rsidRPr="00AA3699">
              <w:t>Balance at 1 April 202</w:t>
            </w:r>
            <w:r>
              <w:t>4</w:t>
            </w:r>
          </w:p>
        </w:tc>
        <w:tc>
          <w:tcPr>
            <w:tcW w:w="1134" w:type="dxa"/>
            <w:tcBorders>
              <w:top w:val="single" w:sz="4" w:space="0" w:color="auto"/>
            </w:tcBorders>
            <w:vAlign w:val="center"/>
          </w:tcPr>
          <w:p w14:paraId="29D90C9E" w14:textId="77777777" w:rsidR="00271E37" w:rsidRPr="00C016EE" w:rsidRDefault="00271E37">
            <w:r w:rsidRPr="00C016EE">
              <w:rPr>
                <w:rFonts w:cs="Arial"/>
                <w:szCs w:val="16"/>
              </w:rPr>
              <w:t xml:space="preserve">3,505 </w:t>
            </w:r>
          </w:p>
        </w:tc>
        <w:tc>
          <w:tcPr>
            <w:tcW w:w="1134" w:type="dxa"/>
            <w:tcBorders>
              <w:top w:val="single" w:sz="4" w:space="0" w:color="auto"/>
            </w:tcBorders>
            <w:vAlign w:val="center"/>
          </w:tcPr>
          <w:p w14:paraId="06C5D0BC" w14:textId="77777777" w:rsidR="00271E37" w:rsidRPr="00C016EE" w:rsidRDefault="00271E37">
            <w:r w:rsidRPr="00C016EE">
              <w:rPr>
                <w:rFonts w:cs="Arial"/>
                <w:szCs w:val="16"/>
              </w:rPr>
              <w:t xml:space="preserve">4,329 </w:t>
            </w:r>
          </w:p>
        </w:tc>
        <w:tc>
          <w:tcPr>
            <w:tcW w:w="1134" w:type="dxa"/>
            <w:tcBorders>
              <w:top w:val="single" w:sz="4" w:space="0" w:color="auto"/>
            </w:tcBorders>
            <w:vAlign w:val="center"/>
          </w:tcPr>
          <w:p w14:paraId="6DE56CC6" w14:textId="77777777" w:rsidR="00271E37" w:rsidRPr="00C016EE" w:rsidRDefault="00271E37">
            <w:r w:rsidRPr="00C016EE">
              <w:rPr>
                <w:rFonts w:cs="Arial"/>
                <w:szCs w:val="16"/>
              </w:rPr>
              <w:t xml:space="preserve">347 </w:t>
            </w:r>
          </w:p>
        </w:tc>
        <w:tc>
          <w:tcPr>
            <w:tcW w:w="1134" w:type="dxa"/>
            <w:tcBorders>
              <w:top w:val="single" w:sz="4" w:space="0" w:color="auto"/>
            </w:tcBorders>
            <w:vAlign w:val="center"/>
          </w:tcPr>
          <w:p w14:paraId="158AD5C7" w14:textId="77777777" w:rsidR="00271E37" w:rsidRPr="00C016EE" w:rsidRDefault="00271E37">
            <w:r w:rsidRPr="00C016EE">
              <w:rPr>
                <w:rFonts w:cs="Arial"/>
                <w:szCs w:val="16"/>
              </w:rPr>
              <w:t xml:space="preserve">8,181 </w:t>
            </w:r>
          </w:p>
        </w:tc>
      </w:tr>
      <w:tr w:rsidR="00271E37" w:rsidRPr="00AA3699" w14:paraId="1F20B87F" w14:textId="77777777">
        <w:tc>
          <w:tcPr>
            <w:tcW w:w="0" w:type="auto"/>
          </w:tcPr>
          <w:p w14:paraId="1F46521A" w14:textId="77777777" w:rsidR="00271E37" w:rsidRPr="00AA3699" w:rsidRDefault="00271E37">
            <w:pPr>
              <w:jc w:val="left"/>
            </w:pPr>
            <w:r w:rsidRPr="00AA3699">
              <w:t>Provisions made in the year</w:t>
            </w:r>
          </w:p>
        </w:tc>
        <w:tc>
          <w:tcPr>
            <w:tcW w:w="1134" w:type="dxa"/>
            <w:vAlign w:val="center"/>
          </w:tcPr>
          <w:p w14:paraId="67C8665E" w14:textId="77777777" w:rsidR="00271E37" w:rsidRPr="00C016EE" w:rsidRDefault="00271E37">
            <w:r w:rsidRPr="00C016EE">
              <w:rPr>
                <w:rFonts w:cs="Arial"/>
                <w:szCs w:val="16"/>
              </w:rPr>
              <w:t xml:space="preserve">191 </w:t>
            </w:r>
          </w:p>
        </w:tc>
        <w:tc>
          <w:tcPr>
            <w:tcW w:w="1134" w:type="dxa"/>
            <w:vAlign w:val="center"/>
          </w:tcPr>
          <w:p w14:paraId="0E0C0376" w14:textId="77777777" w:rsidR="00271E37" w:rsidRPr="00C016EE" w:rsidRDefault="00271E37">
            <w:r w:rsidRPr="00C016EE">
              <w:rPr>
                <w:rFonts w:cs="Arial"/>
                <w:szCs w:val="16"/>
              </w:rPr>
              <w:t xml:space="preserve"> - </w:t>
            </w:r>
          </w:p>
        </w:tc>
        <w:tc>
          <w:tcPr>
            <w:tcW w:w="1134" w:type="dxa"/>
            <w:vAlign w:val="center"/>
          </w:tcPr>
          <w:p w14:paraId="7DED7B23" w14:textId="77777777" w:rsidR="00271E37" w:rsidRPr="00C016EE" w:rsidRDefault="00271E37">
            <w:r w:rsidRPr="00C016EE">
              <w:rPr>
                <w:rFonts w:cs="Arial"/>
                <w:szCs w:val="16"/>
              </w:rPr>
              <w:t xml:space="preserve">121 </w:t>
            </w:r>
          </w:p>
        </w:tc>
        <w:tc>
          <w:tcPr>
            <w:tcW w:w="1134" w:type="dxa"/>
            <w:vAlign w:val="center"/>
          </w:tcPr>
          <w:p w14:paraId="1A99F38A" w14:textId="77777777" w:rsidR="00271E37" w:rsidRPr="00C016EE" w:rsidRDefault="00271E37">
            <w:r w:rsidRPr="00C016EE">
              <w:rPr>
                <w:rFonts w:cs="Arial"/>
                <w:szCs w:val="16"/>
              </w:rPr>
              <w:t xml:space="preserve">312 </w:t>
            </w:r>
          </w:p>
        </w:tc>
      </w:tr>
      <w:tr w:rsidR="00271E37" w:rsidRPr="00AA3699" w14:paraId="15404019" w14:textId="77777777">
        <w:tc>
          <w:tcPr>
            <w:tcW w:w="0" w:type="auto"/>
          </w:tcPr>
          <w:p w14:paraId="45529EED" w14:textId="77777777" w:rsidR="00271E37" w:rsidRPr="00AA3699" w:rsidRDefault="00271E37">
            <w:pPr>
              <w:jc w:val="left"/>
            </w:pPr>
            <w:r w:rsidRPr="00AA3699">
              <w:t>Provisions released during the year</w:t>
            </w:r>
          </w:p>
        </w:tc>
        <w:tc>
          <w:tcPr>
            <w:tcW w:w="1134" w:type="dxa"/>
            <w:vAlign w:val="center"/>
          </w:tcPr>
          <w:p w14:paraId="0DA7CC2F" w14:textId="77777777" w:rsidR="00271E37" w:rsidRPr="00C016EE" w:rsidRDefault="00271E37">
            <w:r w:rsidRPr="00C016EE">
              <w:rPr>
                <w:rFonts w:cs="Arial"/>
                <w:szCs w:val="16"/>
              </w:rPr>
              <w:t>(128)</w:t>
            </w:r>
          </w:p>
        </w:tc>
        <w:tc>
          <w:tcPr>
            <w:tcW w:w="1134" w:type="dxa"/>
            <w:vAlign w:val="center"/>
          </w:tcPr>
          <w:p w14:paraId="7950D1A1" w14:textId="77777777" w:rsidR="00271E37" w:rsidRPr="00C016EE" w:rsidRDefault="00271E37">
            <w:r w:rsidRPr="00C016EE">
              <w:rPr>
                <w:rFonts w:cs="Arial"/>
                <w:szCs w:val="16"/>
              </w:rPr>
              <w:t>(3,850)</w:t>
            </w:r>
          </w:p>
        </w:tc>
        <w:tc>
          <w:tcPr>
            <w:tcW w:w="1134" w:type="dxa"/>
            <w:vAlign w:val="center"/>
          </w:tcPr>
          <w:p w14:paraId="2C871449" w14:textId="77777777" w:rsidR="00271E37" w:rsidRPr="00C016EE" w:rsidRDefault="00271E37">
            <w:r w:rsidRPr="00C016EE">
              <w:rPr>
                <w:rFonts w:cs="Arial"/>
                <w:szCs w:val="16"/>
              </w:rPr>
              <w:t>(210)</w:t>
            </w:r>
          </w:p>
        </w:tc>
        <w:tc>
          <w:tcPr>
            <w:tcW w:w="1134" w:type="dxa"/>
            <w:vAlign w:val="center"/>
          </w:tcPr>
          <w:p w14:paraId="552205AA" w14:textId="77777777" w:rsidR="00271E37" w:rsidRPr="00C016EE" w:rsidRDefault="00271E37">
            <w:r w:rsidRPr="00C016EE">
              <w:rPr>
                <w:rFonts w:cs="Arial"/>
                <w:szCs w:val="16"/>
              </w:rPr>
              <w:t>(4,188)</w:t>
            </w:r>
          </w:p>
        </w:tc>
      </w:tr>
      <w:tr w:rsidR="00271E37" w:rsidRPr="00AA3699" w14:paraId="3F15239E" w14:textId="77777777">
        <w:tc>
          <w:tcPr>
            <w:tcW w:w="0" w:type="auto"/>
          </w:tcPr>
          <w:p w14:paraId="5CE7C3CA" w14:textId="77777777" w:rsidR="00271E37" w:rsidRPr="00AA3699" w:rsidRDefault="00271E37">
            <w:pPr>
              <w:jc w:val="left"/>
            </w:pPr>
            <w:r w:rsidRPr="00AA3699">
              <w:t>Unwinding of fair value discounts</w:t>
            </w:r>
          </w:p>
        </w:tc>
        <w:tc>
          <w:tcPr>
            <w:tcW w:w="1134" w:type="dxa"/>
            <w:vAlign w:val="center"/>
          </w:tcPr>
          <w:p w14:paraId="424F0BE0" w14:textId="77777777" w:rsidR="00271E37" w:rsidRPr="00C016EE" w:rsidRDefault="00271E37">
            <w:r w:rsidRPr="00C016EE">
              <w:rPr>
                <w:rFonts w:cs="Arial"/>
                <w:szCs w:val="16"/>
              </w:rPr>
              <w:t xml:space="preserve">63 </w:t>
            </w:r>
          </w:p>
        </w:tc>
        <w:tc>
          <w:tcPr>
            <w:tcW w:w="1134" w:type="dxa"/>
            <w:vAlign w:val="center"/>
          </w:tcPr>
          <w:p w14:paraId="6D877500" w14:textId="77777777" w:rsidR="00271E37" w:rsidRPr="00C016EE" w:rsidRDefault="00271E37">
            <w:r w:rsidRPr="00C016EE">
              <w:rPr>
                <w:rFonts w:cs="Arial"/>
                <w:szCs w:val="16"/>
              </w:rPr>
              <w:t xml:space="preserve"> - </w:t>
            </w:r>
          </w:p>
        </w:tc>
        <w:tc>
          <w:tcPr>
            <w:tcW w:w="1134" w:type="dxa"/>
            <w:vAlign w:val="center"/>
          </w:tcPr>
          <w:p w14:paraId="00A07F09" w14:textId="77777777" w:rsidR="00271E37" w:rsidRPr="00C016EE" w:rsidRDefault="00271E37">
            <w:r w:rsidRPr="00C016EE">
              <w:rPr>
                <w:rFonts w:cs="Arial"/>
                <w:szCs w:val="16"/>
              </w:rPr>
              <w:t xml:space="preserve"> - </w:t>
            </w:r>
          </w:p>
        </w:tc>
        <w:tc>
          <w:tcPr>
            <w:tcW w:w="1134" w:type="dxa"/>
            <w:vAlign w:val="center"/>
          </w:tcPr>
          <w:p w14:paraId="28361D77" w14:textId="77777777" w:rsidR="00271E37" w:rsidRPr="00C016EE" w:rsidRDefault="00271E37">
            <w:r w:rsidRPr="00C016EE">
              <w:rPr>
                <w:rFonts w:cs="Arial"/>
                <w:szCs w:val="16"/>
              </w:rPr>
              <w:t xml:space="preserve">63 </w:t>
            </w:r>
          </w:p>
        </w:tc>
      </w:tr>
      <w:tr w:rsidR="00271E37" w:rsidRPr="00AA3699" w14:paraId="374EC1A9" w14:textId="77777777">
        <w:trPr>
          <w:trHeight w:val="73"/>
        </w:trPr>
        <w:tc>
          <w:tcPr>
            <w:tcW w:w="0" w:type="auto"/>
            <w:tcBorders>
              <w:bottom w:val="nil"/>
            </w:tcBorders>
          </w:tcPr>
          <w:p w14:paraId="29042B05" w14:textId="77777777" w:rsidR="00271E37" w:rsidRPr="00AA3699" w:rsidRDefault="00271E37">
            <w:pPr>
              <w:jc w:val="left"/>
            </w:pPr>
            <w:r w:rsidRPr="00AA3699">
              <w:t>Provisions utilised during the year</w:t>
            </w:r>
          </w:p>
        </w:tc>
        <w:tc>
          <w:tcPr>
            <w:tcW w:w="1134" w:type="dxa"/>
            <w:tcBorders>
              <w:bottom w:val="nil"/>
            </w:tcBorders>
            <w:vAlign w:val="center"/>
          </w:tcPr>
          <w:p w14:paraId="1FF32D0B" w14:textId="77777777" w:rsidR="00271E37" w:rsidRPr="00C016EE" w:rsidRDefault="00271E37">
            <w:r w:rsidRPr="00C016EE">
              <w:rPr>
                <w:rFonts w:cs="Arial"/>
                <w:szCs w:val="16"/>
              </w:rPr>
              <w:t>(463)</w:t>
            </w:r>
          </w:p>
        </w:tc>
        <w:tc>
          <w:tcPr>
            <w:tcW w:w="1134" w:type="dxa"/>
            <w:tcBorders>
              <w:bottom w:val="nil"/>
            </w:tcBorders>
            <w:vAlign w:val="center"/>
          </w:tcPr>
          <w:p w14:paraId="4F13CABF" w14:textId="77777777" w:rsidR="00271E37" w:rsidRPr="00C016EE" w:rsidRDefault="00271E37">
            <w:r w:rsidRPr="00C016EE">
              <w:rPr>
                <w:rFonts w:cs="Arial"/>
                <w:szCs w:val="16"/>
              </w:rPr>
              <w:t>(324)</w:t>
            </w:r>
          </w:p>
        </w:tc>
        <w:tc>
          <w:tcPr>
            <w:tcW w:w="1134" w:type="dxa"/>
            <w:tcBorders>
              <w:bottom w:val="nil"/>
            </w:tcBorders>
            <w:vAlign w:val="center"/>
          </w:tcPr>
          <w:p w14:paraId="4555F3BA" w14:textId="77777777" w:rsidR="00271E37" w:rsidRPr="00C016EE" w:rsidRDefault="00271E37">
            <w:r w:rsidRPr="00C016EE">
              <w:rPr>
                <w:rFonts w:cs="Arial"/>
                <w:szCs w:val="16"/>
              </w:rPr>
              <w:t>(67)</w:t>
            </w:r>
          </w:p>
        </w:tc>
        <w:tc>
          <w:tcPr>
            <w:tcW w:w="1134" w:type="dxa"/>
            <w:tcBorders>
              <w:bottom w:val="nil"/>
            </w:tcBorders>
            <w:vAlign w:val="center"/>
          </w:tcPr>
          <w:p w14:paraId="0D740775" w14:textId="77777777" w:rsidR="00271E37" w:rsidRPr="00C016EE" w:rsidRDefault="00271E37">
            <w:r w:rsidRPr="00C016EE">
              <w:rPr>
                <w:rFonts w:cs="Arial"/>
                <w:szCs w:val="16"/>
              </w:rPr>
              <w:t>(854)</w:t>
            </w:r>
          </w:p>
        </w:tc>
      </w:tr>
      <w:tr w:rsidR="00271E37" w:rsidRPr="00AA3699" w14:paraId="55D61BCA" w14:textId="77777777">
        <w:tc>
          <w:tcPr>
            <w:tcW w:w="0" w:type="auto"/>
            <w:tcBorders>
              <w:bottom w:val="single" w:sz="4" w:space="0" w:color="auto"/>
            </w:tcBorders>
          </w:tcPr>
          <w:p w14:paraId="63684609" w14:textId="77777777" w:rsidR="00271E37" w:rsidRPr="00AA3699" w:rsidRDefault="00271E37">
            <w:pPr>
              <w:jc w:val="left"/>
            </w:pPr>
            <w:r w:rsidRPr="00AA3699">
              <w:t>Effect of movements in foreign exchange</w:t>
            </w:r>
          </w:p>
        </w:tc>
        <w:tc>
          <w:tcPr>
            <w:tcW w:w="1134" w:type="dxa"/>
            <w:tcBorders>
              <w:bottom w:val="single" w:sz="4" w:space="0" w:color="auto"/>
            </w:tcBorders>
            <w:vAlign w:val="center"/>
          </w:tcPr>
          <w:p w14:paraId="3253B8B6" w14:textId="77777777" w:rsidR="00271E37" w:rsidRPr="00C016EE" w:rsidRDefault="00271E37">
            <w:r w:rsidRPr="00C016EE">
              <w:rPr>
                <w:rFonts w:cs="Arial"/>
                <w:szCs w:val="16"/>
              </w:rPr>
              <w:t>(43)</w:t>
            </w:r>
          </w:p>
        </w:tc>
        <w:tc>
          <w:tcPr>
            <w:tcW w:w="1134" w:type="dxa"/>
            <w:tcBorders>
              <w:bottom w:val="single" w:sz="4" w:space="0" w:color="auto"/>
            </w:tcBorders>
            <w:vAlign w:val="center"/>
          </w:tcPr>
          <w:p w14:paraId="50E1F81B" w14:textId="77777777" w:rsidR="00271E37" w:rsidRPr="00C016EE" w:rsidRDefault="00271E37">
            <w:r w:rsidRPr="00C016EE">
              <w:rPr>
                <w:rFonts w:cs="Arial"/>
                <w:szCs w:val="16"/>
              </w:rPr>
              <w:t>(154)</w:t>
            </w:r>
          </w:p>
        </w:tc>
        <w:tc>
          <w:tcPr>
            <w:tcW w:w="1134" w:type="dxa"/>
            <w:tcBorders>
              <w:bottom w:val="single" w:sz="4" w:space="0" w:color="auto"/>
            </w:tcBorders>
            <w:vAlign w:val="center"/>
          </w:tcPr>
          <w:p w14:paraId="07F8036C" w14:textId="77777777" w:rsidR="00271E37" w:rsidRPr="00C016EE" w:rsidRDefault="00271E37">
            <w:r w:rsidRPr="00C016EE">
              <w:rPr>
                <w:rFonts w:cs="Arial"/>
                <w:szCs w:val="16"/>
              </w:rPr>
              <w:t>(7)</w:t>
            </w:r>
          </w:p>
        </w:tc>
        <w:tc>
          <w:tcPr>
            <w:tcW w:w="1134" w:type="dxa"/>
            <w:tcBorders>
              <w:bottom w:val="single" w:sz="4" w:space="0" w:color="auto"/>
            </w:tcBorders>
            <w:vAlign w:val="center"/>
          </w:tcPr>
          <w:p w14:paraId="50A7F105" w14:textId="77777777" w:rsidR="00271E37" w:rsidRPr="00C016EE" w:rsidRDefault="00271E37">
            <w:r w:rsidRPr="00C016EE">
              <w:rPr>
                <w:rFonts w:cs="Arial"/>
                <w:szCs w:val="16"/>
              </w:rPr>
              <w:t>(204)</w:t>
            </w:r>
          </w:p>
        </w:tc>
      </w:tr>
      <w:tr w:rsidR="00271E37" w:rsidRPr="00AA3699" w14:paraId="39F2E226" w14:textId="77777777">
        <w:tc>
          <w:tcPr>
            <w:tcW w:w="0" w:type="auto"/>
            <w:tcBorders>
              <w:top w:val="single" w:sz="4" w:space="0" w:color="auto"/>
            </w:tcBorders>
          </w:tcPr>
          <w:p w14:paraId="11F4FF75" w14:textId="77777777" w:rsidR="00271E37" w:rsidRPr="00AA3699" w:rsidRDefault="00271E37">
            <w:pPr>
              <w:jc w:val="left"/>
              <w:rPr>
                <w:b/>
                <w:bCs/>
              </w:rPr>
            </w:pPr>
            <w:r w:rsidRPr="00AA3699">
              <w:rPr>
                <w:b/>
                <w:bCs/>
              </w:rPr>
              <w:t xml:space="preserve">Balance at </w:t>
            </w:r>
            <w:r>
              <w:rPr>
                <w:b/>
                <w:bCs/>
              </w:rPr>
              <w:t>31 March</w:t>
            </w:r>
            <w:r w:rsidRPr="00AA3699">
              <w:rPr>
                <w:b/>
                <w:bCs/>
              </w:rPr>
              <w:t xml:space="preserve"> 202</w:t>
            </w:r>
            <w:r>
              <w:rPr>
                <w:b/>
                <w:bCs/>
              </w:rPr>
              <w:t>5</w:t>
            </w:r>
          </w:p>
        </w:tc>
        <w:tc>
          <w:tcPr>
            <w:tcW w:w="1134" w:type="dxa"/>
            <w:tcBorders>
              <w:top w:val="single" w:sz="4" w:space="0" w:color="auto"/>
            </w:tcBorders>
            <w:vAlign w:val="center"/>
          </w:tcPr>
          <w:p w14:paraId="7EF8F4A1" w14:textId="77777777" w:rsidR="00271E37" w:rsidRPr="00C016EE" w:rsidRDefault="00271E37">
            <w:r w:rsidRPr="00C016EE">
              <w:rPr>
                <w:rFonts w:cs="Arial"/>
                <w:b/>
                <w:bCs/>
                <w:szCs w:val="16"/>
              </w:rPr>
              <w:t xml:space="preserve">3,125 </w:t>
            </w:r>
          </w:p>
        </w:tc>
        <w:tc>
          <w:tcPr>
            <w:tcW w:w="1134" w:type="dxa"/>
            <w:tcBorders>
              <w:top w:val="single" w:sz="4" w:space="0" w:color="auto"/>
            </w:tcBorders>
            <w:vAlign w:val="center"/>
          </w:tcPr>
          <w:p w14:paraId="2FCDCF7B" w14:textId="77777777" w:rsidR="00271E37" w:rsidRPr="00C016EE" w:rsidRDefault="00271E37">
            <w:r w:rsidRPr="00C016EE">
              <w:rPr>
                <w:rFonts w:cs="Arial"/>
                <w:b/>
                <w:bCs/>
                <w:szCs w:val="16"/>
              </w:rPr>
              <w:t xml:space="preserve">1 </w:t>
            </w:r>
          </w:p>
        </w:tc>
        <w:tc>
          <w:tcPr>
            <w:tcW w:w="1134" w:type="dxa"/>
            <w:tcBorders>
              <w:top w:val="single" w:sz="4" w:space="0" w:color="auto"/>
            </w:tcBorders>
            <w:vAlign w:val="center"/>
          </w:tcPr>
          <w:p w14:paraId="059D796E" w14:textId="77777777" w:rsidR="00271E37" w:rsidRPr="00C016EE" w:rsidRDefault="00271E37">
            <w:r w:rsidRPr="00C016EE">
              <w:rPr>
                <w:rFonts w:cs="Arial"/>
                <w:b/>
                <w:bCs/>
                <w:szCs w:val="16"/>
              </w:rPr>
              <w:t xml:space="preserve">184 </w:t>
            </w:r>
          </w:p>
        </w:tc>
        <w:tc>
          <w:tcPr>
            <w:tcW w:w="1134" w:type="dxa"/>
            <w:tcBorders>
              <w:top w:val="single" w:sz="4" w:space="0" w:color="auto"/>
            </w:tcBorders>
            <w:vAlign w:val="center"/>
          </w:tcPr>
          <w:p w14:paraId="054818FA" w14:textId="77777777" w:rsidR="00271E37" w:rsidRPr="00C016EE" w:rsidRDefault="00271E37">
            <w:r w:rsidRPr="00C016EE">
              <w:rPr>
                <w:rFonts w:cs="Arial"/>
                <w:b/>
                <w:bCs/>
                <w:szCs w:val="16"/>
              </w:rPr>
              <w:t xml:space="preserve">3,310 </w:t>
            </w:r>
          </w:p>
        </w:tc>
      </w:tr>
      <w:tr w:rsidR="00271E37" w:rsidRPr="00AA3699" w14:paraId="57BB615B" w14:textId="77777777">
        <w:tc>
          <w:tcPr>
            <w:tcW w:w="0" w:type="auto"/>
          </w:tcPr>
          <w:p w14:paraId="35DA8F8A" w14:textId="77777777" w:rsidR="00271E37" w:rsidRPr="00AA3699" w:rsidRDefault="00271E37">
            <w:pPr>
              <w:jc w:val="left"/>
            </w:pPr>
            <w:r w:rsidRPr="00AA3699">
              <w:t>Provisions made in the year</w:t>
            </w:r>
          </w:p>
        </w:tc>
        <w:tc>
          <w:tcPr>
            <w:tcW w:w="1134" w:type="dxa"/>
            <w:vAlign w:val="center"/>
          </w:tcPr>
          <w:p w14:paraId="1CC182C4" w14:textId="77777777" w:rsidR="00271E37" w:rsidRPr="00C016EE" w:rsidRDefault="00271E37">
            <w:r>
              <w:rPr>
                <w:rFonts w:cs="Arial"/>
                <w:szCs w:val="16"/>
              </w:rPr>
              <w:t>4,147</w:t>
            </w:r>
            <w:r w:rsidRPr="00C016EE">
              <w:rPr>
                <w:rFonts w:cs="Arial"/>
                <w:szCs w:val="16"/>
              </w:rPr>
              <w:t xml:space="preserve"> </w:t>
            </w:r>
          </w:p>
        </w:tc>
        <w:tc>
          <w:tcPr>
            <w:tcW w:w="1134" w:type="dxa"/>
            <w:vAlign w:val="center"/>
          </w:tcPr>
          <w:p w14:paraId="46C266AE" w14:textId="77777777" w:rsidR="00271E37" w:rsidRPr="00C016EE" w:rsidRDefault="00271E37">
            <w:r w:rsidRPr="00C016EE">
              <w:rPr>
                <w:rFonts w:cs="Arial"/>
                <w:szCs w:val="16"/>
              </w:rPr>
              <w:t xml:space="preserve"> - </w:t>
            </w:r>
          </w:p>
        </w:tc>
        <w:tc>
          <w:tcPr>
            <w:tcW w:w="1134" w:type="dxa"/>
            <w:vAlign w:val="center"/>
          </w:tcPr>
          <w:p w14:paraId="2AE9F402" w14:textId="77777777" w:rsidR="00271E37" w:rsidRPr="00C016EE" w:rsidRDefault="00271E37">
            <w:r w:rsidRPr="00C016EE">
              <w:rPr>
                <w:rFonts w:cs="Arial"/>
                <w:szCs w:val="16"/>
              </w:rPr>
              <w:t xml:space="preserve">266 </w:t>
            </w:r>
          </w:p>
        </w:tc>
        <w:tc>
          <w:tcPr>
            <w:tcW w:w="1134" w:type="dxa"/>
            <w:vAlign w:val="center"/>
          </w:tcPr>
          <w:p w14:paraId="6C42BF8C" w14:textId="77777777" w:rsidR="00271E37" w:rsidRPr="00C016EE" w:rsidRDefault="00271E37">
            <w:r>
              <w:rPr>
                <w:rFonts w:cs="Arial"/>
                <w:szCs w:val="16"/>
              </w:rPr>
              <w:t>4,413</w:t>
            </w:r>
            <w:r w:rsidRPr="00C016EE">
              <w:rPr>
                <w:rFonts w:cs="Arial"/>
                <w:szCs w:val="16"/>
              </w:rPr>
              <w:t xml:space="preserve"> </w:t>
            </w:r>
          </w:p>
        </w:tc>
      </w:tr>
      <w:tr w:rsidR="00271E37" w:rsidRPr="00AA3699" w14:paraId="7619EB66" w14:textId="77777777">
        <w:tc>
          <w:tcPr>
            <w:tcW w:w="0" w:type="auto"/>
          </w:tcPr>
          <w:p w14:paraId="4A92D7DE" w14:textId="77777777" w:rsidR="00271E37" w:rsidRPr="00AA3699" w:rsidRDefault="00271E37">
            <w:pPr>
              <w:jc w:val="left"/>
            </w:pPr>
            <w:r w:rsidRPr="00AA3699">
              <w:t>Provisions released during the year</w:t>
            </w:r>
          </w:p>
        </w:tc>
        <w:tc>
          <w:tcPr>
            <w:tcW w:w="1134" w:type="dxa"/>
            <w:vAlign w:val="center"/>
          </w:tcPr>
          <w:p w14:paraId="7E704A7E" w14:textId="77777777" w:rsidR="00271E37" w:rsidRPr="00C016EE" w:rsidRDefault="00271E37">
            <w:r w:rsidRPr="00C016EE">
              <w:rPr>
                <w:rFonts w:cs="Arial"/>
                <w:szCs w:val="16"/>
              </w:rPr>
              <w:t xml:space="preserve"> - </w:t>
            </w:r>
          </w:p>
        </w:tc>
        <w:tc>
          <w:tcPr>
            <w:tcW w:w="1134" w:type="dxa"/>
            <w:vAlign w:val="center"/>
          </w:tcPr>
          <w:p w14:paraId="34E6C4BA" w14:textId="77777777" w:rsidR="00271E37" w:rsidRPr="00C016EE" w:rsidRDefault="00271E37">
            <w:r w:rsidRPr="00C016EE">
              <w:rPr>
                <w:rFonts w:cs="Arial"/>
                <w:szCs w:val="16"/>
              </w:rPr>
              <w:t xml:space="preserve"> - </w:t>
            </w:r>
          </w:p>
        </w:tc>
        <w:tc>
          <w:tcPr>
            <w:tcW w:w="1134" w:type="dxa"/>
            <w:vAlign w:val="center"/>
          </w:tcPr>
          <w:p w14:paraId="1415DE47" w14:textId="77777777" w:rsidR="00271E37" w:rsidRPr="00C016EE" w:rsidRDefault="00271E37">
            <w:r w:rsidRPr="00C016EE">
              <w:rPr>
                <w:rFonts w:cs="Arial"/>
                <w:szCs w:val="16"/>
              </w:rPr>
              <w:t>(100)</w:t>
            </w:r>
          </w:p>
        </w:tc>
        <w:tc>
          <w:tcPr>
            <w:tcW w:w="1134" w:type="dxa"/>
            <w:vAlign w:val="center"/>
          </w:tcPr>
          <w:p w14:paraId="25FD00F1" w14:textId="77777777" w:rsidR="00271E37" w:rsidRPr="00C016EE" w:rsidRDefault="00271E37">
            <w:r w:rsidRPr="00C016EE">
              <w:rPr>
                <w:rFonts w:cs="Arial"/>
                <w:szCs w:val="16"/>
              </w:rPr>
              <w:t>(100)</w:t>
            </w:r>
          </w:p>
        </w:tc>
      </w:tr>
      <w:tr w:rsidR="00271E37" w:rsidRPr="00AA3699" w14:paraId="249DE6E9" w14:textId="77777777">
        <w:tc>
          <w:tcPr>
            <w:tcW w:w="0" w:type="auto"/>
          </w:tcPr>
          <w:p w14:paraId="5B689DB1" w14:textId="77777777" w:rsidR="00271E37" w:rsidRPr="00AA3699" w:rsidRDefault="00271E37">
            <w:pPr>
              <w:jc w:val="left"/>
            </w:pPr>
            <w:r w:rsidRPr="00AA3699">
              <w:t>Unwinding of fair value discounts</w:t>
            </w:r>
          </w:p>
        </w:tc>
        <w:tc>
          <w:tcPr>
            <w:tcW w:w="1134" w:type="dxa"/>
            <w:vAlign w:val="center"/>
          </w:tcPr>
          <w:p w14:paraId="57767008" w14:textId="77777777" w:rsidR="00271E37" w:rsidRPr="00C016EE" w:rsidRDefault="00271E37">
            <w:r w:rsidRPr="00C016EE">
              <w:rPr>
                <w:rFonts w:cs="Arial"/>
                <w:szCs w:val="16"/>
              </w:rPr>
              <w:t xml:space="preserve">70 </w:t>
            </w:r>
          </w:p>
        </w:tc>
        <w:tc>
          <w:tcPr>
            <w:tcW w:w="1134" w:type="dxa"/>
            <w:vAlign w:val="center"/>
          </w:tcPr>
          <w:p w14:paraId="75B4CFD9" w14:textId="77777777" w:rsidR="00271E37" w:rsidRPr="00C016EE" w:rsidRDefault="00271E37">
            <w:r w:rsidRPr="00C016EE">
              <w:rPr>
                <w:rFonts w:cs="Arial"/>
                <w:szCs w:val="16"/>
              </w:rPr>
              <w:t xml:space="preserve"> - </w:t>
            </w:r>
          </w:p>
        </w:tc>
        <w:tc>
          <w:tcPr>
            <w:tcW w:w="1134" w:type="dxa"/>
            <w:vAlign w:val="center"/>
          </w:tcPr>
          <w:p w14:paraId="3496BC15" w14:textId="77777777" w:rsidR="00271E37" w:rsidRPr="00C016EE" w:rsidRDefault="00271E37">
            <w:r w:rsidRPr="00C016EE">
              <w:rPr>
                <w:rFonts w:cs="Arial"/>
                <w:szCs w:val="16"/>
              </w:rPr>
              <w:t xml:space="preserve"> - </w:t>
            </w:r>
          </w:p>
        </w:tc>
        <w:tc>
          <w:tcPr>
            <w:tcW w:w="1134" w:type="dxa"/>
            <w:vAlign w:val="center"/>
          </w:tcPr>
          <w:p w14:paraId="15BA3C09" w14:textId="77777777" w:rsidR="00271E37" w:rsidRPr="00C016EE" w:rsidRDefault="00271E37">
            <w:r w:rsidRPr="00C016EE">
              <w:rPr>
                <w:rFonts w:cs="Arial"/>
                <w:szCs w:val="16"/>
              </w:rPr>
              <w:t xml:space="preserve">70 </w:t>
            </w:r>
          </w:p>
        </w:tc>
      </w:tr>
      <w:tr w:rsidR="00271E37" w:rsidRPr="00AA3699" w14:paraId="1B2BA9FC" w14:textId="77777777">
        <w:trPr>
          <w:trHeight w:val="73"/>
        </w:trPr>
        <w:tc>
          <w:tcPr>
            <w:tcW w:w="0" w:type="auto"/>
            <w:tcBorders>
              <w:bottom w:val="nil"/>
            </w:tcBorders>
          </w:tcPr>
          <w:p w14:paraId="58B0309D" w14:textId="77777777" w:rsidR="00271E37" w:rsidRPr="00AA3699" w:rsidRDefault="00271E37">
            <w:pPr>
              <w:jc w:val="left"/>
            </w:pPr>
            <w:r w:rsidRPr="00AA3699">
              <w:t>Provisions utilised during the year</w:t>
            </w:r>
          </w:p>
        </w:tc>
        <w:tc>
          <w:tcPr>
            <w:tcW w:w="1134" w:type="dxa"/>
            <w:tcBorders>
              <w:bottom w:val="nil"/>
            </w:tcBorders>
            <w:vAlign w:val="center"/>
          </w:tcPr>
          <w:p w14:paraId="7A45EB2C" w14:textId="77777777" w:rsidR="00271E37" w:rsidRPr="00C016EE" w:rsidRDefault="00271E37">
            <w:r w:rsidRPr="00C016EE">
              <w:rPr>
                <w:rFonts w:cs="Arial"/>
                <w:szCs w:val="16"/>
              </w:rPr>
              <w:t>(10)</w:t>
            </w:r>
          </w:p>
        </w:tc>
        <w:tc>
          <w:tcPr>
            <w:tcW w:w="1134" w:type="dxa"/>
            <w:tcBorders>
              <w:bottom w:val="nil"/>
            </w:tcBorders>
            <w:vAlign w:val="center"/>
          </w:tcPr>
          <w:p w14:paraId="675BE5A7" w14:textId="77777777" w:rsidR="00271E37" w:rsidRPr="00C016EE" w:rsidRDefault="00271E37">
            <w:r w:rsidRPr="00C016EE">
              <w:rPr>
                <w:rFonts w:cs="Arial"/>
                <w:szCs w:val="16"/>
              </w:rPr>
              <w:t xml:space="preserve"> - </w:t>
            </w:r>
          </w:p>
        </w:tc>
        <w:tc>
          <w:tcPr>
            <w:tcW w:w="1134" w:type="dxa"/>
            <w:tcBorders>
              <w:bottom w:val="nil"/>
            </w:tcBorders>
            <w:vAlign w:val="center"/>
          </w:tcPr>
          <w:p w14:paraId="4B861C72" w14:textId="77777777" w:rsidR="00271E37" w:rsidRPr="00C016EE" w:rsidRDefault="00271E37">
            <w:r w:rsidRPr="00C016EE">
              <w:rPr>
                <w:rFonts w:cs="Arial"/>
                <w:szCs w:val="16"/>
              </w:rPr>
              <w:t xml:space="preserve"> - </w:t>
            </w:r>
          </w:p>
        </w:tc>
        <w:tc>
          <w:tcPr>
            <w:tcW w:w="1134" w:type="dxa"/>
            <w:tcBorders>
              <w:bottom w:val="nil"/>
            </w:tcBorders>
            <w:vAlign w:val="center"/>
          </w:tcPr>
          <w:p w14:paraId="72FE2704" w14:textId="77777777" w:rsidR="00271E37" w:rsidRPr="00C016EE" w:rsidRDefault="00271E37">
            <w:r w:rsidRPr="00C016EE">
              <w:rPr>
                <w:rFonts w:cs="Arial"/>
                <w:szCs w:val="16"/>
              </w:rPr>
              <w:t>(10)</w:t>
            </w:r>
          </w:p>
        </w:tc>
      </w:tr>
      <w:tr w:rsidR="00271E37" w:rsidRPr="00AA3699" w14:paraId="144D68FB" w14:textId="77777777">
        <w:tc>
          <w:tcPr>
            <w:tcW w:w="0" w:type="auto"/>
            <w:tcBorders>
              <w:bottom w:val="nil"/>
            </w:tcBorders>
            <w:vAlign w:val="center"/>
          </w:tcPr>
          <w:p w14:paraId="7524E0D1" w14:textId="77777777" w:rsidR="00271E37" w:rsidRPr="00AA3699" w:rsidRDefault="00271E37">
            <w:pPr>
              <w:jc w:val="left"/>
            </w:pPr>
            <w:r w:rsidRPr="006448A5">
              <w:t>Derecognition on disposal of division</w:t>
            </w:r>
          </w:p>
        </w:tc>
        <w:tc>
          <w:tcPr>
            <w:tcW w:w="1134" w:type="dxa"/>
            <w:tcBorders>
              <w:bottom w:val="nil"/>
            </w:tcBorders>
            <w:vAlign w:val="center"/>
          </w:tcPr>
          <w:p w14:paraId="22D19B94" w14:textId="77777777" w:rsidR="00271E37" w:rsidRPr="00C016EE" w:rsidRDefault="00271E37">
            <w:r w:rsidRPr="00C016EE">
              <w:rPr>
                <w:rFonts w:cs="Arial"/>
                <w:szCs w:val="16"/>
              </w:rPr>
              <w:t>(1,493)</w:t>
            </w:r>
          </w:p>
        </w:tc>
        <w:tc>
          <w:tcPr>
            <w:tcW w:w="1134" w:type="dxa"/>
            <w:tcBorders>
              <w:bottom w:val="nil"/>
            </w:tcBorders>
            <w:vAlign w:val="center"/>
          </w:tcPr>
          <w:p w14:paraId="5E4A34BC" w14:textId="77777777" w:rsidR="00271E37" w:rsidRPr="00C016EE" w:rsidRDefault="00271E37">
            <w:r w:rsidRPr="00C016EE">
              <w:rPr>
                <w:rFonts w:cs="Arial"/>
                <w:szCs w:val="16"/>
              </w:rPr>
              <w:t>(1)</w:t>
            </w:r>
          </w:p>
        </w:tc>
        <w:tc>
          <w:tcPr>
            <w:tcW w:w="1134" w:type="dxa"/>
            <w:tcBorders>
              <w:bottom w:val="nil"/>
            </w:tcBorders>
            <w:vAlign w:val="center"/>
          </w:tcPr>
          <w:p w14:paraId="5FD6046F" w14:textId="77777777" w:rsidR="00271E37" w:rsidRPr="00C016EE" w:rsidRDefault="00271E37">
            <w:r w:rsidRPr="00C016EE">
              <w:rPr>
                <w:rFonts w:cs="Arial"/>
                <w:szCs w:val="16"/>
              </w:rPr>
              <w:t xml:space="preserve"> - </w:t>
            </w:r>
          </w:p>
        </w:tc>
        <w:tc>
          <w:tcPr>
            <w:tcW w:w="1134" w:type="dxa"/>
            <w:tcBorders>
              <w:bottom w:val="nil"/>
            </w:tcBorders>
            <w:vAlign w:val="center"/>
          </w:tcPr>
          <w:p w14:paraId="307504FF" w14:textId="77777777" w:rsidR="00271E37" w:rsidRPr="00C016EE" w:rsidRDefault="00271E37">
            <w:r w:rsidRPr="00C016EE">
              <w:rPr>
                <w:rFonts w:cs="Arial"/>
                <w:szCs w:val="16"/>
              </w:rPr>
              <w:t>(1,494)</w:t>
            </w:r>
          </w:p>
        </w:tc>
      </w:tr>
      <w:tr w:rsidR="00271E37" w:rsidRPr="00AA3699" w14:paraId="4248FF9F" w14:textId="77777777">
        <w:tc>
          <w:tcPr>
            <w:tcW w:w="0" w:type="auto"/>
            <w:tcBorders>
              <w:top w:val="nil"/>
              <w:bottom w:val="single" w:sz="4" w:space="0" w:color="auto"/>
            </w:tcBorders>
          </w:tcPr>
          <w:p w14:paraId="78C11D74" w14:textId="77777777" w:rsidR="00271E37" w:rsidRPr="00AA3699" w:rsidRDefault="00271E37">
            <w:pPr>
              <w:jc w:val="left"/>
            </w:pPr>
            <w:r w:rsidRPr="00AA3699">
              <w:t>Effect of movements in foreign exchange</w:t>
            </w:r>
          </w:p>
        </w:tc>
        <w:tc>
          <w:tcPr>
            <w:tcW w:w="1134" w:type="dxa"/>
            <w:tcBorders>
              <w:top w:val="nil"/>
              <w:bottom w:val="single" w:sz="4" w:space="0" w:color="auto"/>
            </w:tcBorders>
            <w:vAlign w:val="center"/>
          </w:tcPr>
          <w:p w14:paraId="2393D4CB" w14:textId="77777777" w:rsidR="00271E37" w:rsidRPr="00C016EE" w:rsidRDefault="00271E37">
            <w:r w:rsidRPr="00C016EE">
              <w:rPr>
                <w:rFonts w:cs="Arial"/>
                <w:szCs w:val="16"/>
              </w:rPr>
              <w:t>(54)</w:t>
            </w:r>
          </w:p>
        </w:tc>
        <w:tc>
          <w:tcPr>
            <w:tcW w:w="1134" w:type="dxa"/>
            <w:tcBorders>
              <w:top w:val="nil"/>
              <w:bottom w:val="single" w:sz="4" w:space="0" w:color="auto"/>
            </w:tcBorders>
            <w:vAlign w:val="center"/>
          </w:tcPr>
          <w:p w14:paraId="795727B7" w14:textId="77777777" w:rsidR="00271E37" w:rsidRPr="00C016EE" w:rsidRDefault="00271E37">
            <w:r w:rsidRPr="00C016EE">
              <w:rPr>
                <w:rFonts w:cs="Arial"/>
                <w:szCs w:val="16"/>
              </w:rPr>
              <w:t xml:space="preserve"> - </w:t>
            </w:r>
          </w:p>
        </w:tc>
        <w:tc>
          <w:tcPr>
            <w:tcW w:w="1134" w:type="dxa"/>
            <w:tcBorders>
              <w:top w:val="nil"/>
              <w:bottom w:val="single" w:sz="4" w:space="0" w:color="auto"/>
            </w:tcBorders>
            <w:vAlign w:val="center"/>
          </w:tcPr>
          <w:p w14:paraId="1F9B8B9F" w14:textId="77777777" w:rsidR="00271E37" w:rsidRPr="00C016EE" w:rsidRDefault="00271E37">
            <w:r w:rsidRPr="00C016EE">
              <w:rPr>
                <w:rFonts w:cs="Arial"/>
                <w:szCs w:val="16"/>
              </w:rPr>
              <w:t xml:space="preserve">9 </w:t>
            </w:r>
          </w:p>
        </w:tc>
        <w:tc>
          <w:tcPr>
            <w:tcW w:w="1134" w:type="dxa"/>
            <w:tcBorders>
              <w:top w:val="nil"/>
              <w:bottom w:val="single" w:sz="4" w:space="0" w:color="auto"/>
            </w:tcBorders>
            <w:vAlign w:val="center"/>
          </w:tcPr>
          <w:p w14:paraId="2D481B38" w14:textId="77777777" w:rsidR="00271E37" w:rsidRPr="00C016EE" w:rsidRDefault="00271E37">
            <w:r w:rsidRPr="00C016EE">
              <w:rPr>
                <w:rFonts w:cs="Arial"/>
                <w:szCs w:val="16"/>
              </w:rPr>
              <w:t>(45)</w:t>
            </w:r>
          </w:p>
        </w:tc>
      </w:tr>
      <w:tr w:rsidR="00271E37" w:rsidRPr="00AA3699" w14:paraId="4770659F" w14:textId="77777777">
        <w:tc>
          <w:tcPr>
            <w:tcW w:w="0" w:type="auto"/>
            <w:tcBorders>
              <w:top w:val="single" w:sz="4" w:space="0" w:color="auto"/>
              <w:bottom w:val="single" w:sz="12" w:space="0" w:color="auto"/>
            </w:tcBorders>
          </w:tcPr>
          <w:p w14:paraId="05834D28" w14:textId="77777777" w:rsidR="00271E37" w:rsidRPr="00AA3699" w:rsidRDefault="00271E37">
            <w:pPr>
              <w:jc w:val="left"/>
              <w:rPr>
                <w:b/>
                <w:bCs/>
              </w:rPr>
            </w:pPr>
            <w:r w:rsidRPr="00AA3699">
              <w:rPr>
                <w:b/>
                <w:bCs/>
              </w:rPr>
              <w:t>Balance at 31 March 202</w:t>
            </w:r>
            <w:r>
              <w:rPr>
                <w:b/>
                <w:bCs/>
              </w:rPr>
              <w:t>6</w:t>
            </w:r>
          </w:p>
        </w:tc>
        <w:tc>
          <w:tcPr>
            <w:tcW w:w="1134" w:type="dxa"/>
            <w:tcBorders>
              <w:top w:val="single" w:sz="4" w:space="0" w:color="auto"/>
              <w:bottom w:val="single" w:sz="12" w:space="0" w:color="auto"/>
            </w:tcBorders>
            <w:vAlign w:val="center"/>
          </w:tcPr>
          <w:p w14:paraId="1933BB92" w14:textId="77777777" w:rsidR="00271E37" w:rsidRPr="00C016EE" w:rsidRDefault="00271E37">
            <w:pPr>
              <w:rPr>
                <w:b/>
                <w:bCs/>
              </w:rPr>
            </w:pPr>
            <w:r>
              <w:rPr>
                <w:rFonts w:cs="Arial"/>
                <w:b/>
                <w:bCs/>
                <w:szCs w:val="16"/>
              </w:rPr>
              <w:t>5,785</w:t>
            </w:r>
            <w:r w:rsidRPr="00C016EE">
              <w:rPr>
                <w:rFonts w:cs="Arial"/>
                <w:b/>
                <w:bCs/>
                <w:szCs w:val="16"/>
              </w:rPr>
              <w:t xml:space="preserve"> </w:t>
            </w:r>
          </w:p>
        </w:tc>
        <w:tc>
          <w:tcPr>
            <w:tcW w:w="1134" w:type="dxa"/>
            <w:tcBorders>
              <w:top w:val="single" w:sz="4" w:space="0" w:color="auto"/>
              <w:bottom w:val="single" w:sz="12" w:space="0" w:color="auto"/>
            </w:tcBorders>
            <w:vAlign w:val="center"/>
          </w:tcPr>
          <w:p w14:paraId="70AF80D1" w14:textId="77777777" w:rsidR="00271E37" w:rsidRPr="00C016EE" w:rsidRDefault="00271E37">
            <w:pPr>
              <w:rPr>
                <w:b/>
                <w:bCs/>
              </w:rPr>
            </w:pPr>
            <w:r w:rsidRPr="00C016EE">
              <w:rPr>
                <w:rFonts w:cs="Arial"/>
                <w:b/>
                <w:bCs/>
                <w:szCs w:val="16"/>
              </w:rPr>
              <w:t xml:space="preserve"> - </w:t>
            </w:r>
          </w:p>
        </w:tc>
        <w:tc>
          <w:tcPr>
            <w:tcW w:w="1134" w:type="dxa"/>
            <w:tcBorders>
              <w:top w:val="single" w:sz="4" w:space="0" w:color="auto"/>
              <w:bottom w:val="single" w:sz="12" w:space="0" w:color="auto"/>
            </w:tcBorders>
            <w:vAlign w:val="center"/>
          </w:tcPr>
          <w:p w14:paraId="17EDB549" w14:textId="77777777" w:rsidR="00271E37" w:rsidRPr="00C016EE" w:rsidRDefault="00271E37">
            <w:pPr>
              <w:rPr>
                <w:b/>
                <w:bCs/>
              </w:rPr>
            </w:pPr>
            <w:r w:rsidRPr="00C016EE">
              <w:rPr>
                <w:rFonts w:cs="Arial"/>
                <w:b/>
                <w:bCs/>
                <w:szCs w:val="16"/>
              </w:rPr>
              <w:t xml:space="preserve">359 </w:t>
            </w:r>
          </w:p>
        </w:tc>
        <w:tc>
          <w:tcPr>
            <w:tcW w:w="1134" w:type="dxa"/>
            <w:tcBorders>
              <w:top w:val="single" w:sz="4" w:space="0" w:color="auto"/>
              <w:bottom w:val="single" w:sz="12" w:space="0" w:color="auto"/>
            </w:tcBorders>
            <w:vAlign w:val="center"/>
          </w:tcPr>
          <w:p w14:paraId="15505F9A" w14:textId="77777777" w:rsidR="00271E37" w:rsidRPr="00C016EE" w:rsidRDefault="00271E37">
            <w:pPr>
              <w:rPr>
                <w:b/>
                <w:bCs/>
              </w:rPr>
            </w:pPr>
            <w:r>
              <w:rPr>
                <w:rFonts w:cs="Arial"/>
                <w:b/>
                <w:bCs/>
                <w:szCs w:val="16"/>
              </w:rPr>
              <w:t>6,144</w:t>
            </w:r>
            <w:r w:rsidRPr="00C016EE">
              <w:rPr>
                <w:rFonts w:cs="Arial"/>
                <w:b/>
                <w:bCs/>
                <w:szCs w:val="16"/>
              </w:rPr>
              <w:t xml:space="preserve"> </w:t>
            </w:r>
          </w:p>
        </w:tc>
      </w:tr>
    </w:tbl>
    <w:p w14:paraId="3DF753F6" w14:textId="77777777" w:rsidR="00271E37" w:rsidRDefault="00271E37" w:rsidP="002E39D4"/>
    <w:tbl>
      <w:tblPr>
        <w:tblStyle w:val="tableDUL"/>
        <w:tblW w:w="9639" w:type="dxa"/>
        <w:tblLook w:val="04A0" w:firstRow="1" w:lastRow="0" w:firstColumn="1" w:lastColumn="0" w:noHBand="0" w:noVBand="1"/>
      </w:tblPr>
      <w:tblGrid>
        <w:gridCol w:w="7371"/>
        <w:gridCol w:w="1134"/>
        <w:gridCol w:w="1134"/>
      </w:tblGrid>
      <w:tr w:rsidR="00271E37" w:rsidRPr="00F01368" w14:paraId="21610A07" w14:textId="77777777" w:rsidTr="00805ADB">
        <w:tc>
          <w:tcPr>
            <w:tcW w:w="0" w:type="auto"/>
            <w:tcBorders>
              <w:bottom w:val="nil"/>
            </w:tcBorders>
          </w:tcPr>
          <w:p w14:paraId="545CDDFB" w14:textId="77777777" w:rsidR="00271E37" w:rsidRPr="00F01368" w:rsidRDefault="00271E37" w:rsidP="00F01368">
            <w:pPr>
              <w:jc w:val="left"/>
            </w:pPr>
          </w:p>
        </w:tc>
        <w:tc>
          <w:tcPr>
            <w:tcW w:w="1134" w:type="dxa"/>
            <w:tcBorders>
              <w:bottom w:val="nil"/>
            </w:tcBorders>
          </w:tcPr>
          <w:p w14:paraId="09BCC951" w14:textId="77777777" w:rsidR="00271E37" w:rsidRPr="00805ADB" w:rsidRDefault="00271E37" w:rsidP="000923EA">
            <w:pPr>
              <w:rPr>
                <w:b/>
                <w:bCs/>
              </w:rPr>
            </w:pPr>
            <w:r w:rsidRPr="00805ADB">
              <w:rPr>
                <w:b/>
                <w:bCs/>
              </w:rPr>
              <w:t>202</w:t>
            </w:r>
            <w:r>
              <w:rPr>
                <w:b/>
                <w:bCs/>
              </w:rPr>
              <w:t>6</w:t>
            </w:r>
          </w:p>
        </w:tc>
        <w:tc>
          <w:tcPr>
            <w:tcW w:w="1134" w:type="dxa"/>
            <w:tcBorders>
              <w:bottom w:val="nil"/>
            </w:tcBorders>
          </w:tcPr>
          <w:p w14:paraId="2A83E7D1" w14:textId="77777777" w:rsidR="00271E37" w:rsidRPr="00F01368" w:rsidRDefault="00271E37" w:rsidP="000923EA">
            <w:r w:rsidRPr="00F01368">
              <w:t>202</w:t>
            </w:r>
            <w:r>
              <w:t>5</w:t>
            </w:r>
          </w:p>
        </w:tc>
      </w:tr>
      <w:tr w:rsidR="00271E37" w:rsidRPr="00F01368" w14:paraId="2471BBFC" w14:textId="77777777" w:rsidTr="00805ADB">
        <w:tc>
          <w:tcPr>
            <w:tcW w:w="0" w:type="auto"/>
            <w:tcBorders>
              <w:bottom w:val="single" w:sz="4" w:space="0" w:color="auto"/>
            </w:tcBorders>
          </w:tcPr>
          <w:p w14:paraId="22CA84DD" w14:textId="77777777" w:rsidR="00271E37" w:rsidRPr="00F01368" w:rsidRDefault="00271E37" w:rsidP="00F01368">
            <w:pPr>
              <w:jc w:val="left"/>
            </w:pPr>
          </w:p>
        </w:tc>
        <w:tc>
          <w:tcPr>
            <w:tcW w:w="1134" w:type="dxa"/>
            <w:tcBorders>
              <w:bottom w:val="single" w:sz="4" w:space="0" w:color="auto"/>
            </w:tcBorders>
          </w:tcPr>
          <w:p w14:paraId="4E57CF5A" w14:textId="77777777" w:rsidR="00271E37" w:rsidRPr="00805ADB" w:rsidRDefault="00271E37" w:rsidP="000923EA">
            <w:pPr>
              <w:rPr>
                <w:b/>
                <w:bCs/>
              </w:rPr>
            </w:pPr>
            <w:r>
              <w:rPr>
                <w:b/>
                <w:bCs/>
              </w:rPr>
              <w:t>£</w:t>
            </w:r>
            <w:r w:rsidRPr="00805ADB">
              <w:rPr>
                <w:b/>
                <w:bCs/>
              </w:rPr>
              <w:t>000</w:t>
            </w:r>
          </w:p>
        </w:tc>
        <w:tc>
          <w:tcPr>
            <w:tcW w:w="1134" w:type="dxa"/>
            <w:tcBorders>
              <w:bottom w:val="single" w:sz="4" w:space="0" w:color="auto"/>
            </w:tcBorders>
          </w:tcPr>
          <w:p w14:paraId="19BA8AF6" w14:textId="77777777" w:rsidR="00271E37" w:rsidRPr="00F01368" w:rsidRDefault="00271E37" w:rsidP="000923EA">
            <w:r>
              <w:t>£</w:t>
            </w:r>
            <w:r w:rsidRPr="00F01368">
              <w:t>000</w:t>
            </w:r>
          </w:p>
        </w:tc>
      </w:tr>
      <w:tr w:rsidR="00271E37" w:rsidRPr="00F01368" w14:paraId="4FC2DC0F" w14:textId="77777777">
        <w:tc>
          <w:tcPr>
            <w:tcW w:w="0" w:type="auto"/>
            <w:tcBorders>
              <w:top w:val="single" w:sz="4" w:space="0" w:color="auto"/>
              <w:bottom w:val="nil"/>
            </w:tcBorders>
          </w:tcPr>
          <w:p w14:paraId="3A458A5D" w14:textId="77777777" w:rsidR="00271E37" w:rsidRPr="00F01368" w:rsidRDefault="00271E37">
            <w:pPr>
              <w:jc w:val="left"/>
            </w:pPr>
            <w:r w:rsidRPr="00F01368">
              <w:t>Non-current</w:t>
            </w:r>
          </w:p>
        </w:tc>
        <w:tc>
          <w:tcPr>
            <w:tcW w:w="1134" w:type="dxa"/>
            <w:tcBorders>
              <w:top w:val="single" w:sz="4" w:space="0" w:color="auto"/>
              <w:bottom w:val="nil"/>
            </w:tcBorders>
            <w:vAlign w:val="center"/>
          </w:tcPr>
          <w:p w14:paraId="18D9E722" w14:textId="77777777" w:rsidR="00271E37" w:rsidRPr="00805ADB" w:rsidRDefault="00271E37">
            <w:pPr>
              <w:rPr>
                <w:b/>
                <w:bCs/>
              </w:rPr>
            </w:pPr>
            <w:r>
              <w:rPr>
                <w:rFonts w:cs="Arial"/>
                <w:b/>
                <w:bCs/>
                <w:color w:val="000000"/>
                <w:szCs w:val="16"/>
              </w:rPr>
              <w:t xml:space="preserve">5,335 </w:t>
            </w:r>
          </w:p>
        </w:tc>
        <w:tc>
          <w:tcPr>
            <w:tcW w:w="1134" w:type="dxa"/>
            <w:tcBorders>
              <w:top w:val="single" w:sz="4" w:space="0" w:color="auto"/>
              <w:bottom w:val="nil"/>
            </w:tcBorders>
            <w:vAlign w:val="center"/>
          </w:tcPr>
          <w:p w14:paraId="7A84B28E" w14:textId="77777777" w:rsidR="00271E37" w:rsidRPr="00B07518" w:rsidRDefault="00271E37">
            <w:r>
              <w:rPr>
                <w:rFonts w:cs="Arial"/>
                <w:color w:val="000000"/>
                <w:szCs w:val="16"/>
              </w:rPr>
              <w:t xml:space="preserve">1,964 </w:t>
            </w:r>
          </w:p>
        </w:tc>
      </w:tr>
      <w:tr w:rsidR="00271E37" w:rsidRPr="00F01368" w14:paraId="3D1C5D45" w14:textId="77777777">
        <w:tc>
          <w:tcPr>
            <w:tcW w:w="0" w:type="auto"/>
            <w:tcBorders>
              <w:bottom w:val="single" w:sz="4" w:space="0" w:color="auto"/>
            </w:tcBorders>
          </w:tcPr>
          <w:p w14:paraId="018109A3" w14:textId="77777777" w:rsidR="00271E37" w:rsidRPr="00F01368" w:rsidRDefault="00271E37">
            <w:pPr>
              <w:jc w:val="left"/>
            </w:pPr>
            <w:r w:rsidRPr="00F01368">
              <w:t>Current</w:t>
            </w:r>
          </w:p>
        </w:tc>
        <w:tc>
          <w:tcPr>
            <w:tcW w:w="1134" w:type="dxa"/>
            <w:tcBorders>
              <w:bottom w:val="single" w:sz="4" w:space="0" w:color="auto"/>
            </w:tcBorders>
            <w:vAlign w:val="center"/>
          </w:tcPr>
          <w:p w14:paraId="4E5B720E" w14:textId="77777777" w:rsidR="00271E37" w:rsidRPr="00805ADB" w:rsidRDefault="00271E37">
            <w:pPr>
              <w:rPr>
                <w:b/>
                <w:bCs/>
              </w:rPr>
            </w:pPr>
            <w:r>
              <w:rPr>
                <w:rFonts w:cs="Arial"/>
                <w:b/>
                <w:bCs/>
                <w:color w:val="000000"/>
                <w:szCs w:val="16"/>
              </w:rPr>
              <w:t xml:space="preserve">809 </w:t>
            </w:r>
          </w:p>
        </w:tc>
        <w:tc>
          <w:tcPr>
            <w:tcW w:w="1134" w:type="dxa"/>
            <w:tcBorders>
              <w:bottom w:val="single" w:sz="4" w:space="0" w:color="auto"/>
            </w:tcBorders>
            <w:vAlign w:val="center"/>
          </w:tcPr>
          <w:p w14:paraId="253353A3" w14:textId="77777777" w:rsidR="00271E37" w:rsidRPr="00B07518" w:rsidRDefault="00271E37">
            <w:r>
              <w:rPr>
                <w:rFonts w:cs="Arial"/>
                <w:color w:val="000000"/>
                <w:szCs w:val="16"/>
              </w:rPr>
              <w:t xml:space="preserve">1,346 </w:t>
            </w:r>
          </w:p>
        </w:tc>
      </w:tr>
      <w:tr w:rsidR="00271E37" w:rsidRPr="00F01368" w14:paraId="40D55779" w14:textId="77777777">
        <w:tc>
          <w:tcPr>
            <w:tcW w:w="0" w:type="auto"/>
            <w:tcBorders>
              <w:top w:val="single" w:sz="4" w:space="0" w:color="auto"/>
            </w:tcBorders>
          </w:tcPr>
          <w:p w14:paraId="0432FDBB" w14:textId="77777777" w:rsidR="00271E37" w:rsidRPr="00F01368" w:rsidRDefault="00271E37">
            <w:pPr>
              <w:jc w:val="left"/>
            </w:pPr>
          </w:p>
        </w:tc>
        <w:tc>
          <w:tcPr>
            <w:tcW w:w="1134" w:type="dxa"/>
            <w:tcBorders>
              <w:top w:val="single" w:sz="4" w:space="0" w:color="auto"/>
            </w:tcBorders>
            <w:vAlign w:val="center"/>
          </w:tcPr>
          <w:p w14:paraId="333CA45C" w14:textId="77777777" w:rsidR="00271E37" w:rsidRPr="00805ADB" w:rsidRDefault="00271E37">
            <w:pPr>
              <w:rPr>
                <w:b/>
                <w:bCs/>
              </w:rPr>
            </w:pPr>
            <w:r>
              <w:rPr>
                <w:rFonts w:cs="Arial"/>
                <w:b/>
                <w:bCs/>
                <w:color w:val="000000"/>
                <w:szCs w:val="16"/>
              </w:rPr>
              <w:t xml:space="preserve">6,144 </w:t>
            </w:r>
          </w:p>
        </w:tc>
        <w:tc>
          <w:tcPr>
            <w:tcW w:w="1134" w:type="dxa"/>
            <w:tcBorders>
              <w:top w:val="single" w:sz="4" w:space="0" w:color="auto"/>
            </w:tcBorders>
            <w:vAlign w:val="center"/>
          </w:tcPr>
          <w:p w14:paraId="387A2474" w14:textId="77777777" w:rsidR="00271E37" w:rsidRPr="00115045" w:rsidRDefault="00271E37">
            <w:r w:rsidRPr="00115045">
              <w:rPr>
                <w:rFonts w:cs="Arial"/>
                <w:color w:val="000000"/>
                <w:szCs w:val="16"/>
              </w:rPr>
              <w:t xml:space="preserve">3,310 </w:t>
            </w:r>
          </w:p>
        </w:tc>
      </w:tr>
    </w:tbl>
    <w:p w14:paraId="538994EC" w14:textId="77777777" w:rsidR="00271E37" w:rsidRDefault="00271E37" w:rsidP="002E39D4"/>
    <w:p w14:paraId="60230503" w14:textId="3C744526" w:rsidR="00271E37" w:rsidRPr="00721B16" w:rsidRDefault="00271E37">
      <w:pPr>
        <w:spacing w:line="240" w:lineRule="auto"/>
      </w:pPr>
      <w:r w:rsidRPr="00721B16">
        <w:t xml:space="preserve">The properties provision include £3.8 million of provisions related to Group lease commitments post DG Americas disposal and £2.0 million of dilapidation provisions. </w:t>
      </w:r>
    </w:p>
    <w:p w14:paraId="3A8437C8" w14:textId="77777777" w:rsidR="00271E37" w:rsidRPr="00721B16" w:rsidRDefault="00271E37">
      <w:pPr>
        <w:spacing w:line="240" w:lineRule="auto"/>
      </w:pPr>
    </w:p>
    <w:p w14:paraId="7D5CB883" w14:textId="2A7CBC16" w:rsidR="00271E37" w:rsidRPr="00721B16" w:rsidRDefault="00271E37">
      <w:pPr>
        <w:spacing w:line="240" w:lineRule="auto"/>
      </w:pPr>
      <w:r w:rsidRPr="00721B16">
        <w:t>Following the disposal of DG Americas, certain Group commitments relating to DG Americas lease</w:t>
      </w:r>
      <w:r w:rsidR="0084161F">
        <w:t>s</w:t>
      </w:r>
      <w:r w:rsidRPr="00721B16">
        <w:t xml:space="preserve"> were identified, and provisions were established to cover probable future payments. These obligations became apparent during the progression of the Chapter 11 proceedings, which remain ongoing. As a result, a provision has been recognised representing management’s best estimate of the expenditure required to settle these obligations</w:t>
      </w:r>
      <w:r w:rsidR="00C57CB6">
        <w:t>, with settlement expected within the next five years</w:t>
      </w:r>
      <w:r w:rsidRPr="00721B16">
        <w:t xml:space="preserve">. The £3.8 million provision reflects the expected Group’s obligation after considering anticipated recoveries through the Chapter 11 process and commercially viable actions to mitigate leases exposure. However, the estimate remains subject to uncertainty, particularly regarding the timing of cash outflows and the extent to which mitigation efforts will be successful. The ultimate outcome may therefore differ depending on final recovery levels and the effectiveness of mitigation strategies. A sensitivity analysis has been performed on the key assumptions underpinning the provision, indicating that a reasonably possible change in commercial assumptions could result in an increase or decrease in the obligation of </w:t>
      </w:r>
      <w:r w:rsidRPr="00CE5D9E">
        <w:t>approximately 20%.</w:t>
      </w:r>
      <w:r w:rsidR="009C2E18" w:rsidRPr="00CE5D9E">
        <w:t xml:space="preserve"> </w:t>
      </w:r>
      <w:r w:rsidR="000F21C8" w:rsidRPr="00B931EC">
        <w:t xml:space="preserve">The provision is expected to be </w:t>
      </w:r>
      <w:r w:rsidR="000F21C8" w:rsidRPr="00AC7176">
        <w:t>utilised over</w:t>
      </w:r>
      <w:r w:rsidR="00293339" w:rsidRPr="00AC7176">
        <w:t xml:space="preserve"> a period of five years</w:t>
      </w:r>
      <w:r w:rsidR="000F21C8" w:rsidRPr="00AC7176">
        <w:t>, although th</w:t>
      </w:r>
      <w:r w:rsidR="000F21C8" w:rsidRPr="00B931EC">
        <w:t>e timing of outflows remains uncertain due to the ongoing Chapter 11 process, anticipated recoveries and mitigation actions.</w:t>
      </w:r>
    </w:p>
    <w:p w14:paraId="691F7705" w14:textId="77777777" w:rsidR="00271E37" w:rsidRPr="00721B16" w:rsidRDefault="00271E37">
      <w:pPr>
        <w:spacing w:line="240" w:lineRule="auto"/>
      </w:pPr>
    </w:p>
    <w:p w14:paraId="7725D75A" w14:textId="77777777" w:rsidR="00271E37" w:rsidRPr="00721B16" w:rsidRDefault="00271E37">
      <w:pPr>
        <w:spacing w:line="240" w:lineRule="auto"/>
      </w:pPr>
      <w:r w:rsidRPr="00721B16">
        <w:t xml:space="preserve">The position will be reassessed as further information becomes available. </w:t>
      </w:r>
    </w:p>
    <w:p w14:paraId="01C37E0D" w14:textId="77777777" w:rsidR="00271E37" w:rsidRPr="00721B16" w:rsidRDefault="00271E37">
      <w:pPr>
        <w:spacing w:line="240" w:lineRule="auto"/>
      </w:pPr>
    </w:p>
    <w:p w14:paraId="43C770FE" w14:textId="77777777" w:rsidR="00271E37" w:rsidRPr="00721B16" w:rsidRDefault="00271E37">
      <w:pPr>
        <w:spacing w:line="240" w:lineRule="auto"/>
      </w:pPr>
      <w:r w:rsidRPr="00721B16">
        <w:t xml:space="preserve">The estimated reinstatement costs relate to two of the Group’s leasehold properties under fully repairing leases (2025: 16 properties). </w:t>
      </w:r>
    </w:p>
    <w:p w14:paraId="5546A9EC" w14:textId="77777777" w:rsidR="00271E37" w:rsidRPr="00721B16" w:rsidRDefault="00271E37">
      <w:pPr>
        <w:spacing w:line="240" w:lineRule="auto"/>
      </w:pPr>
    </w:p>
    <w:p w14:paraId="12F1B7ED" w14:textId="0E485EA7" w:rsidR="00271E37" w:rsidRPr="00721B16" w:rsidRDefault="00271E37">
      <w:pPr>
        <w:spacing w:line="240" w:lineRule="auto"/>
      </w:pPr>
      <w:r w:rsidRPr="00721B16">
        <w:t xml:space="preserve">The </w:t>
      </w:r>
      <w:r w:rsidRPr="00B8452B">
        <w:t>£</w:t>
      </w:r>
      <w:r w:rsidR="00C429AD" w:rsidRPr="00B8452B">
        <w:t>1.9</w:t>
      </w:r>
      <w:r w:rsidRPr="00721B16">
        <w:t xml:space="preserve"> million non-current balance (2025: £1.6 million) relates to a lease expiring in 2036; the remainder relates to provisions unwinding between one and five years.</w:t>
      </w:r>
    </w:p>
    <w:p w14:paraId="5E29B5DE" w14:textId="77777777" w:rsidR="00271E37" w:rsidRDefault="00271E37" w:rsidP="002E39D4"/>
    <w:p w14:paraId="0132FD63" w14:textId="77777777" w:rsidR="00271E37" w:rsidRPr="00656EDA" w:rsidRDefault="00271E37">
      <w:pPr>
        <w:spacing w:line="240" w:lineRule="auto"/>
        <w:rPr>
          <w:rFonts w:eastAsia="Times New Roman" w:cs="Arial"/>
          <w:color w:val="000000"/>
          <w:szCs w:val="16"/>
          <w:lang w:eastAsia="en-GB"/>
        </w:rPr>
      </w:pPr>
      <w:r w:rsidRPr="00656EDA">
        <w:rPr>
          <w:rFonts w:eastAsia="Times New Roman" w:cs="Arial"/>
          <w:color w:val="000000"/>
          <w:szCs w:val="16"/>
          <w:lang w:eastAsia="en-GB"/>
        </w:rPr>
        <w:t xml:space="preserve">The duties, interest and penalties provision represented the potential liabilities relating to pre-acquisition duties owed by a foreign subsidiary of the DG Americas division and has been resolved in </w:t>
      </w:r>
      <w:r>
        <w:rPr>
          <w:rFonts w:eastAsia="Times New Roman" w:cs="Arial"/>
          <w:color w:val="000000"/>
          <w:szCs w:val="16"/>
          <w:lang w:eastAsia="en-GB"/>
        </w:rPr>
        <w:t>FY</w:t>
      </w:r>
      <w:r w:rsidRPr="00656EDA">
        <w:rPr>
          <w:rFonts w:eastAsia="Times New Roman" w:cs="Arial"/>
          <w:color w:val="000000"/>
          <w:szCs w:val="16"/>
          <w:lang w:eastAsia="en-GB"/>
        </w:rPr>
        <w:t>2025.</w:t>
      </w:r>
    </w:p>
    <w:p w14:paraId="1C2F7C7C" w14:textId="77777777" w:rsidR="00271E37" w:rsidRDefault="00271E37" w:rsidP="002E39D4"/>
    <w:p w14:paraId="64C75964" w14:textId="77777777" w:rsidR="00271E37" w:rsidRPr="00805ADB" w:rsidRDefault="00271E37">
      <w:pPr>
        <w:pStyle w:val="Heading2"/>
      </w:pPr>
      <w:r w:rsidRPr="00805ADB">
        <w:t>18 Other financial liabilities</w:t>
      </w:r>
    </w:p>
    <w:tbl>
      <w:tblPr>
        <w:tblStyle w:val="tableDUL"/>
        <w:tblW w:w="9639" w:type="dxa"/>
        <w:tblLook w:val="04A0" w:firstRow="1" w:lastRow="0" w:firstColumn="1" w:lastColumn="0" w:noHBand="0" w:noVBand="1"/>
      </w:tblPr>
      <w:tblGrid>
        <w:gridCol w:w="7371"/>
        <w:gridCol w:w="1134"/>
        <w:gridCol w:w="1134"/>
      </w:tblGrid>
      <w:tr w:rsidR="00271E37" w:rsidRPr="00066F50" w14:paraId="1E0E3527" w14:textId="77777777" w:rsidTr="00066F50">
        <w:tc>
          <w:tcPr>
            <w:tcW w:w="0" w:type="auto"/>
            <w:tcBorders>
              <w:bottom w:val="nil"/>
            </w:tcBorders>
          </w:tcPr>
          <w:p w14:paraId="4EBD4D72" w14:textId="77777777" w:rsidR="00271E37" w:rsidRPr="00066F50" w:rsidRDefault="00271E37" w:rsidP="00066F50">
            <w:pPr>
              <w:jc w:val="left"/>
            </w:pPr>
          </w:p>
        </w:tc>
        <w:tc>
          <w:tcPr>
            <w:tcW w:w="1134" w:type="dxa"/>
            <w:tcBorders>
              <w:bottom w:val="nil"/>
            </w:tcBorders>
          </w:tcPr>
          <w:p w14:paraId="4F50F72A" w14:textId="77777777" w:rsidR="00271E37" w:rsidRPr="00066F50" w:rsidRDefault="00271E37" w:rsidP="000923EA">
            <w:pPr>
              <w:rPr>
                <w:b/>
                <w:bCs/>
              </w:rPr>
            </w:pPr>
            <w:r w:rsidRPr="00066F50">
              <w:rPr>
                <w:b/>
                <w:bCs/>
              </w:rPr>
              <w:t>202</w:t>
            </w:r>
            <w:r>
              <w:rPr>
                <w:b/>
                <w:bCs/>
              </w:rPr>
              <w:t>6</w:t>
            </w:r>
          </w:p>
        </w:tc>
        <w:tc>
          <w:tcPr>
            <w:tcW w:w="1134" w:type="dxa"/>
            <w:tcBorders>
              <w:bottom w:val="nil"/>
            </w:tcBorders>
          </w:tcPr>
          <w:p w14:paraId="7026DD8C" w14:textId="77777777" w:rsidR="00271E37" w:rsidRPr="00066F50" w:rsidRDefault="00271E37" w:rsidP="000923EA">
            <w:r w:rsidRPr="00066F50">
              <w:t>202</w:t>
            </w:r>
            <w:r>
              <w:t>5</w:t>
            </w:r>
          </w:p>
        </w:tc>
      </w:tr>
      <w:tr w:rsidR="00271E37" w:rsidRPr="00066F50" w14:paraId="4A54E554" w14:textId="77777777" w:rsidTr="00066F50">
        <w:tc>
          <w:tcPr>
            <w:tcW w:w="0" w:type="auto"/>
            <w:tcBorders>
              <w:bottom w:val="single" w:sz="4" w:space="0" w:color="auto"/>
            </w:tcBorders>
          </w:tcPr>
          <w:p w14:paraId="2219E539" w14:textId="77777777" w:rsidR="00271E37" w:rsidRPr="00066F50" w:rsidRDefault="00271E37" w:rsidP="00066F50">
            <w:pPr>
              <w:jc w:val="left"/>
            </w:pPr>
          </w:p>
        </w:tc>
        <w:tc>
          <w:tcPr>
            <w:tcW w:w="1134" w:type="dxa"/>
            <w:tcBorders>
              <w:bottom w:val="single" w:sz="4" w:space="0" w:color="auto"/>
            </w:tcBorders>
          </w:tcPr>
          <w:p w14:paraId="567B7D31" w14:textId="77777777" w:rsidR="00271E37" w:rsidRPr="00066F50" w:rsidRDefault="00271E37" w:rsidP="000923EA">
            <w:pPr>
              <w:rPr>
                <w:b/>
                <w:bCs/>
              </w:rPr>
            </w:pPr>
            <w:r>
              <w:rPr>
                <w:b/>
                <w:bCs/>
              </w:rPr>
              <w:t>£</w:t>
            </w:r>
            <w:r w:rsidRPr="00066F50">
              <w:rPr>
                <w:b/>
                <w:bCs/>
              </w:rPr>
              <w:t>000</w:t>
            </w:r>
          </w:p>
        </w:tc>
        <w:tc>
          <w:tcPr>
            <w:tcW w:w="1134" w:type="dxa"/>
            <w:tcBorders>
              <w:bottom w:val="single" w:sz="4" w:space="0" w:color="auto"/>
            </w:tcBorders>
          </w:tcPr>
          <w:p w14:paraId="5A7EB790" w14:textId="77777777" w:rsidR="00271E37" w:rsidRPr="00066F50" w:rsidRDefault="00271E37" w:rsidP="000923EA">
            <w:r>
              <w:t>£</w:t>
            </w:r>
            <w:r w:rsidRPr="00066F50">
              <w:t>000</w:t>
            </w:r>
          </w:p>
        </w:tc>
      </w:tr>
      <w:tr w:rsidR="00271E37" w:rsidRPr="00066F50" w14:paraId="07CA70B9" w14:textId="77777777" w:rsidTr="00066F50">
        <w:tc>
          <w:tcPr>
            <w:tcW w:w="0" w:type="auto"/>
            <w:tcBorders>
              <w:top w:val="single" w:sz="4" w:space="0" w:color="auto"/>
            </w:tcBorders>
          </w:tcPr>
          <w:p w14:paraId="35EEB570" w14:textId="77777777" w:rsidR="00271E37" w:rsidRPr="00066F50" w:rsidRDefault="00271E37" w:rsidP="00066F50">
            <w:pPr>
              <w:jc w:val="left"/>
              <w:rPr>
                <w:b/>
                <w:bCs/>
              </w:rPr>
            </w:pPr>
            <w:r w:rsidRPr="00066F50">
              <w:rPr>
                <w:b/>
                <w:bCs/>
              </w:rPr>
              <w:t>Included within non-current liabilities</w:t>
            </w:r>
          </w:p>
        </w:tc>
        <w:tc>
          <w:tcPr>
            <w:tcW w:w="1134" w:type="dxa"/>
            <w:tcBorders>
              <w:top w:val="single" w:sz="4" w:space="0" w:color="auto"/>
            </w:tcBorders>
          </w:tcPr>
          <w:p w14:paraId="21B34F13" w14:textId="77777777" w:rsidR="00271E37" w:rsidRPr="00066F50" w:rsidRDefault="00271E37" w:rsidP="000923EA">
            <w:pPr>
              <w:rPr>
                <w:b/>
                <w:bCs/>
              </w:rPr>
            </w:pPr>
          </w:p>
        </w:tc>
        <w:tc>
          <w:tcPr>
            <w:tcW w:w="1134" w:type="dxa"/>
            <w:tcBorders>
              <w:top w:val="single" w:sz="4" w:space="0" w:color="auto"/>
            </w:tcBorders>
          </w:tcPr>
          <w:p w14:paraId="76ED4705" w14:textId="77777777" w:rsidR="00271E37" w:rsidRPr="00066F50" w:rsidRDefault="00271E37" w:rsidP="000923EA"/>
        </w:tc>
      </w:tr>
      <w:tr w:rsidR="00271E37" w:rsidRPr="00066F50" w14:paraId="3F3D4601" w14:textId="77777777">
        <w:tc>
          <w:tcPr>
            <w:tcW w:w="0" w:type="auto"/>
          </w:tcPr>
          <w:p w14:paraId="7C531DE1" w14:textId="77777777" w:rsidR="00271E37" w:rsidRPr="00066F50" w:rsidRDefault="00271E37">
            <w:pPr>
              <w:jc w:val="left"/>
            </w:pPr>
            <w:r w:rsidRPr="00066F50">
              <w:t>Rebates and customer claims</w:t>
            </w:r>
          </w:p>
        </w:tc>
        <w:tc>
          <w:tcPr>
            <w:tcW w:w="1134" w:type="dxa"/>
            <w:vAlign w:val="center"/>
          </w:tcPr>
          <w:p w14:paraId="1BAE352E" w14:textId="77777777" w:rsidR="00271E37" w:rsidRPr="00C016EE" w:rsidRDefault="00271E37">
            <w:pPr>
              <w:rPr>
                <w:b/>
                <w:bCs/>
              </w:rPr>
            </w:pPr>
            <w:r w:rsidRPr="00C016EE">
              <w:rPr>
                <w:rFonts w:cs="Arial"/>
                <w:b/>
                <w:bCs/>
                <w:szCs w:val="16"/>
              </w:rPr>
              <w:t xml:space="preserve"> - </w:t>
            </w:r>
          </w:p>
        </w:tc>
        <w:tc>
          <w:tcPr>
            <w:tcW w:w="1134" w:type="dxa"/>
            <w:vAlign w:val="center"/>
          </w:tcPr>
          <w:p w14:paraId="053AE3AE" w14:textId="77777777" w:rsidR="00271E37" w:rsidRPr="00C016EE" w:rsidRDefault="00271E37">
            <w:r w:rsidRPr="00C016EE">
              <w:rPr>
                <w:rFonts w:cs="Arial"/>
                <w:szCs w:val="16"/>
              </w:rPr>
              <w:t xml:space="preserve">9,811 </w:t>
            </w:r>
          </w:p>
        </w:tc>
      </w:tr>
      <w:tr w:rsidR="00271E37" w:rsidRPr="00066F50" w14:paraId="52E2DD6B" w14:textId="77777777">
        <w:tc>
          <w:tcPr>
            <w:tcW w:w="0" w:type="auto"/>
            <w:tcBorders>
              <w:bottom w:val="nil"/>
            </w:tcBorders>
          </w:tcPr>
          <w:p w14:paraId="2CB36C41" w14:textId="77777777" w:rsidR="00271E37" w:rsidRPr="00066F50" w:rsidRDefault="00271E37">
            <w:pPr>
              <w:jc w:val="left"/>
            </w:pPr>
            <w:r w:rsidRPr="00066F50">
              <w:t>Employee costs</w:t>
            </w:r>
          </w:p>
        </w:tc>
        <w:tc>
          <w:tcPr>
            <w:tcW w:w="1134" w:type="dxa"/>
            <w:tcBorders>
              <w:bottom w:val="nil"/>
            </w:tcBorders>
            <w:vAlign w:val="center"/>
          </w:tcPr>
          <w:p w14:paraId="7A4CD5EC" w14:textId="77777777" w:rsidR="00271E37" w:rsidRPr="00C016EE" w:rsidRDefault="00271E37">
            <w:pPr>
              <w:rPr>
                <w:b/>
                <w:bCs/>
              </w:rPr>
            </w:pPr>
            <w:r w:rsidRPr="00C016EE">
              <w:rPr>
                <w:rFonts w:cs="Arial"/>
                <w:b/>
                <w:bCs/>
                <w:szCs w:val="16"/>
              </w:rPr>
              <w:t xml:space="preserve">112 </w:t>
            </w:r>
          </w:p>
        </w:tc>
        <w:tc>
          <w:tcPr>
            <w:tcW w:w="1134" w:type="dxa"/>
            <w:tcBorders>
              <w:bottom w:val="nil"/>
            </w:tcBorders>
            <w:vAlign w:val="center"/>
          </w:tcPr>
          <w:p w14:paraId="70B7B68B" w14:textId="77777777" w:rsidR="00271E37" w:rsidRPr="00C016EE" w:rsidRDefault="00271E37">
            <w:r w:rsidRPr="00C016EE">
              <w:rPr>
                <w:rFonts w:cs="Arial"/>
                <w:szCs w:val="16"/>
              </w:rPr>
              <w:t xml:space="preserve">827 </w:t>
            </w:r>
          </w:p>
        </w:tc>
      </w:tr>
      <w:tr w:rsidR="00271E37" w:rsidRPr="00066F50" w14:paraId="3BFFDB3E" w14:textId="77777777">
        <w:tc>
          <w:tcPr>
            <w:tcW w:w="0" w:type="auto"/>
            <w:tcBorders>
              <w:bottom w:val="single" w:sz="4" w:space="0" w:color="auto"/>
            </w:tcBorders>
          </w:tcPr>
          <w:p w14:paraId="64553380" w14:textId="77777777" w:rsidR="00271E37" w:rsidRPr="00066F50" w:rsidRDefault="00271E37">
            <w:pPr>
              <w:jc w:val="left"/>
            </w:pPr>
            <w:r w:rsidRPr="00066F50">
              <w:t>Other creditors and accruals</w:t>
            </w:r>
          </w:p>
        </w:tc>
        <w:tc>
          <w:tcPr>
            <w:tcW w:w="1134" w:type="dxa"/>
            <w:tcBorders>
              <w:bottom w:val="single" w:sz="4" w:space="0" w:color="auto"/>
            </w:tcBorders>
            <w:vAlign w:val="center"/>
          </w:tcPr>
          <w:p w14:paraId="33A5A957" w14:textId="77777777" w:rsidR="00271E37" w:rsidRPr="00C016EE" w:rsidRDefault="00271E37">
            <w:pPr>
              <w:rPr>
                <w:b/>
                <w:bCs/>
              </w:rPr>
            </w:pPr>
            <w:r w:rsidRPr="00C016EE">
              <w:rPr>
                <w:rFonts w:cs="Arial"/>
                <w:b/>
                <w:bCs/>
                <w:szCs w:val="16"/>
              </w:rPr>
              <w:t xml:space="preserve">117 </w:t>
            </w:r>
          </w:p>
        </w:tc>
        <w:tc>
          <w:tcPr>
            <w:tcW w:w="1134" w:type="dxa"/>
            <w:tcBorders>
              <w:bottom w:val="single" w:sz="4" w:space="0" w:color="auto"/>
            </w:tcBorders>
            <w:vAlign w:val="center"/>
          </w:tcPr>
          <w:p w14:paraId="755E4166" w14:textId="77777777" w:rsidR="00271E37" w:rsidRPr="00C016EE" w:rsidRDefault="00271E37">
            <w:r w:rsidRPr="00C016EE">
              <w:rPr>
                <w:rFonts w:cs="Arial"/>
                <w:szCs w:val="16"/>
              </w:rPr>
              <w:t xml:space="preserve">1,231 </w:t>
            </w:r>
          </w:p>
        </w:tc>
      </w:tr>
      <w:tr w:rsidR="00271E37" w:rsidRPr="00066F50" w14:paraId="5CC82D56" w14:textId="77777777">
        <w:tc>
          <w:tcPr>
            <w:tcW w:w="0" w:type="auto"/>
            <w:tcBorders>
              <w:top w:val="single" w:sz="4" w:space="0" w:color="auto"/>
              <w:bottom w:val="single" w:sz="4" w:space="0" w:color="auto"/>
            </w:tcBorders>
          </w:tcPr>
          <w:p w14:paraId="618AB6A8" w14:textId="77777777" w:rsidR="00271E37" w:rsidRPr="00066F50" w:rsidRDefault="00271E37">
            <w:pPr>
              <w:jc w:val="left"/>
            </w:pPr>
          </w:p>
        </w:tc>
        <w:tc>
          <w:tcPr>
            <w:tcW w:w="1134" w:type="dxa"/>
            <w:tcBorders>
              <w:top w:val="single" w:sz="4" w:space="0" w:color="auto"/>
              <w:bottom w:val="single" w:sz="4" w:space="0" w:color="auto"/>
            </w:tcBorders>
            <w:vAlign w:val="center"/>
          </w:tcPr>
          <w:p w14:paraId="218E42C5" w14:textId="77777777" w:rsidR="00271E37" w:rsidRPr="00C016EE" w:rsidRDefault="00271E37">
            <w:pPr>
              <w:rPr>
                <w:b/>
                <w:bCs/>
              </w:rPr>
            </w:pPr>
            <w:r w:rsidRPr="00C016EE">
              <w:rPr>
                <w:rFonts w:cs="Arial"/>
                <w:b/>
                <w:bCs/>
                <w:szCs w:val="16"/>
              </w:rPr>
              <w:t xml:space="preserve">229 </w:t>
            </w:r>
          </w:p>
        </w:tc>
        <w:tc>
          <w:tcPr>
            <w:tcW w:w="1134" w:type="dxa"/>
            <w:tcBorders>
              <w:top w:val="single" w:sz="4" w:space="0" w:color="auto"/>
              <w:bottom w:val="single" w:sz="4" w:space="0" w:color="auto"/>
            </w:tcBorders>
            <w:vAlign w:val="center"/>
          </w:tcPr>
          <w:p w14:paraId="69A43D15" w14:textId="77777777" w:rsidR="00271E37" w:rsidRPr="00C016EE" w:rsidRDefault="00271E37">
            <w:r w:rsidRPr="00C016EE">
              <w:rPr>
                <w:rFonts w:cs="Arial"/>
                <w:szCs w:val="16"/>
              </w:rPr>
              <w:t xml:space="preserve">11,869 </w:t>
            </w:r>
          </w:p>
        </w:tc>
      </w:tr>
      <w:tr w:rsidR="00271E37" w:rsidRPr="00066F50" w14:paraId="21DC4FBA" w14:textId="77777777">
        <w:tc>
          <w:tcPr>
            <w:tcW w:w="0" w:type="auto"/>
            <w:tcBorders>
              <w:top w:val="single" w:sz="4" w:space="0" w:color="auto"/>
            </w:tcBorders>
          </w:tcPr>
          <w:p w14:paraId="06802CDD" w14:textId="77777777" w:rsidR="00271E37" w:rsidRPr="00066F50" w:rsidRDefault="00271E37">
            <w:pPr>
              <w:jc w:val="left"/>
              <w:rPr>
                <w:b/>
                <w:bCs/>
              </w:rPr>
            </w:pPr>
            <w:r w:rsidRPr="00066F50">
              <w:rPr>
                <w:b/>
                <w:bCs/>
              </w:rPr>
              <w:t>Included within current liabilities</w:t>
            </w:r>
          </w:p>
        </w:tc>
        <w:tc>
          <w:tcPr>
            <w:tcW w:w="1134" w:type="dxa"/>
            <w:tcBorders>
              <w:top w:val="single" w:sz="4" w:space="0" w:color="auto"/>
            </w:tcBorders>
            <w:vAlign w:val="center"/>
          </w:tcPr>
          <w:p w14:paraId="7E45CDFB" w14:textId="77777777" w:rsidR="00271E37" w:rsidRPr="00C016EE" w:rsidRDefault="00271E37">
            <w:pPr>
              <w:rPr>
                <w:b/>
                <w:bCs/>
              </w:rPr>
            </w:pPr>
          </w:p>
        </w:tc>
        <w:tc>
          <w:tcPr>
            <w:tcW w:w="1134" w:type="dxa"/>
            <w:tcBorders>
              <w:top w:val="single" w:sz="4" w:space="0" w:color="auto"/>
            </w:tcBorders>
            <w:vAlign w:val="center"/>
          </w:tcPr>
          <w:p w14:paraId="56FC231F" w14:textId="77777777" w:rsidR="00271E37" w:rsidRPr="00C016EE" w:rsidRDefault="00271E37"/>
        </w:tc>
      </w:tr>
      <w:tr w:rsidR="00271E37" w:rsidRPr="00066F50" w14:paraId="7A00A81E" w14:textId="77777777">
        <w:tc>
          <w:tcPr>
            <w:tcW w:w="0" w:type="auto"/>
          </w:tcPr>
          <w:p w14:paraId="1BEB68E4" w14:textId="77777777" w:rsidR="00271E37" w:rsidRPr="00066F50" w:rsidRDefault="00271E37">
            <w:pPr>
              <w:jc w:val="left"/>
            </w:pPr>
            <w:r w:rsidRPr="00066F50">
              <w:t>Employee costs</w:t>
            </w:r>
          </w:p>
        </w:tc>
        <w:tc>
          <w:tcPr>
            <w:tcW w:w="1134" w:type="dxa"/>
            <w:vAlign w:val="center"/>
          </w:tcPr>
          <w:p w14:paraId="3123AFE5" w14:textId="77777777" w:rsidR="00271E37" w:rsidRPr="00C016EE" w:rsidRDefault="00271E37">
            <w:pPr>
              <w:rPr>
                <w:b/>
                <w:bCs/>
              </w:rPr>
            </w:pPr>
            <w:r w:rsidRPr="00C016EE">
              <w:rPr>
                <w:rFonts w:cs="Arial"/>
                <w:b/>
                <w:bCs/>
                <w:szCs w:val="16"/>
              </w:rPr>
              <w:t xml:space="preserve">5,466 </w:t>
            </w:r>
          </w:p>
        </w:tc>
        <w:tc>
          <w:tcPr>
            <w:tcW w:w="1134" w:type="dxa"/>
            <w:vAlign w:val="center"/>
          </w:tcPr>
          <w:p w14:paraId="411FBF74" w14:textId="77777777" w:rsidR="00271E37" w:rsidRPr="00C016EE" w:rsidRDefault="00271E37">
            <w:r w:rsidRPr="00C016EE">
              <w:rPr>
                <w:rFonts w:cs="Arial"/>
                <w:szCs w:val="16"/>
              </w:rPr>
              <w:t xml:space="preserve">8,582 </w:t>
            </w:r>
          </w:p>
        </w:tc>
      </w:tr>
      <w:tr w:rsidR="00271E37" w:rsidRPr="00066F50" w14:paraId="0853B9A3" w14:textId="77777777">
        <w:tc>
          <w:tcPr>
            <w:tcW w:w="0" w:type="auto"/>
          </w:tcPr>
          <w:p w14:paraId="063E8515" w14:textId="77777777" w:rsidR="00271E37" w:rsidRPr="00066F50" w:rsidRDefault="00271E37">
            <w:pPr>
              <w:jc w:val="left"/>
            </w:pPr>
            <w:r w:rsidRPr="00066F50">
              <w:t>Rebates and customer claims</w:t>
            </w:r>
          </w:p>
        </w:tc>
        <w:tc>
          <w:tcPr>
            <w:tcW w:w="1134" w:type="dxa"/>
            <w:vAlign w:val="center"/>
          </w:tcPr>
          <w:p w14:paraId="2784259C" w14:textId="77777777" w:rsidR="00271E37" w:rsidRPr="00C016EE" w:rsidRDefault="00271E37">
            <w:pPr>
              <w:rPr>
                <w:b/>
                <w:bCs/>
              </w:rPr>
            </w:pPr>
            <w:r w:rsidRPr="00C016EE">
              <w:rPr>
                <w:rFonts w:cs="Arial"/>
                <w:b/>
                <w:bCs/>
                <w:szCs w:val="16"/>
              </w:rPr>
              <w:t xml:space="preserve">1,893 </w:t>
            </w:r>
          </w:p>
        </w:tc>
        <w:tc>
          <w:tcPr>
            <w:tcW w:w="1134" w:type="dxa"/>
            <w:vAlign w:val="center"/>
          </w:tcPr>
          <w:p w14:paraId="13A3A73E" w14:textId="77777777" w:rsidR="00271E37" w:rsidRPr="00C016EE" w:rsidRDefault="00271E37">
            <w:r w:rsidRPr="00C016EE">
              <w:rPr>
                <w:rFonts w:cs="Arial"/>
                <w:szCs w:val="16"/>
              </w:rPr>
              <w:t xml:space="preserve">8,256 </w:t>
            </w:r>
          </w:p>
        </w:tc>
      </w:tr>
      <w:tr w:rsidR="00271E37" w:rsidRPr="00066F50" w14:paraId="751B0B9D" w14:textId="77777777">
        <w:tc>
          <w:tcPr>
            <w:tcW w:w="0" w:type="auto"/>
          </w:tcPr>
          <w:p w14:paraId="0F0559F7" w14:textId="77777777" w:rsidR="00271E37" w:rsidRPr="00066F50" w:rsidRDefault="00271E37">
            <w:pPr>
              <w:jc w:val="left"/>
            </w:pPr>
            <w:r w:rsidRPr="00066F50">
              <w:t>Property costs</w:t>
            </w:r>
          </w:p>
        </w:tc>
        <w:tc>
          <w:tcPr>
            <w:tcW w:w="1134" w:type="dxa"/>
            <w:vAlign w:val="center"/>
          </w:tcPr>
          <w:p w14:paraId="5B59119A" w14:textId="77777777" w:rsidR="00271E37" w:rsidRPr="00C016EE" w:rsidRDefault="00271E37">
            <w:pPr>
              <w:rPr>
                <w:b/>
                <w:bCs/>
              </w:rPr>
            </w:pPr>
            <w:r w:rsidRPr="00C016EE">
              <w:rPr>
                <w:rFonts w:cs="Arial"/>
                <w:b/>
                <w:bCs/>
                <w:szCs w:val="16"/>
              </w:rPr>
              <w:t xml:space="preserve"> - </w:t>
            </w:r>
          </w:p>
        </w:tc>
        <w:tc>
          <w:tcPr>
            <w:tcW w:w="1134" w:type="dxa"/>
            <w:vAlign w:val="center"/>
          </w:tcPr>
          <w:p w14:paraId="0305159E" w14:textId="77777777" w:rsidR="00271E37" w:rsidRPr="00C016EE" w:rsidRDefault="00271E37">
            <w:r w:rsidRPr="00C016EE">
              <w:rPr>
                <w:rFonts w:cs="Arial"/>
                <w:szCs w:val="16"/>
              </w:rPr>
              <w:t xml:space="preserve">1,875 </w:t>
            </w:r>
          </w:p>
        </w:tc>
      </w:tr>
      <w:tr w:rsidR="00271E37" w:rsidRPr="00066F50" w14:paraId="4F86BB04" w14:textId="77777777">
        <w:tc>
          <w:tcPr>
            <w:tcW w:w="0" w:type="auto"/>
            <w:tcBorders>
              <w:bottom w:val="nil"/>
            </w:tcBorders>
          </w:tcPr>
          <w:p w14:paraId="29996F3D" w14:textId="77777777" w:rsidR="00271E37" w:rsidRPr="00066F50" w:rsidRDefault="00271E37">
            <w:pPr>
              <w:jc w:val="left"/>
            </w:pPr>
            <w:r w:rsidRPr="00066F50">
              <w:t>Goods in transit</w:t>
            </w:r>
          </w:p>
        </w:tc>
        <w:tc>
          <w:tcPr>
            <w:tcW w:w="1134" w:type="dxa"/>
            <w:tcBorders>
              <w:bottom w:val="nil"/>
            </w:tcBorders>
            <w:vAlign w:val="center"/>
          </w:tcPr>
          <w:p w14:paraId="7E4D429C" w14:textId="77777777" w:rsidR="00271E37" w:rsidRPr="00C016EE" w:rsidRDefault="00271E37">
            <w:pPr>
              <w:rPr>
                <w:b/>
                <w:bCs/>
              </w:rPr>
            </w:pPr>
            <w:r w:rsidRPr="00C016EE">
              <w:rPr>
                <w:rFonts w:cs="Arial"/>
                <w:b/>
                <w:bCs/>
                <w:szCs w:val="16"/>
              </w:rPr>
              <w:t xml:space="preserve">673 </w:t>
            </w:r>
          </w:p>
        </w:tc>
        <w:tc>
          <w:tcPr>
            <w:tcW w:w="1134" w:type="dxa"/>
            <w:tcBorders>
              <w:bottom w:val="nil"/>
            </w:tcBorders>
            <w:vAlign w:val="center"/>
          </w:tcPr>
          <w:p w14:paraId="75015780" w14:textId="77777777" w:rsidR="00271E37" w:rsidRPr="00C016EE" w:rsidRDefault="00271E37">
            <w:r w:rsidRPr="00C016EE">
              <w:rPr>
                <w:rFonts w:cs="Arial"/>
                <w:szCs w:val="16"/>
              </w:rPr>
              <w:t xml:space="preserve">2,057 </w:t>
            </w:r>
          </w:p>
        </w:tc>
      </w:tr>
      <w:tr w:rsidR="00271E37" w:rsidRPr="00066F50" w14:paraId="29339246" w14:textId="77777777">
        <w:tc>
          <w:tcPr>
            <w:tcW w:w="0" w:type="auto"/>
            <w:tcBorders>
              <w:bottom w:val="single" w:sz="4" w:space="0" w:color="auto"/>
            </w:tcBorders>
          </w:tcPr>
          <w:p w14:paraId="7EC1697B" w14:textId="77777777" w:rsidR="00271E37" w:rsidRPr="00066F50" w:rsidRDefault="00271E37">
            <w:pPr>
              <w:jc w:val="left"/>
            </w:pPr>
            <w:r w:rsidRPr="00066F50">
              <w:t>Other creditors and accruals</w:t>
            </w:r>
          </w:p>
        </w:tc>
        <w:tc>
          <w:tcPr>
            <w:tcW w:w="1134" w:type="dxa"/>
            <w:tcBorders>
              <w:bottom w:val="single" w:sz="4" w:space="0" w:color="auto"/>
            </w:tcBorders>
            <w:vAlign w:val="center"/>
          </w:tcPr>
          <w:p w14:paraId="5CF89C80" w14:textId="77777777" w:rsidR="00271E37" w:rsidRPr="00C016EE" w:rsidRDefault="00271E37">
            <w:pPr>
              <w:rPr>
                <w:b/>
                <w:bCs/>
              </w:rPr>
            </w:pPr>
            <w:r w:rsidRPr="00C016EE">
              <w:rPr>
                <w:rFonts w:cs="Arial"/>
                <w:b/>
                <w:bCs/>
                <w:szCs w:val="16"/>
              </w:rPr>
              <w:t xml:space="preserve">3,549 </w:t>
            </w:r>
          </w:p>
        </w:tc>
        <w:tc>
          <w:tcPr>
            <w:tcW w:w="1134" w:type="dxa"/>
            <w:tcBorders>
              <w:bottom w:val="single" w:sz="4" w:space="0" w:color="auto"/>
            </w:tcBorders>
            <w:vAlign w:val="center"/>
          </w:tcPr>
          <w:p w14:paraId="4898CE6A" w14:textId="77777777" w:rsidR="00271E37" w:rsidRPr="00C016EE" w:rsidRDefault="00271E37">
            <w:r w:rsidRPr="00C016EE">
              <w:rPr>
                <w:rFonts w:cs="Arial"/>
                <w:szCs w:val="16"/>
              </w:rPr>
              <w:t xml:space="preserve">4,357 </w:t>
            </w:r>
          </w:p>
        </w:tc>
      </w:tr>
      <w:tr w:rsidR="00271E37" w:rsidRPr="00066F50" w14:paraId="4C4FC0FD" w14:textId="77777777">
        <w:tc>
          <w:tcPr>
            <w:tcW w:w="0" w:type="auto"/>
            <w:tcBorders>
              <w:top w:val="single" w:sz="4" w:space="0" w:color="auto"/>
              <w:bottom w:val="nil"/>
            </w:tcBorders>
          </w:tcPr>
          <w:p w14:paraId="3A7F5222" w14:textId="77777777" w:rsidR="00271E37" w:rsidRPr="00066F50" w:rsidRDefault="00271E37">
            <w:pPr>
              <w:jc w:val="left"/>
            </w:pPr>
          </w:p>
        </w:tc>
        <w:tc>
          <w:tcPr>
            <w:tcW w:w="1134" w:type="dxa"/>
            <w:tcBorders>
              <w:top w:val="single" w:sz="4" w:space="0" w:color="auto"/>
              <w:bottom w:val="nil"/>
            </w:tcBorders>
            <w:vAlign w:val="center"/>
          </w:tcPr>
          <w:p w14:paraId="417EBFDD" w14:textId="77777777" w:rsidR="00271E37" w:rsidRPr="00C016EE" w:rsidRDefault="00271E37">
            <w:pPr>
              <w:rPr>
                <w:b/>
                <w:bCs/>
              </w:rPr>
            </w:pPr>
            <w:r w:rsidRPr="00C016EE">
              <w:rPr>
                <w:rFonts w:cs="Arial"/>
                <w:b/>
                <w:bCs/>
                <w:szCs w:val="16"/>
              </w:rPr>
              <w:t xml:space="preserve">11,581 </w:t>
            </w:r>
          </w:p>
        </w:tc>
        <w:tc>
          <w:tcPr>
            <w:tcW w:w="1134" w:type="dxa"/>
            <w:tcBorders>
              <w:top w:val="single" w:sz="4" w:space="0" w:color="auto"/>
              <w:bottom w:val="nil"/>
            </w:tcBorders>
            <w:vAlign w:val="center"/>
          </w:tcPr>
          <w:p w14:paraId="36934F23" w14:textId="77777777" w:rsidR="00271E37" w:rsidRPr="00C016EE" w:rsidRDefault="00271E37">
            <w:r w:rsidRPr="00C016EE">
              <w:rPr>
                <w:rFonts w:cs="Arial"/>
                <w:szCs w:val="16"/>
              </w:rPr>
              <w:t xml:space="preserve">25,127 </w:t>
            </w:r>
          </w:p>
        </w:tc>
      </w:tr>
      <w:tr w:rsidR="00271E37" w:rsidRPr="00066F50" w14:paraId="6A890099" w14:textId="77777777">
        <w:tc>
          <w:tcPr>
            <w:tcW w:w="0" w:type="auto"/>
            <w:tcBorders>
              <w:top w:val="nil"/>
              <w:bottom w:val="single" w:sz="4" w:space="0" w:color="auto"/>
            </w:tcBorders>
          </w:tcPr>
          <w:p w14:paraId="2AAB8A7F" w14:textId="77777777" w:rsidR="00271E37" w:rsidRPr="00066F50" w:rsidRDefault="00271E37">
            <w:pPr>
              <w:jc w:val="left"/>
            </w:pPr>
            <w:r w:rsidRPr="00066F50">
              <w:t>Forward foreign exchange contracts carried at fair value through the hedging reserve</w:t>
            </w:r>
          </w:p>
        </w:tc>
        <w:tc>
          <w:tcPr>
            <w:tcW w:w="1134" w:type="dxa"/>
            <w:tcBorders>
              <w:top w:val="nil"/>
              <w:bottom w:val="single" w:sz="4" w:space="0" w:color="auto"/>
            </w:tcBorders>
            <w:vAlign w:val="center"/>
          </w:tcPr>
          <w:p w14:paraId="11ECE2C9" w14:textId="77777777" w:rsidR="00271E37" w:rsidRPr="00C016EE" w:rsidRDefault="00271E37">
            <w:pPr>
              <w:rPr>
                <w:b/>
                <w:bCs/>
              </w:rPr>
            </w:pPr>
            <w:r w:rsidRPr="00C016EE">
              <w:rPr>
                <w:rFonts w:cs="Arial"/>
                <w:b/>
                <w:bCs/>
                <w:szCs w:val="16"/>
              </w:rPr>
              <w:t xml:space="preserve">76 </w:t>
            </w:r>
          </w:p>
        </w:tc>
        <w:tc>
          <w:tcPr>
            <w:tcW w:w="1134" w:type="dxa"/>
            <w:tcBorders>
              <w:top w:val="nil"/>
              <w:bottom w:val="single" w:sz="4" w:space="0" w:color="auto"/>
            </w:tcBorders>
            <w:vAlign w:val="center"/>
          </w:tcPr>
          <w:p w14:paraId="47C4F8C9" w14:textId="77777777" w:rsidR="00271E37" w:rsidRPr="00C016EE" w:rsidRDefault="00271E37">
            <w:r w:rsidRPr="00C016EE">
              <w:rPr>
                <w:rFonts w:cs="Arial"/>
                <w:szCs w:val="16"/>
              </w:rPr>
              <w:t xml:space="preserve">413 </w:t>
            </w:r>
          </w:p>
        </w:tc>
      </w:tr>
      <w:tr w:rsidR="00271E37" w:rsidRPr="00066F50" w14:paraId="4B2D073C" w14:textId="77777777">
        <w:tc>
          <w:tcPr>
            <w:tcW w:w="0" w:type="auto"/>
            <w:tcBorders>
              <w:top w:val="single" w:sz="4" w:space="0" w:color="auto"/>
            </w:tcBorders>
          </w:tcPr>
          <w:p w14:paraId="24E8D5A9" w14:textId="77777777" w:rsidR="00271E37" w:rsidRPr="00066F50" w:rsidRDefault="00271E37">
            <w:pPr>
              <w:jc w:val="left"/>
            </w:pPr>
          </w:p>
        </w:tc>
        <w:tc>
          <w:tcPr>
            <w:tcW w:w="1134" w:type="dxa"/>
            <w:tcBorders>
              <w:top w:val="single" w:sz="4" w:space="0" w:color="auto"/>
            </w:tcBorders>
            <w:vAlign w:val="center"/>
          </w:tcPr>
          <w:p w14:paraId="13597356" w14:textId="77777777" w:rsidR="00271E37" w:rsidRPr="00C016EE" w:rsidRDefault="00271E37">
            <w:pPr>
              <w:rPr>
                <w:b/>
                <w:bCs/>
              </w:rPr>
            </w:pPr>
            <w:r w:rsidRPr="00C016EE">
              <w:rPr>
                <w:rFonts w:cs="Arial"/>
                <w:b/>
                <w:bCs/>
                <w:szCs w:val="16"/>
              </w:rPr>
              <w:t xml:space="preserve">11,657 </w:t>
            </w:r>
          </w:p>
        </w:tc>
        <w:tc>
          <w:tcPr>
            <w:tcW w:w="1134" w:type="dxa"/>
            <w:tcBorders>
              <w:top w:val="single" w:sz="4" w:space="0" w:color="auto"/>
            </w:tcBorders>
            <w:vAlign w:val="center"/>
          </w:tcPr>
          <w:p w14:paraId="69AA73E5" w14:textId="77777777" w:rsidR="00271E37" w:rsidRPr="00C016EE" w:rsidRDefault="00271E37">
            <w:r w:rsidRPr="00C016EE">
              <w:rPr>
                <w:rFonts w:cs="Arial"/>
                <w:szCs w:val="16"/>
              </w:rPr>
              <w:t xml:space="preserve">25,540 </w:t>
            </w:r>
          </w:p>
        </w:tc>
      </w:tr>
    </w:tbl>
    <w:p w14:paraId="197B69FB" w14:textId="77777777" w:rsidR="00271E37" w:rsidRDefault="00271E37" w:rsidP="002E39D4"/>
    <w:p w14:paraId="2E9D8C37" w14:textId="77777777" w:rsidR="00271E37" w:rsidRPr="00805ADB" w:rsidRDefault="00271E37">
      <w:pPr>
        <w:pStyle w:val="Heading2"/>
      </w:pPr>
      <w:r w:rsidRPr="00805ADB">
        <w:t>19 Trade and other payables</w:t>
      </w:r>
    </w:p>
    <w:tbl>
      <w:tblPr>
        <w:tblStyle w:val="tableDUL"/>
        <w:tblW w:w="9639" w:type="dxa"/>
        <w:tblLook w:val="04A0" w:firstRow="1" w:lastRow="0" w:firstColumn="1" w:lastColumn="0" w:noHBand="0" w:noVBand="1"/>
      </w:tblPr>
      <w:tblGrid>
        <w:gridCol w:w="7371"/>
        <w:gridCol w:w="1134"/>
        <w:gridCol w:w="1134"/>
      </w:tblGrid>
      <w:tr w:rsidR="00271E37" w:rsidRPr="00066F50" w14:paraId="35FB568E" w14:textId="77777777" w:rsidTr="00066F50">
        <w:tc>
          <w:tcPr>
            <w:tcW w:w="0" w:type="auto"/>
            <w:tcBorders>
              <w:bottom w:val="nil"/>
            </w:tcBorders>
          </w:tcPr>
          <w:p w14:paraId="6D18DF23" w14:textId="77777777" w:rsidR="00271E37" w:rsidRPr="00066F50" w:rsidRDefault="00271E37" w:rsidP="00066F50">
            <w:pPr>
              <w:jc w:val="left"/>
            </w:pPr>
          </w:p>
        </w:tc>
        <w:tc>
          <w:tcPr>
            <w:tcW w:w="1134" w:type="dxa"/>
            <w:tcBorders>
              <w:bottom w:val="nil"/>
            </w:tcBorders>
          </w:tcPr>
          <w:p w14:paraId="6E3534A7" w14:textId="77777777" w:rsidR="00271E37" w:rsidRPr="00066F50" w:rsidRDefault="00271E37" w:rsidP="000923EA">
            <w:pPr>
              <w:rPr>
                <w:b/>
                <w:bCs/>
              </w:rPr>
            </w:pPr>
            <w:r w:rsidRPr="00066F50">
              <w:rPr>
                <w:b/>
                <w:bCs/>
              </w:rPr>
              <w:t>202</w:t>
            </w:r>
            <w:r>
              <w:rPr>
                <w:b/>
                <w:bCs/>
              </w:rPr>
              <w:t>6</w:t>
            </w:r>
          </w:p>
        </w:tc>
        <w:tc>
          <w:tcPr>
            <w:tcW w:w="1134" w:type="dxa"/>
            <w:tcBorders>
              <w:bottom w:val="nil"/>
            </w:tcBorders>
          </w:tcPr>
          <w:p w14:paraId="0A31DD16" w14:textId="77777777" w:rsidR="00271E37" w:rsidRPr="00066F50" w:rsidRDefault="00271E37" w:rsidP="000923EA">
            <w:r w:rsidRPr="00066F50">
              <w:t>202</w:t>
            </w:r>
            <w:r>
              <w:t>5</w:t>
            </w:r>
          </w:p>
        </w:tc>
      </w:tr>
      <w:tr w:rsidR="00271E37" w:rsidRPr="00066F50" w14:paraId="35C0EA0A" w14:textId="77777777" w:rsidTr="00066F50">
        <w:tc>
          <w:tcPr>
            <w:tcW w:w="0" w:type="auto"/>
            <w:tcBorders>
              <w:bottom w:val="single" w:sz="4" w:space="0" w:color="auto"/>
            </w:tcBorders>
          </w:tcPr>
          <w:p w14:paraId="06345CF5" w14:textId="77777777" w:rsidR="00271E37" w:rsidRPr="00066F50" w:rsidRDefault="00271E37" w:rsidP="00066F50">
            <w:pPr>
              <w:jc w:val="left"/>
            </w:pPr>
          </w:p>
        </w:tc>
        <w:tc>
          <w:tcPr>
            <w:tcW w:w="1134" w:type="dxa"/>
            <w:tcBorders>
              <w:bottom w:val="single" w:sz="4" w:space="0" w:color="auto"/>
            </w:tcBorders>
          </w:tcPr>
          <w:p w14:paraId="21DECE8A" w14:textId="77777777" w:rsidR="00271E37" w:rsidRPr="00066F50" w:rsidRDefault="00271E37" w:rsidP="000923EA">
            <w:pPr>
              <w:rPr>
                <w:b/>
                <w:bCs/>
              </w:rPr>
            </w:pPr>
            <w:r>
              <w:rPr>
                <w:b/>
                <w:bCs/>
              </w:rPr>
              <w:t>£</w:t>
            </w:r>
            <w:r w:rsidRPr="00066F50">
              <w:rPr>
                <w:b/>
                <w:bCs/>
              </w:rPr>
              <w:t>000</w:t>
            </w:r>
          </w:p>
        </w:tc>
        <w:tc>
          <w:tcPr>
            <w:tcW w:w="1134" w:type="dxa"/>
            <w:tcBorders>
              <w:bottom w:val="single" w:sz="4" w:space="0" w:color="auto"/>
            </w:tcBorders>
          </w:tcPr>
          <w:p w14:paraId="7BA64C10" w14:textId="77777777" w:rsidR="00271E37" w:rsidRPr="00066F50" w:rsidRDefault="00271E37" w:rsidP="000923EA">
            <w:r>
              <w:t>£</w:t>
            </w:r>
            <w:r w:rsidRPr="00066F50">
              <w:t>000</w:t>
            </w:r>
          </w:p>
        </w:tc>
      </w:tr>
      <w:tr w:rsidR="00271E37" w:rsidRPr="00066F50" w14:paraId="0775AA17" w14:textId="77777777">
        <w:tc>
          <w:tcPr>
            <w:tcW w:w="0" w:type="auto"/>
            <w:tcBorders>
              <w:top w:val="single" w:sz="4" w:space="0" w:color="auto"/>
            </w:tcBorders>
          </w:tcPr>
          <w:p w14:paraId="44DF4E96" w14:textId="77777777" w:rsidR="00271E37" w:rsidRPr="00066F50" w:rsidRDefault="00271E37">
            <w:pPr>
              <w:jc w:val="left"/>
            </w:pPr>
            <w:r w:rsidRPr="00066F50">
              <w:t xml:space="preserve">Trade payables </w:t>
            </w:r>
          </w:p>
        </w:tc>
        <w:tc>
          <w:tcPr>
            <w:tcW w:w="1134" w:type="dxa"/>
            <w:tcBorders>
              <w:top w:val="single" w:sz="4" w:space="0" w:color="auto"/>
            </w:tcBorders>
            <w:vAlign w:val="center"/>
          </w:tcPr>
          <w:p w14:paraId="45D698DF" w14:textId="77777777" w:rsidR="00271E37" w:rsidRPr="007E01A7" w:rsidRDefault="00271E37">
            <w:pPr>
              <w:rPr>
                <w:b/>
                <w:bCs/>
              </w:rPr>
            </w:pPr>
            <w:r>
              <w:rPr>
                <w:rFonts w:cs="Arial"/>
                <w:b/>
                <w:bCs/>
                <w:color w:val="000000"/>
                <w:szCs w:val="16"/>
              </w:rPr>
              <w:t xml:space="preserve">22,914 </w:t>
            </w:r>
          </w:p>
        </w:tc>
        <w:tc>
          <w:tcPr>
            <w:tcW w:w="1134" w:type="dxa"/>
            <w:tcBorders>
              <w:top w:val="single" w:sz="4" w:space="0" w:color="auto"/>
            </w:tcBorders>
            <w:vAlign w:val="center"/>
          </w:tcPr>
          <w:p w14:paraId="54B38EAF" w14:textId="77777777" w:rsidR="00271E37" w:rsidRPr="007E01A7" w:rsidRDefault="00271E37">
            <w:r>
              <w:rPr>
                <w:rFonts w:cs="Arial"/>
                <w:color w:val="000000"/>
                <w:szCs w:val="16"/>
              </w:rPr>
              <w:t xml:space="preserve">63,152 </w:t>
            </w:r>
          </w:p>
        </w:tc>
      </w:tr>
      <w:tr w:rsidR="00271E37" w:rsidRPr="00066F50" w14:paraId="1C74D68F" w14:textId="77777777">
        <w:tc>
          <w:tcPr>
            <w:tcW w:w="0" w:type="auto"/>
            <w:tcBorders>
              <w:bottom w:val="nil"/>
            </w:tcBorders>
          </w:tcPr>
          <w:p w14:paraId="480AF804" w14:textId="77777777" w:rsidR="00271E37" w:rsidRPr="00066F50" w:rsidRDefault="00271E37">
            <w:pPr>
              <w:jc w:val="left"/>
            </w:pPr>
            <w:r w:rsidRPr="00066F50">
              <w:t>Other payables including social security</w:t>
            </w:r>
          </w:p>
        </w:tc>
        <w:tc>
          <w:tcPr>
            <w:tcW w:w="1134" w:type="dxa"/>
            <w:tcBorders>
              <w:bottom w:val="nil"/>
            </w:tcBorders>
            <w:vAlign w:val="center"/>
          </w:tcPr>
          <w:p w14:paraId="67D98C1D" w14:textId="77777777" w:rsidR="00271E37" w:rsidRPr="007E01A7" w:rsidRDefault="00271E37">
            <w:pPr>
              <w:rPr>
                <w:b/>
                <w:bCs/>
              </w:rPr>
            </w:pPr>
            <w:r>
              <w:rPr>
                <w:rFonts w:cs="Arial"/>
                <w:b/>
                <w:bCs/>
                <w:color w:val="000000"/>
                <w:szCs w:val="16"/>
              </w:rPr>
              <w:t xml:space="preserve">800 </w:t>
            </w:r>
          </w:p>
        </w:tc>
        <w:tc>
          <w:tcPr>
            <w:tcW w:w="1134" w:type="dxa"/>
            <w:tcBorders>
              <w:bottom w:val="nil"/>
            </w:tcBorders>
            <w:vAlign w:val="center"/>
          </w:tcPr>
          <w:p w14:paraId="1FE12C7F" w14:textId="77777777" w:rsidR="00271E37" w:rsidRPr="007E01A7" w:rsidRDefault="00271E37">
            <w:r>
              <w:rPr>
                <w:rFonts w:cs="Arial"/>
                <w:color w:val="000000"/>
                <w:szCs w:val="16"/>
              </w:rPr>
              <w:t xml:space="preserve">2,220 </w:t>
            </w:r>
          </w:p>
        </w:tc>
      </w:tr>
      <w:tr w:rsidR="00271E37" w:rsidRPr="00066F50" w14:paraId="7D19D444" w14:textId="77777777">
        <w:tc>
          <w:tcPr>
            <w:tcW w:w="0" w:type="auto"/>
            <w:tcBorders>
              <w:bottom w:val="single" w:sz="4" w:space="0" w:color="auto"/>
            </w:tcBorders>
          </w:tcPr>
          <w:p w14:paraId="4957FE4C" w14:textId="77777777" w:rsidR="00271E37" w:rsidRPr="00066F50" w:rsidRDefault="00271E37">
            <w:pPr>
              <w:jc w:val="left"/>
            </w:pPr>
            <w:r w:rsidRPr="00066F50">
              <w:t>VAT payable</w:t>
            </w:r>
          </w:p>
        </w:tc>
        <w:tc>
          <w:tcPr>
            <w:tcW w:w="1134" w:type="dxa"/>
            <w:tcBorders>
              <w:bottom w:val="single" w:sz="4" w:space="0" w:color="auto"/>
            </w:tcBorders>
            <w:vAlign w:val="center"/>
          </w:tcPr>
          <w:p w14:paraId="4FC374FD" w14:textId="77777777" w:rsidR="00271E37" w:rsidRPr="007E01A7" w:rsidRDefault="00271E37">
            <w:pPr>
              <w:rPr>
                <w:b/>
                <w:bCs/>
              </w:rPr>
            </w:pPr>
            <w:r>
              <w:rPr>
                <w:rFonts w:cs="Arial"/>
                <w:b/>
                <w:bCs/>
                <w:color w:val="000000"/>
                <w:szCs w:val="16"/>
              </w:rPr>
              <w:t xml:space="preserve">240 </w:t>
            </w:r>
          </w:p>
        </w:tc>
        <w:tc>
          <w:tcPr>
            <w:tcW w:w="1134" w:type="dxa"/>
            <w:tcBorders>
              <w:bottom w:val="single" w:sz="4" w:space="0" w:color="auto"/>
            </w:tcBorders>
            <w:vAlign w:val="center"/>
          </w:tcPr>
          <w:p w14:paraId="186BDD69" w14:textId="77777777" w:rsidR="00271E37" w:rsidRPr="007E01A7" w:rsidRDefault="00271E37">
            <w:r>
              <w:rPr>
                <w:rFonts w:cs="Arial"/>
                <w:color w:val="000000"/>
                <w:szCs w:val="16"/>
              </w:rPr>
              <w:t xml:space="preserve">205 </w:t>
            </w:r>
          </w:p>
        </w:tc>
      </w:tr>
      <w:tr w:rsidR="00271E37" w:rsidRPr="00066F50" w14:paraId="6318DA8E" w14:textId="77777777">
        <w:tc>
          <w:tcPr>
            <w:tcW w:w="0" w:type="auto"/>
            <w:tcBorders>
              <w:top w:val="single" w:sz="4" w:space="0" w:color="auto"/>
            </w:tcBorders>
          </w:tcPr>
          <w:p w14:paraId="62F12DB6" w14:textId="77777777" w:rsidR="00271E37" w:rsidRPr="00066F50" w:rsidRDefault="00271E37">
            <w:pPr>
              <w:jc w:val="left"/>
            </w:pPr>
          </w:p>
        </w:tc>
        <w:tc>
          <w:tcPr>
            <w:tcW w:w="1134" w:type="dxa"/>
            <w:tcBorders>
              <w:top w:val="single" w:sz="4" w:space="0" w:color="auto"/>
            </w:tcBorders>
            <w:vAlign w:val="center"/>
          </w:tcPr>
          <w:p w14:paraId="59738671" w14:textId="77777777" w:rsidR="00271E37" w:rsidRPr="007E01A7" w:rsidRDefault="00271E37">
            <w:pPr>
              <w:rPr>
                <w:b/>
                <w:bCs/>
              </w:rPr>
            </w:pPr>
            <w:r>
              <w:rPr>
                <w:rFonts w:cs="Arial"/>
                <w:b/>
                <w:bCs/>
                <w:color w:val="000000"/>
                <w:szCs w:val="16"/>
              </w:rPr>
              <w:t xml:space="preserve">23,954 </w:t>
            </w:r>
          </w:p>
        </w:tc>
        <w:tc>
          <w:tcPr>
            <w:tcW w:w="1134" w:type="dxa"/>
            <w:tcBorders>
              <w:top w:val="single" w:sz="4" w:space="0" w:color="auto"/>
            </w:tcBorders>
            <w:vAlign w:val="center"/>
          </w:tcPr>
          <w:p w14:paraId="3FF98966" w14:textId="77777777" w:rsidR="00271E37" w:rsidRPr="007E01A7" w:rsidRDefault="00271E37">
            <w:r>
              <w:rPr>
                <w:rFonts w:cs="Arial"/>
                <w:color w:val="000000"/>
                <w:szCs w:val="16"/>
              </w:rPr>
              <w:t xml:space="preserve">65,577 </w:t>
            </w:r>
          </w:p>
        </w:tc>
      </w:tr>
    </w:tbl>
    <w:p w14:paraId="4B8564E2" w14:textId="77777777" w:rsidR="00271E37" w:rsidRDefault="00271E37" w:rsidP="002E39D4"/>
    <w:p w14:paraId="577C1023" w14:textId="77777777" w:rsidR="00271E37" w:rsidRPr="00066F50" w:rsidRDefault="00271E37">
      <w:pPr>
        <w:pStyle w:val="Heading2"/>
      </w:pPr>
      <w:r w:rsidRPr="00066F50">
        <w:t>20 Share capital</w:t>
      </w:r>
    </w:p>
    <w:tbl>
      <w:tblPr>
        <w:tblStyle w:val="tableDUL"/>
        <w:tblW w:w="9639" w:type="dxa"/>
        <w:tblLook w:val="04A0" w:firstRow="1" w:lastRow="0" w:firstColumn="1" w:lastColumn="0" w:noHBand="0" w:noVBand="1"/>
      </w:tblPr>
      <w:tblGrid>
        <w:gridCol w:w="7371"/>
        <w:gridCol w:w="1134"/>
        <w:gridCol w:w="1134"/>
      </w:tblGrid>
      <w:tr w:rsidR="00271E37" w:rsidRPr="00066F50" w14:paraId="51424AA9" w14:textId="77777777" w:rsidTr="007E01A7">
        <w:tc>
          <w:tcPr>
            <w:tcW w:w="0" w:type="auto"/>
            <w:tcBorders>
              <w:bottom w:val="nil"/>
            </w:tcBorders>
          </w:tcPr>
          <w:p w14:paraId="4D83E6FB" w14:textId="77777777" w:rsidR="00271E37" w:rsidRPr="00066F50" w:rsidRDefault="00271E37" w:rsidP="00066F50">
            <w:pPr>
              <w:jc w:val="left"/>
            </w:pPr>
          </w:p>
        </w:tc>
        <w:tc>
          <w:tcPr>
            <w:tcW w:w="2268" w:type="dxa"/>
            <w:gridSpan w:val="2"/>
            <w:tcBorders>
              <w:bottom w:val="single" w:sz="4" w:space="0" w:color="auto"/>
            </w:tcBorders>
          </w:tcPr>
          <w:p w14:paraId="584103F9" w14:textId="77777777" w:rsidR="00271E37" w:rsidRPr="00066F50" w:rsidRDefault="00271E37" w:rsidP="00066F50">
            <w:pPr>
              <w:jc w:val="center"/>
            </w:pPr>
            <w:r w:rsidRPr="00066F50">
              <w:t>Ordinary shares</w:t>
            </w:r>
          </w:p>
        </w:tc>
      </w:tr>
      <w:tr w:rsidR="00271E37" w:rsidRPr="00066F50" w14:paraId="4BC01A9C" w14:textId="77777777" w:rsidTr="00066F50">
        <w:tc>
          <w:tcPr>
            <w:tcW w:w="0" w:type="auto"/>
            <w:tcBorders>
              <w:bottom w:val="single" w:sz="4" w:space="0" w:color="auto"/>
            </w:tcBorders>
          </w:tcPr>
          <w:p w14:paraId="7737221D" w14:textId="77777777" w:rsidR="00271E37" w:rsidRPr="00066F50" w:rsidRDefault="00271E37" w:rsidP="00066F50">
            <w:pPr>
              <w:jc w:val="left"/>
            </w:pPr>
            <w:r w:rsidRPr="00066F50">
              <w:t>In thousands of shares</w:t>
            </w:r>
          </w:p>
        </w:tc>
        <w:tc>
          <w:tcPr>
            <w:tcW w:w="1134" w:type="dxa"/>
            <w:tcBorders>
              <w:top w:val="single" w:sz="4" w:space="0" w:color="auto"/>
              <w:bottom w:val="single" w:sz="4" w:space="0" w:color="auto"/>
            </w:tcBorders>
          </w:tcPr>
          <w:p w14:paraId="1924A1E2" w14:textId="77777777" w:rsidR="00271E37" w:rsidRPr="00066F50" w:rsidRDefault="00271E37" w:rsidP="000923EA">
            <w:pPr>
              <w:rPr>
                <w:b/>
                <w:bCs/>
              </w:rPr>
            </w:pPr>
            <w:r w:rsidRPr="00066F50">
              <w:rPr>
                <w:b/>
                <w:bCs/>
              </w:rPr>
              <w:t>202</w:t>
            </w:r>
            <w:r>
              <w:rPr>
                <w:b/>
                <w:bCs/>
              </w:rPr>
              <w:t>6</w:t>
            </w:r>
          </w:p>
        </w:tc>
        <w:tc>
          <w:tcPr>
            <w:tcW w:w="1134" w:type="dxa"/>
            <w:tcBorders>
              <w:top w:val="single" w:sz="4" w:space="0" w:color="auto"/>
              <w:bottom w:val="single" w:sz="4" w:space="0" w:color="auto"/>
            </w:tcBorders>
          </w:tcPr>
          <w:p w14:paraId="2D630B95" w14:textId="77777777" w:rsidR="00271E37" w:rsidRPr="00066F50" w:rsidRDefault="00271E37" w:rsidP="000923EA">
            <w:r w:rsidRPr="00066F50">
              <w:t>202</w:t>
            </w:r>
            <w:r>
              <w:t>5</w:t>
            </w:r>
          </w:p>
        </w:tc>
      </w:tr>
      <w:tr w:rsidR="00271E37" w:rsidRPr="00066F50" w14:paraId="4D62AFC3" w14:textId="77777777">
        <w:tc>
          <w:tcPr>
            <w:tcW w:w="0" w:type="auto"/>
            <w:tcBorders>
              <w:top w:val="single" w:sz="4" w:space="0" w:color="auto"/>
              <w:bottom w:val="nil"/>
            </w:tcBorders>
          </w:tcPr>
          <w:p w14:paraId="23C9B774" w14:textId="77777777" w:rsidR="00271E37" w:rsidRPr="00066F50" w:rsidRDefault="00271E37">
            <w:pPr>
              <w:jc w:val="left"/>
            </w:pPr>
            <w:r w:rsidRPr="00066F50">
              <w:t>In issue at 1 April</w:t>
            </w:r>
          </w:p>
        </w:tc>
        <w:tc>
          <w:tcPr>
            <w:tcW w:w="1134" w:type="dxa"/>
            <w:tcBorders>
              <w:top w:val="single" w:sz="4" w:space="0" w:color="auto"/>
              <w:bottom w:val="nil"/>
            </w:tcBorders>
            <w:vAlign w:val="center"/>
          </w:tcPr>
          <w:p w14:paraId="0C8F9C62" w14:textId="77777777" w:rsidR="00271E37" w:rsidRPr="007E01A7" w:rsidRDefault="00271E37">
            <w:pPr>
              <w:rPr>
                <w:b/>
                <w:bCs/>
              </w:rPr>
            </w:pPr>
            <w:r>
              <w:rPr>
                <w:rFonts w:cs="Arial"/>
                <w:b/>
                <w:bCs/>
                <w:color w:val="000000"/>
                <w:szCs w:val="16"/>
              </w:rPr>
              <w:t xml:space="preserve">98,308 </w:t>
            </w:r>
          </w:p>
        </w:tc>
        <w:tc>
          <w:tcPr>
            <w:tcW w:w="1134" w:type="dxa"/>
            <w:tcBorders>
              <w:top w:val="single" w:sz="4" w:space="0" w:color="auto"/>
              <w:bottom w:val="nil"/>
            </w:tcBorders>
            <w:vAlign w:val="bottom"/>
          </w:tcPr>
          <w:p w14:paraId="7C6F1AC3" w14:textId="77777777" w:rsidR="00271E37" w:rsidRPr="00C42797" w:rsidRDefault="00271E37">
            <w:r w:rsidRPr="00C42797">
              <w:rPr>
                <w:rFonts w:cs="Arial"/>
                <w:color w:val="000000"/>
                <w:szCs w:val="16"/>
              </w:rPr>
              <w:t xml:space="preserve">98,279 </w:t>
            </w:r>
          </w:p>
        </w:tc>
      </w:tr>
      <w:tr w:rsidR="00271E37" w:rsidRPr="00066F50" w14:paraId="17C10055" w14:textId="77777777">
        <w:tc>
          <w:tcPr>
            <w:tcW w:w="0" w:type="auto"/>
            <w:tcBorders>
              <w:bottom w:val="single" w:sz="4" w:space="0" w:color="auto"/>
            </w:tcBorders>
          </w:tcPr>
          <w:p w14:paraId="5DFDAEAB" w14:textId="77777777" w:rsidR="00271E37" w:rsidRPr="00066F50" w:rsidRDefault="00271E37">
            <w:pPr>
              <w:jc w:val="left"/>
            </w:pPr>
            <w:r w:rsidRPr="00066F50">
              <w:t>Options exercised during the year</w:t>
            </w:r>
          </w:p>
        </w:tc>
        <w:tc>
          <w:tcPr>
            <w:tcW w:w="1134" w:type="dxa"/>
            <w:tcBorders>
              <w:bottom w:val="single" w:sz="4" w:space="0" w:color="auto"/>
            </w:tcBorders>
            <w:vAlign w:val="center"/>
          </w:tcPr>
          <w:p w14:paraId="6822C65D" w14:textId="77777777" w:rsidR="00271E37" w:rsidRPr="007E01A7" w:rsidRDefault="00271E37">
            <w:pPr>
              <w:rPr>
                <w:b/>
                <w:bCs/>
              </w:rPr>
            </w:pPr>
            <w:r>
              <w:rPr>
                <w:rFonts w:cs="Arial"/>
                <w:b/>
                <w:bCs/>
                <w:color w:val="000000"/>
                <w:szCs w:val="16"/>
              </w:rPr>
              <w:t xml:space="preserve"> - </w:t>
            </w:r>
          </w:p>
        </w:tc>
        <w:tc>
          <w:tcPr>
            <w:tcW w:w="1134" w:type="dxa"/>
            <w:tcBorders>
              <w:bottom w:val="single" w:sz="4" w:space="0" w:color="auto"/>
            </w:tcBorders>
            <w:vAlign w:val="bottom"/>
          </w:tcPr>
          <w:p w14:paraId="1920BB60" w14:textId="77777777" w:rsidR="00271E37" w:rsidRPr="00C42797" w:rsidRDefault="00271E37">
            <w:r w:rsidRPr="00C42797">
              <w:rPr>
                <w:rFonts w:cs="Arial"/>
                <w:color w:val="000000"/>
                <w:szCs w:val="16"/>
              </w:rPr>
              <w:t xml:space="preserve">29 </w:t>
            </w:r>
          </w:p>
        </w:tc>
      </w:tr>
      <w:tr w:rsidR="00271E37" w:rsidRPr="00066F50" w14:paraId="3A388574" w14:textId="77777777">
        <w:tc>
          <w:tcPr>
            <w:tcW w:w="0" w:type="auto"/>
            <w:tcBorders>
              <w:top w:val="single" w:sz="4" w:space="0" w:color="auto"/>
            </w:tcBorders>
          </w:tcPr>
          <w:p w14:paraId="62368808" w14:textId="77777777" w:rsidR="00271E37" w:rsidRPr="00066F50" w:rsidRDefault="00271E37">
            <w:pPr>
              <w:jc w:val="left"/>
              <w:rPr>
                <w:b/>
                <w:bCs/>
              </w:rPr>
            </w:pPr>
            <w:r w:rsidRPr="00066F50">
              <w:rPr>
                <w:b/>
                <w:bCs/>
              </w:rPr>
              <w:t>In issue at 31 March – fully paid</w:t>
            </w:r>
          </w:p>
        </w:tc>
        <w:tc>
          <w:tcPr>
            <w:tcW w:w="1134" w:type="dxa"/>
            <w:tcBorders>
              <w:top w:val="single" w:sz="4" w:space="0" w:color="auto"/>
            </w:tcBorders>
            <w:vAlign w:val="center"/>
          </w:tcPr>
          <w:p w14:paraId="610D7BDD" w14:textId="77777777" w:rsidR="00271E37" w:rsidRPr="007E01A7" w:rsidRDefault="00271E37">
            <w:pPr>
              <w:rPr>
                <w:b/>
                <w:bCs/>
              </w:rPr>
            </w:pPr>
            <w:r>
              <w:rPr>
                <w:rFonts w:cs="Arial"/>
                <w:b/>
                <w:bCs/>
                <w:color w:val="000000"/>
                <w:szCs w:val="16"/>
              </w:rPr>
              <w:t xml:space="preserve">98,308 </w:t>
            </w:r>
          </w:p>
        </w:tc>
        <w:tc>
          <w:tcPr>
            <w:tcW w:w="1134" w:type="dxa"/>
            <w:tcBorders>
              <w:top w:val="single" w:sz="4" w:space="0" w:color="auto"/>
            </w:tcBorders>
            <w:vAlign w:val="bottom"/>
          </w:tcPr>
          <w:p w14:paraId="5D55A8C5" w14:textId="77777777" w:rsidR="00271E37" w:rsidRPr="00C42797" w:rsidRDefault="00271E37">
            <w:r w:rsidRPr="00C42797">
              <w:rPr>
                <w:rFonts w:cs="Arial"/>
                <w:color w:val="000000"/>
                <w:szCs w:val="16"/>
              </w:rPr>
              <w:t xml:space="preserve">98,308 </w:t>
            </w:r>
          </w:p>
        </w:tc>
      </w:tr>
    </w:tbl>
    <w:p w14:paraId="25647E98" w14:textId="77777777" w:rsidR="00271E37" w:rsidRDefault="00271E37" w:rsidP="002E39D4"/>
    <w:tbl>
      <w:tblPr>
        <w:tblStyle w:val="tableDUL"/>
        <w:tblW w:w="9639" w:type="dxa"/>
        <w:tblLook w:val="04A0" w:firstRow="1" w:lastRow="0" w:firstColumn="1" w:lastColumn="0" w:noHBand="0" w:noVBand="1"/>
      </w:tblPr>
      <w:tblGrid>
        <w:gridCol w:w="7371"/>
        <w:gridCol w:w="1134"/>
        <w:gridCol w:w="1134"/>
      </w:tblGrid>
      <w:tr w:rsidR="00271E37" w:rsidRPr="00066F50" w14:paraId="4862DDC5" w14:textId="77777777" w:rsidTr="00066F50">
        <w:tc>
          <w:tcPr>
            <w:tcW w:w="0" w:type="auto"/>
            <w:tcBorders>
              <w:bottom w:val="nil"/>
            </w:tcBorders>
          </w:tcPr>
          <w:p w14:paraId="1B5963B0" w14:textId="77777777" w:rsidR="00271E37" w:rsidRPr="00066F50" w:rsidRDefault="00271E37" w:rsidP="00066F50">
            <w:pPr>
              <w:jc w:val="left"/>
            </w:pPr>
          </w:p>
        </w:tc>
        <w:tc>
          <w:tcPr>
            <w:tcW w:w="1134" w:type="dxa"/>
            <w:tcBorders>
              <w:bottom w:val="nil"/>
            </w:tcBorders>
          </w:tcPr>
          <w:p w14:paraId="4F5221F1" w14:textId="77777777" w:rsidR="00271E37" w:rsidRPr="00066F50" w:rsidRDefault="00271E37" w:rsidP="000923EA">
            <w:pPr>
              <w:rPr>
                <w:b/>
                <w:bCs/>
              </w:rPr>
            </w:pPr>
            <w:r w:rsidRPr="00066F50">
              <w:rPr>
                <w:b/>
                <w:bCs/>
              </w:rPr>
              <w:t>202</w:t>
            </w:r>
            <w:r>
              <w:rPr>
                <w:b/>
                <w:bCs/>
              </w:rPr>
              <w:t>6</w:t>
            </w:r>
          </w:p>
        </w:tc>
        <w:tc>
          <w:tcPr>
            <w:tcW w:w="1134" w:type="dxa"/>
            <w:tcBorders>
              <w:bottom w:val="nil"/>
            </w:tcBorders>
          </w:tcPr>
          <w:p w14:paraId="1CECED93" w14:textId="77777777" w:rsidR="00271E37" w:rsidRPr="00066F50" w:rsidRDefault="00271E37" w:rsidP="000923EA">
            <w:r w:rsidRPr="00066F50">
              <w:t>202</w:t>
            </w:r>
            <w:r>
              <w:t>5</w:t>
            </w:r>
          </w:p>
        </w:tc>
      </w:tr>
      <w:tr w:rsidR="00271E37" w:rsidRPr="00066F50" w14:paraId="6BD1DD18" w14:textId="77777777" w:rsidTr="00066F50">
        <w:tc>
          <w:tcPr>
            <w:tcW w:w="0" w:type="auto"/>
            <w:tcBorders>
              <w:bottom w:val="single" w:sz="4" w:space="0" w:color="auto"/>
            </w:tcBorders>
          </w:tcPr>
          <w:p w14:paraId="13E29F58" w14:textId="77777777" w:rsidR="00271E37" w:rsidRPr="00066F50" w:rsidRDefault="00271E37" w:rsidP="00066F50">
            <w:pPr>
              <w:jc w:val="left"/>
            </w:pPr>
          </w:p>
        </w:tc>
        <w:tc>
          <w:tcPr>
            <w:tcW w:w="1134" w:type="dxa"/>
            <w:tcBorders>
              <w:bottom w:val="single" w:sz="4" w:space="0" w:color="auto"/>
            </w:tcBorders>
          </w:tcPr>
          <w:p w14:paraId="78079F19" w14:textId="77777777" w:rsidR="00271E37" w:rsidRPr="00066F50" w:rsidRDefault="00271E37" w:rsidP="000923EA">
            <w:pPr>
              <w:rPr>
                <w:b/>
                <w:bCs/>
              </w:rPr>
            </w:pPr>
            <w:r>
              <w:rPr>
                <w:b/>
                <w:bCs/>
              </w:rPr>
              <w:t>£</w:t>
            </w:r>
            <w:r w:rsidRPr="00066F50">
              <w:rPr>
                <w:b/>
                <w:bCs/>
              </w:rPr>
              <w:t>000</w:t>
            </w:r>
          </w:p>
        </w:tc>
        <w:tc>
          <w:tcPr>
            <w:tcW w:w="1134" w:type="dxa"/>
            <w:tcBorders>
              <w:bottom w:val="single" w:sz="4" w:space="0" w:color="auto"/>
            </w:tcBorders>
          </w:tcPr>
          <w:p w14:paraId="576F81C2" w14:textId="77777777" w:rsidR="00271E37" w:rsidRPr="00066F50" w:rsidRDefault="00271E37" w:rsidP="000923EA">
            <w:r>
              <w:t>£</w:t>
            </w:r>
            <w:r w:rsidRPr="00066F50">
              <w:t>000</w:t>
            </w:r>
          </w:p>
        </w:tc>
      </w:tr>
      <w:tr w:rsidR="00271E37" w:rsidRPr="00066F50" w14:paraId="2BA70DE5" w14:textId="77777777" w:rsidTr="00066F50">
        <w:tc>
          <w:tcPr>
            <w:tcW w:w="0" w:type="auto"/>
            <w:tcBorders>
              <w:top w:val="single" w:sz="4" w:space="0" w:color="auto"/>
            </w:tcBorders>
          </w:tcPr>
          <w:p w14:paraId="6D1BD7F4" w14:textId="77777777" w:rsidR="00271E37" w:rsidRPr="00066F50" w:rsidRDefault="00271E37" w:rsidP="00066F50">
            <w:pPr>
              <w:jc w:val="left"/>
              <w:rPr>
                <w:b/>
                <w:bCs/>
              </w:rPr>
            </w:pPr>
            <w:r w:rsidRPr="00066F50">
              <w:rPr>
                <w:b/>
                <w:bCs/>
              </w:rPr>
              <w:t>Allotted, called up and fully paid</w:t>
            </w:r>
          </w:p>
        </w:tc>
        <w:tc>
          <w:tcPr>
            <w:tcW w:w="1134" w:type="dxa"/>
            <w:tcBorders>
              <w:top w:val="single" w:sz="4" w:space="0" w:color="auto"/>
            </w:tcBorders>
          </w:tcPr>
          <w:p w14:paraId="60389DC1" w14:textId="77777777" w:rsidR="00271E37" w:rsidRPr="00066F50" w:rsidRDefault="00271E37" w:rsidP="000923EA"/>
        </w:tc>
        <w:tc>
          <w:tcPr>
            <w:tcW w:w="1134" w:type="dxa"/>
            <w:tcBorders>
              <w:top w:val="single" w:sz="4" w:space="0" w:color="auto"/>
            </w:tcBorders>
          </w:tcPr>
          <w:p w14:paraId="7708E787" w14:textId="77777777" w:rsidR="00271E37" w:rsidRPr="00066F50" w:rsidRDefault="00271E37" w:rsidP="000923EA"/>
        </w:tc>
      </w:tr>
      <w:tr w:rsidR="00271E37" w:rsidRPr="00066F50" w14:paraId="6FF5169C" w14:textId="77777777">
        <w:tc>
          <w:tcPr>
            <w:tcW w:w="0" w:type="auto"/>
          </w:tcPr>
          <w:p w14:paraId="42CCDABD" w14:textId="77777777" w:rsidR="00271E37" w:rsidRPr="00066F50" w:rsidRDefault="00271E37">
            <w:pPr>
              <w:jc w:val="left"/>
            </w:pPr>
            <w:r w:rsidRPr="00066F50">
              <w:t>Ordinary shares of £0.05 each</w:t>
            </w:r>
          </w:p>
        </w:tc>
        <w:tc>
          <w:tcPr>
            <w:tcW w:w="1134" w:type="dxa"/>
            <w:vAlign w:val="center"/>
          </w:tcPr>
          <w:p w14:paraId="47F0689D" w14:textId="77777777" w:rsidR="00271E37" w:rsidRPr="007E01A7" w:rsidRDefault="00271E37">
            <w:pPr>
              <w:rPr>
                <w:b/>
                <w:bCs/>
              </w:rPr>
            </w:pPr>
            <w:r>
              <w:rPr>
                <w:rFonts w:cs="Arial"/>
                <w:b/>
                <w:bCs/>
                <w:color w:val="000000"/>
                <w:szCs w:val="16"/>
              </w:rPr>
              <w:t xml:space="preserve">4,915 </w:t>
            </w:r>
          </w:p>
        </w:tc>
        <w:tc>
          <w:tcPr>
            <w:tcW w:w="1134" w:type="dxa"/>
            <w:vAlign w:val="center"/>
          </w:tcPr>
          <w:p w14:paraId="6CEA34B6" w14:textId="77777777" w:rsidR="00271E37" w:rsidRPr="007E01A7" w:rsidRDefault="00271E37">
            <w:r>
              <w:rPr>
                <w:rFonts w:cs="Arial"/>
                <w:color w:val="000000"/>
                <w:szCs w:val="16"/>
              </w:rPr>
              <w:t xml:space="preserve">4,915 </w:t>
            </w:r>
          </w:p>
        </w:tc>
      </w:tr>
    </w:tbl>
    <w:p w14:paraId="28715F7A" w14:textId="77777777" w:rsidR="00271E37" w:rsidRDefault="00271E37" w:rsidP="002E39D4"/>
    <w:p w14:paraId="20688817" w14:textId="77777777" w:rsidR="00271E37" w:rsidRDefault="00271E37" w:rsidP="002E39D4">
      <w:r>
        <w:t>Of the 98.3 million shares in the Company, 2.9 million (2025: 3.0 million) are held by IG Employee Share Trustee Limited (the ‘Employee Benefit Trust’).</w:t>
      </w:r>
    </w:p>
    <w:p w14:paraId="653999BE" w14:textId="77777777" w:rsidR="00271E37" w:rsidRDefault="00271E37" w:rsidP="002E39D4"/>
    <w:p w14:paraId="6DCC017C" w14:textId="77777777" w:rsidR="00271E37" w:rsidRDefault="00271E37" w:rsidP="002E39D4">
      <w:r>
        <w:t>Long Term Incentive Plan (LTIP) options exercised during FY2025 resulted in 29,000 ordinary shares issued at nil cost. Options exercised in FY2026 were satisfied by shares held by the Employee Benefit Trust.</w:t>
      </w:r>
    </w:p>
    <w:p w14:paraId="4661EEBA" w14:textId="77777777" w:rsidR="00271E37" w:rsidRDefault="00271E37" w:rsidP="002E39D4"/>
    <w:p w14:paraId="36103900" w14:textId="77777777" w:rsidR="00271E37" w:rsidRDefault="00271E37" w:rsidP="002E39D4">
      <w:r>
        <w:t>The holders of ordinary shares are entitled to receive dividends as declared from time to time and are entitled to one vote per share at meetings of the Company.</w:t>
      </w:r>
    </w:p>
    <w:p w14:paraId="27679044" w14:textId="77777777" w:rsidR="00271E37" w:rsidRDefault="00271E37" w:rsidP="002E39D4"/>
    <w:p w14:paraId="4B163D52" w14:textId="4E5B776A" w:rsidR="00271E37" w:rsidRDefault="00271E37" w:rsidP="002876C8">
      <w:pPr>
        <w:pStyle w:val="Heading3"/>
        <w:rPr>
          <w:bCs/>
        </w:rPr>
      </w:pPr>
      <w:r w:rsidRPr="002876C8">
        <w:rPr>
          <w:sz w:val="16"/>
          <w:szCs w:val="16"/>
        </w:rPr>
        <w:t xml:space="preserve">Capital reorganisation (Parent </w:t>
      </w:r>
      <w:r w:rsidR="00BE22D9">
        <w:rPr>
          <w:sz w:val="16"/>
          <w:szCs w:val="16"/>
        </w:rPr>
        <w:t>C</w:t>
      </w:r>
      <w:r w:rsidRPr="002876C8">
        <w:rPr>
          <w:sz w:val="16"/>
          <w:szCs w:val="16"/>
        </w:rPr>
        <w:t>ompany)</w:t>
      </w:r>
    </w:p>
    <w:p w14:paraId="2F3B4A9B" w14:textId="77777777" w:rsidR="00271E37" w:rsidRDefault="00271E37" w:rsidP="002E39D4">
      <w:pPr>
        <w:rPr>
          <w:b/>
          <w:bCs/>
        </w:rPr>
      </w:pPr>
    </w:p>
    <w:p w14:paraId="10A9F1A8" w14:textId="77777777" w:rsidR="00271E37" w:rsidRPr="009A5EED" w:rsidRDefault="00271E37">
      <w:r w:rsidRPr="009A5EED">
        <w:t>On 12 March 2026, the Company completed a court</w:t>
      </w:r>
      <w:r w:rsidRPr="009A5EED">
        <w:noBreakHyphen/>
        <w:t>approved capital reorganisation designed to increase distributable reserves at the parent company level.</w:t>
      </w:r>
    </w:p>
    <w:p w14:paraId="62A8693C" w14:textId="77777777" w:rsidR="00271E37" w:rsidRPr="009A5EED" w:rsidRDefault="00271E37">
      <w:r w:rsidRPr="009A5EED">
        <w:t>The capital reorganisation comprised:</w:t>
      </w:r>
    </w:p>
    <w:p w14:paraId="71DA0D44" w14:textId="77777777" w:rsidR="00271E37" w:rsidRPr="009A5EED" w:rsidRDefault="00271E37" w:rsidP="005B0EAC">
      <w:pPr>
        <w:numPr>
          <w:ilvl w:val="0"/>
          <w:numId w:val="48"/>
        </w:numPr>
      </w:pPr>
      <w:r w:rsidRPr="009A5EED">
        <w:t>the capitalisation of £14.9 million of merger reserve and £1.6 million of retained earnings into newly issued deferred shares;</w:t>
      </w:r>
    </w:p>
    <w:p w14:paraId="553BEE2D" w14:textId="77777777" w:rsidR="00271E37" w:rsidRPr="009A5EED" w:rsidRDefault="00271E37" w:rsidP="005B0EAC">
      <w:pPr>
        <w:numPr>
          <w:ilvl w:val="0"/>
          <w:numId w:val="48"/>
        </w:numPr>
      </w:pPr>
      <w:r w:rsidRPr="009A5EED">
        <w:t>the subsequent cancellation of those deferred shares; and</w:t>
      </w:r>
    </w:p>
    <w:p w14:paraId="772D1394" w14:textId="77777777" w:rsidR="00271E37" w:rsidRPr="009A5EED" w:rsidRDefault="00271E37" w:rsidP="005B0EAC">
      <w:pPr>
        <w:numPr>
          <w:ilvl w:val="0"/>
          <w:numId w:val="48"/>
        </w:numPr>
      </w:pPr>
      <w:r w:rsidRPr="009A5EED">
        <w:t>the cancellation of the Company’s share premium account and capital redemption reserve.</w:t>
      </w:r>
    </w:p>
    <w:p w14:paraId="17550FCD" w14:textId="77777777" w:rsidR="00271E37" w:rsidRPr="009A5EED" w:rsidRDefault="00271E37">
      <w:r w:rsidRPr="009A5EED">
        <w:t>All components of the capital reorganisation were equity</w:t>
      </w:r>
      <w:r w:rsidRPr="009A5EED">
        <w:noBreakHyphen/>
        <w:t>only transactions and had no impact on Group profit or loss, total equity, net assets, cash flows or earnings per share.</w:t>
      </w:r>
      <w:r>
        <w:t xml:space="preserve"> </w:t>
      </w:r>
    </w:p>
    <w:p w14:paraId="354BE8D7" w14:textId="77777777" w:rsidR="00271E37" w:rsidRPr="009A5EED" w:rsidRDefault="00271E37" w:rsidP="002E39D4">
      <w:pPr>
        <w:rPr>
          <w:b/>
          <w:bCs/>
        </w:rPr>
      </w:pPr>
    </w:p>
    <w:p w14:paraId="3C3050E1" w14:textId="2600FEFE" w:rsidR="00271E37" w:rsidRPr="00066F50" w:rsidRDefault="00271E37">
      <w:pPr>
        <w:pStyle w:val="Heading2"/>
      </w:pPr>
      <w:r w:rsidRPr="00066F50">
        <w:t xml:space="preserve">21 </w:t>
      </w:r>
      <w:r w:rsidR="00342975">
        <w:t>E</w:t>
      </w:r>
      <w:r w:rsidRPr="00066F50">
        <w:t>arnings per share</w:t>
      </w:r>
    </w:p>
    <w:tbl>
      <w:tblPr>
        <w:tblStyle w:val="tableDUL"/>
        <w:tblW w:w="9639" w:type="dxa"/>
        <w:tblLook w:val="04A0" w:firstRow="1" w:lastRow="0" w:firstColumn="1" w:lastColumn="0" w:noHBand="0" w:noVBand="1"/>
      </w:tblPr>
      <w:tblGrid>
        <w:gridCol w:w="7371"/>
        <w:gridCol w:w="1134"/>
        <w:gridCol w:w="1134"/>
      </w:tblGrid>
      <w:tr w:rsidR="00271E37" w:rsidRPr="00066F50" w14:paraId="7D384F9E" w14:textId="77777777" w:rsidTr="00C17E39">
        <w:tc>
          <w:tcPr>
            <w:tcW w:w="0" w:type="auto"/>
            <w:tcBorders>
              <w:bottom w:val="nil"/>
            </w:tcBorders>
          </w:tcPr>
          <w:p w14:paraId="249B9A3D" w14:textId="77777777" w:rsidR="00271E37" w:rsidRPr="00066F50" w:rsidRDefault="00271E37" w:rsidP="00066F50">
            <w:pPr>
              <w:jc w:val="left"/>
            </w:pPr>
          </w:p>
        </w:tc>
        <w:tc>
          <w:tcPr>
            <w:tcW w:w="1134" w:type="dxa"/>
            <w:tcBorders>
              <w:bottom w:val="nil"/>
            </w:tcBorders>
          </w:tcPr>
          <w:p w14:paraId="0078C91E" w14:textId="77777777" w:rsidR="00271E37" w:rsidRPr="00066F50" w:rsidRDefault="00271E37" w:rsidP="000923EA">
            <w:pPr>
              <w:rPr>
                <w:b/>
                <w:bCs/>
              </w:rPr>
            </w:pPr>
            <w:r w:rsidRPr="00066F50">
              <w:rPr>
                <w:b/>
                <w:bCs/>
              </w:rPr>
              <w:t>202</w:t>
            </w:r>
            <w:r>
              <w:rPr>
                <w:b/>
                <w:bCs/>
              </w:rPr>
              <w:t>6</w:t>
            </w:r>
          </w:p>
        </w:tc>
        <w:tc>
          <w:tcPr>
            <w:tcW w:w="1134" w:type="dxa"/>
            <w:tcBorders>
              <w:bottom w:val="nil"/>
            </w:tcBorders>
          </w:tcPr>
          <w:p w14:paraId="34C824CB" w14:textId="77777777" w:rsidR="00271E37" w:rsidRPr="00066F50" w:rsidRDefault="00271E37" w:rsidP="000923EA">
            <w:r w:rsidRPr="00066F50">
              <w:t>202</w:t>
            </w:r>
            <w:r>
              <w:t>5</w:t>
            </w:r>
          </w:p>
        </w:tc>
      </w:tr>
      <w:tr w:rsidR="00271E37" w:rsidRPr="00066F50" w14:paraId="033F7DEB" w14:textId="77777777" w:rsidTr="00C17E39">
        <w:tc>
          <w:tcPr>
            <w:tcW w:w="0" w:type="auto"/>
            <w:tcBorders>
              <w:bottom w:val="single" w:sz="4" w:space="0" w:color="auto"/>
            </w:tcBorders>
          </w:tcPr>
          <w:p w14:paraId="74535DDD" w14:textId="77777777" w:rsidR="00271E37" w:rsidRPr="00091C79" w:rsidRDefault="00271E37" w:rsidP="00066F50">
            <w:pPr>
              <w:jc w:val="left"/>
              <w:rPr>
                <w:b/>
                <w:bCs/>
              </w:rPr>
            </w:pPr>
            <w:r w:rsidRPr="00091C79">
              <w:rPr>
                <w:b/>
                <w:bCs/>
              </w:rPr>
              <w:t>Total (loss)/earnings</w:t>
            </w:r>
          </w:p>
        </w:tc>
        <w:tc>
          <w:tcPr>
            <w:tcW w:w="1134" w:type="dxa"/>
            <w:tcBorders>
              <w:bottom w:val="single" w:sz="4" w:space="0" w:color="auto"/>
            </w:tcBorders>
          </w:tcPr>
          <w:p w14:paraId="3D44DA73" w14:textId="77777777" w:rsidR="00271E37" w:rsidRPr="00066F50" w:rsidRDefault="00271E37" w:rsidP="000923EA">
            <w:pPr>
              <w:rPr>
                <w:b/>
                <w:bCs/>
              </w:rPr>
            </w:pPr>
            <w:r>
              <w:rPr>
                <w:b/>
                <w:bCs/>
              </w:rPr>
              <w:t>£</w:t>
            </w:r>
            <w:r w:rsidRPr="00066F50">
              <w:rPr>
                <w:b/>
                <w:bCs/>
              </w:rPr>
              <w:t>000</w:t>
            </w:r>
          </w:p>
        </w:tc>
        <w:tc>
          <w:tcPr>
            <w:tcW w:w="1134" w:type="dxa"/>
            <w:tcBorders>
              <w:bottom w:val="single" w:sz="4" w:space="0" w:color="auto"/>
            </w:tcBorders>
          </w:tcPr>
          <w:p w14:paraId="157D4EAA" w14:textId="77777777" w:rsidR="00271E37" w:rsidRPr="00066F50" w:rsidRDefault="00271E37" w:rsidP="000923EA">
            <w:r>
              <w:t>£</w:t>
            </w:r>
            <w:r w:rsidRPr="00066F50">
              <w:t>000</w:t>
            </w:r>
          </w:p>
        </w:tc>
      </w:tr>
      <w:tr w:rsidR="00271E37" w:rsidRPr="00066F50" w14:paraId="275253C8" w14:textId="77777777" w:rsidTr="00C17E39">
        <w:tc>
          <w:tcPr>
            <w:tcW w:w="0" w:type="auto"/>
            <w:tcBorders>
              <w:top w:val="single" w:sz="4" w:space="0" w:color="auto"/>
            </w:tcBorders>
          </w:tcPr>
          <w:p w14:paraId="35CE4FA7" w14:textId="77777777" w:rsidR="00271E37" w:rsidRPr="00066F50" w:rsidRDefault="00271E37" w:rsidP="00066F50">
            <w:pPr>
              <w:jc w:val="left"/>
              <w:rPr>
                <w:b/>
                <w:bCs/>
              </w:rPr>
            </w:pPr>
            <w:r>
              <w:rPr>
                <w:b/>
                <w:bCs/>
              </w:rPr>
              <w:t>(Loss)/e</w:t>
            </w:r>
            <w:r w:rsidRPr="00066F50">
              <w:rPr>
                <w:b/>
                <w:bCs/>
              </w:rPr>
              <w:t>arnings</w:t>
            </w:r>
          </w:p>
        </w:tc>
        <w:tc>
          <w:tcPr>
            <w:tcW w:w="1134" w:type="dxa"/>
            <w:tcBorders>
              <w:top w:val="single" w:sz="4" w:space="0" w:color="auto"/>
            </w:tcBorders>
          </w:tcPr>
          <w:p w14:paraId="46D284C0" w14:textId="77777777" w:rsidR="00271E37" w:rsidRPr="00066F50" w:rsidRDefault="00271E37" w:rsidP="000923EA">
            <w:pPr>
              <w:rPr>
                <w:b/>
                <w:bCs/>
              </w:rPr>
            </w:pPr>
          </w:p>
        </w:tc>
        <w:tc>
          <w:tcPr>
            <w:tcW w:w="1134" w:type="dxa"/>
            <w:tcBorders>
              <w:top w:val="single" w:sz="4" w:space="0" w:color="auto"/>
            </w:tcBorders>
          </w:tcPr>
          <w:p w14:paraId="153B8462" w14:textId="77777777" w:rsidR="00271E37" w:rsidRPr="00066F50" w:rsidRDefault="00271E37" w:rsidP="000923EA"/>
        </w:tc>
      </w:tr>
      <w:tr w:rsidR="00271E37" w:rsidRPr="00066F50" w14:paraId="04716DCB" w14:textId="77777777">
        <w:tc>
          <w:tcPr>
            <w:tcW w:w="0" w:type="auto"/>
          </w:tcPr>
          <w:p w14:paraId="1C64F1A1" w14:textId="77777777" w:rsidR="00271E37" w:rsidRPr="00066F50" w:rsidRDefault="00271E37">
            <w:pPr>
              <w:jc w:val="left"/>
            </w:pPr>
            <w:r>
              <w:t>Loss</w:t>
            </w:r>
            <w:r w:rsidRPr="00066F50">
              <w:t xml:space="preserve"> attributable to equity holders of the Company</w:t>
            </w:r>
          </w:p>
        </w:tc>
        <w:tc>
          <w:tcPr>
            <w:tcW w:w="1134" w:type="dxa"/>
            <w:vAlign w:val="center"/>
          </w:tcPr>
          <w:p w14:paraId="67967C63" w14:textId="77777777" w:rsidR="00271E37" w:rsidRPr="007E01A7" w:rsidRDefault="00271E37">
            <w:pPr>
              <w:rPr>
                <w:b/>
                <w:bCs/>
              </w:rPr>
            </w:pPr>
            <w:r>
              <w:rPr>
                <w:rFonts w:cs="Arial"/>
                <w:b/>
                <w:bCs/>
                <w:color w:val="000000"/>
                <w:szCs w:val="16"/>
              </w:rPr>
              <w:t>(112,337)</w:t>
            </w:r>
          </w:p>
        </w:tc>
        <w:tc>
          <w:tcPr>
            <w:tcW w:w="1134" w:type="dxa"/>
            <w:vAlign w:val="center"/>
          </w:tcPr>
          <w:p w14:paraId="132EC612" w14:textId="77777777" w:rsidR="00271E37" w:rsidRPr="007E01A7" w:rsidRDefault="00271E37">
            <w:r>
              <w:rPr>
                <w:rFonts w:cs="Arial"/>
                <w:color w:val="000000"/>
                <w:szCs w:val="16"/>
              </w:rPr>
              <w:t>(78,450)</w:t>
            </w:r>
          </w:p>
        </w:tc>
      </w:tr>
      <w:tr w:rsidR="00271E37" w:rsidRPr="00066F50" w14:paraId="2448E8E6" w14:textId="77777777">
        <w:tc>
          <w:tcPr>
            <w:tcW w:w="0" w:type="auto"/>
          </w:tcPr>
          <w:p w14:paraId="0E8DC2A4" w14:textId="77777777" w:rsidR="00271E37" w:rsidRPr="00066F50" w:rsidRDefault="00271E37">
            <w:pPr>
              <w:jc w:val="left"/>
              <w:rPr>
                <w:b/>
                <w:bCs/>
              </w:rPr>
            </w:pPr>
            <w:r w:rsidRPr="00066F50">
              <w:rPr>
                <w:b/>
                <w:bCs/>
              </w:rPr>
              <w:t>Adjustments</w:t>
            </w:r>
          </w:p>
        </w:tc>
        <w:tc>
          <w:tcPr>
            <w:tcW w:w="1134" w:type="dxa"/>
            <w:vAlign w:val="center"/>
          </w:tcPr>
          <w:p w14:paraId="6F70C266" w14:textId="77777777" w:rsidR="00271E37" w:rsidRPr="007E01A7" w:rsidRDefault="00271E37">
            <w:pPr>
              <w:rPr>
                <w:b/>
                <w:bCs/>
              </w:rPr>
            </w:pPr>
          </w:p>
        </w:tc>
        <w:tc>
          <w:tcPr>
            <w:tcW w:w="1134" w:type="dxa"/>
            <w:vAlign w:val="center"/>
          </w:tcPr>
          <w:p w14:paraId="53DEC56E" w14:textId="77777777" w:rsidR="00271E37" w:rsidRPr="007E01A7" w:rsidRDefault="00271E37"/>
        </w:tc>
      </w:tr>
      <w:tr w:rsidR="00271E37" w:rsidRPr="00066F50" w14:paraId="466CC565" w14:textId="77777777">
        <w:tc>
          <w:tcPr>
            <w:tcW w:w="0" w:type="auto"/>
            <w:tcBorders>
              <w:bottom w:val="nil"/>
            </w:tcBorders>
          </w:tcPr>
          <w:p w14:paraId="1C1B9487" w14:textId="77777777" w:rsidR="00271E37" w:rsidRPr="00066F50" w:rsidRDefault="00271E37">
            <w:pPr>
              <w:jc w:val="left"/>
            </w:pPr>
            <w:r w:rsidRPr="00066F50">
              <w:t>Adjusting items</w:t>
            </w:r>
            <w:r>
              <w:t xml:space="preserve"> (net of non-controlling interest effect)</w:t>
            </w:r>
          </w:p>
        </w:tc>
        <w:tc>
          <w:tcPr>
            <w:tcW w:w="1134" w:type="dxa"/>
            <w:tcBorders>
              <w:bottom w:val="nil"/>
            </w:tcBorders>
            <w:vAlign w:val="center"/>
          </w:tcPr>
          <w:p w14:paraId="691DB1C4" w14:textId="77777777" w:rsidR="00271E37" w:rsidRPr="00002E02" w:rsidRDefault="00271E37">
            <w:pPr>
              <w:rPr>
                <w:rFonts w:cs="Arial"/>
                <w:b/>
                <w:bCs/>
                <w:color w:val="000000"/>
                <w:szCs w:val="16"/>
              </w:rPr>
            </w:pPr>
            <w:r>
              <w:rPr>
                <w:rFonts w:cs="Arial"/>
                <w:b/>
                <w:bCs/>
                <w:color w:val="000000"/>
                <w:szCs w:val="16"/>
              </w:rPr>
              <w:t xml:space="preserve">112,574 </w:t>
            </w:r>
          </w:p>
        </w:tc>
        <w:tc>
          <w:tcPr>
            <w:tcW w:w="1134" w:type="dxa"/>
            <w:tcBorders>
              <w:bottom w:val="nil"/>
            </w:tcBorders>
            <w:vAlign w:val="center"/>
          </w:tcPr>
          <w:p w14:paraId="3339AB48" w14:textId="77777777" w:rsidR="00271E37" w:rsidRPr="007E01A7" w:rsidRDefault="00271E37">
            <w:r>
              <w:rPr>
                <w:rFonts w:cs="Arial"/>
                <w:color w:val="000000"/>
                <w:szCs w:val="16"/>
              </w:rPr>
              <w:t xml:space="preserve">44,293 </w:t>
            </w:r>
          </w:p>
        </w:tc>
      </w:tr>
      <w:tr w:rsidR="00271E37" w:rsidRPr="00066F50" w14:paraId="7D0F05B0" w14:textId="77777777">
        <w:tc>
          <w:tcPr>
            <w:tcW w:w="0" w:type="auto"/>
            <w:tcBorders>
              <w:bottom w:val="single" w:sz="4" w:space="0" w:color="auto"/>
            </w:tcBorders>
            <w:vAlign w:val="bottom"/>
          </w:tcPr>
          <w:p w14:paraId="55DD7E2B" w14:textId="77777777" w:rsidR="00271E37" w:rsidRPr="00066F50" w:rsidRDefault="00271E37">
            <w:pPr>
              <w:jc w:val="left"/>
            </w:pPr>
            <w:r>
              <w:rPr>
                <w:rFonts w:cs="Arial"/>
                <w:color w:val="000000" w:themeColor="text1"/>
              </w:rPr>
              <w:t>Tax relief on adjustments (net of non-controlling interest effect)</w:t>
            </w:r>
          </w:p>
        </w:tc>
        <w:tc>
          <w:tcPr>
            <w:tcW w:w="1134" w:type="dxa"/>
            <w:tcBorders>
              <w:bottom w:val="single" w:sz="4" w:space="0" w:color="auto"/>
            </w:tcBorders>
            <w:vAlign w:val="center"/>
          </w:tcPr>
          <w:p w14:paraId="2D3E2697" w14:textId="77777777" w:rsidR="00271E37" w:rsidRDefault="00271E37">
            <w:pPr>
              <w:rPr>
                <w:rFonts w:cs="Arial"/>
                <w:b/>
                <w:bCs/>
                <w:color w:val="000000"/>
                <w:szCs w:val="16"/>
              </w:rPr>
            </w:pPr>
            <w:r>
              <w:rPr>
                <w:rFonts w:cs="Arial"/>
                <w:b/>
                <w:bCs/>
                <w:color w:val="000000"/>
                <w:szCs w:val="16"/>
              </w:rPr>
              <w:t>(155)</w:t>
            </w:r>
          </w:p>
        </w:tc>
        <w:tc>
          <w:tcPr>
            <w:tcW w:w="1134" w:type="dxa"/>
            <w:tcBorders>
              <w:bottom w:val="single" w:sz="4" w:space="0" w:color="auto"/>
            </w:tcBorders>
            <w:vAlign w:val="center"/>
          </w:tcPr>
          <w:p w14:paraId="445B4912" w14:textId="77777777" w:rsidR="00271E37" w:rsidRPr="00DD777C" w:rsidRDefault="00271E37">
            <w:r>
              <w:rPr>
                <w:rFonts w:cs="Arial"/>
                <w:color w:val="000000"/>
                <w:szCs w:val="16"/>
              </w:rPr>
              <w:t xml:space="preserve">28,991 </w:t>
            </w:r>
          </w:p>
        </w:tc>
      </w:tr>
      <w:tr w:rsidR="00271E37" w:rsidRPr="00066F50" w14:paraId="10C91C1C" w14:textId="77777777">
        <w:tc>
          <w:tcPr>
            <w:tcW w:w="0" w:type="auto"/>
            <w:tcBorders>
              <w:top w:val="single" w:sz="4" w:space="0" w:color="auto"/>
              <w:bottom w:val="single" w:sz="12" w:space="0" w:color="auto"/>
            </w:tcBorders>
          </w:tcPr>
          <w:p w14:paraId="445A1C16" w14:textId="236EB670" w:rsidR="00271E37" w:rsidRPr="00066F50" w:rsidRDefault="00271E37">
            <w:pPr>
              <w:jc w:val="left"/>
              <w:rPr>
                <w:b/>
                <w:bCs/>
              </w:rPr>
            </w:pPr>
            <w:r w:rsidRPr="00066F50">
              <w:rPr>
                <w:b/>
                <w:bCs/>
              </w:rPr>
              <w:t xml:space="preserve">Adjusted </w:t>
            </w:r>
            <w:r w:rsidR="0006319B">
              <w:rPr>
                <w:b/>
                <w:bCs/>
              </w:rPr>
              <w:t>earnings/(</w:t>
            </w:r>
            <w:r>
              <w:rPr>
                <w:b/>
                <w:bCs/>
              </w:rPr>
              <w:t>loss</w:t>
            </w:r>
            <w:r w:rsidR="0006319B">
              <w:rPr>
                <w:b/>
                <w:bCs/>
              </w:rPr>
              <w:t>)</w:t>
            </w:r>
            <w:r w:rsidRPr="00066F50">
              <w:rPr>
                <w:b/>
                <w:bCs/>
              </w:rPr>
              <w:t xml:space="preserve"> attributable to equity holders of the Company</w:t>
            </w:r>
          </w:p>
        </w:tc>
        <w:tc>
          <w:tcPr>
            <w:tcW w:w="1134" w:type="dxa"/>
            <w:tcBorders>
              <w:top w:val="single" w:sz="4" w:space="0" w:color="auto"/>
              <w:bottom w:val="single" w:sz="12" w:space="0" w:color="auto"/>
            </w:tcBorders>
            <w:vAlign w:val="center"/>
          </w:tcPr>
          <w:p w14:paraId="4FF4483D" w14:textId="77777777" w:rsidR="00271E37" w:rsidRPr="007E01A7" w:rsidRDefault="00271E37">
            <w:pPr>
              <w:rPr>
                <w:b/>
                <w:bCs/>
              </w:rPr>
            </w:pPr>
            <w:r>
              <w:rPr>
                <w:rFonts w:cs="Arial"/>
                <w:b/>
                <w:bCs/>
                <w:color w:val="000000"/>
                <w:szCs w:val="16"/>
              </w:rPr>
              <w:t xml:space="preserve">82 </w:t>
            </w:r>
          </w:p>
        </w:tc>
        <w:tc>
          <w:tcPr>
            <w:tcW w:w="1134" w:type="dxa"/>
            <w:tcBorders>
              <w:top w:val="single" w:sz="4" w:space="0" w:color="auto"/>
              <w:bottom w:val="single" w:sz="12" w:space="0" w:color="auto"/>
            </w:tcBorders>
            <w:vAlign w:val="center"/>
          </w:tcPr>
          <w:p w14:paraId="69843A9A" w14:textId="77777777" w:rsidR="00271E37" w:rsidRPr="007E01A7" w:rsidRDefault="00271E37">
            <w:r>
              <w:rPr>
                <w:rFonts w:cs="Arial"/>
                <w:color w:val="000000"/>
                <w:szCs w:val="16"/>
              </w:rPr>
              <w:t>(5,166)</w:t>
            </w:r>
          </w:p>
        </w:tc>
      </w:tr>
    </w:tbl>
    <w:p w14:paraId="0E4822CF" w14:textId="77777777" w:rsidR="00271E37" w:rsidRDefault="00271E37" w:rsidP="002E39D4"/>
    <w:tbl>
      <w:tblPr>
        <w:tblStyle w:val="tableDUL"/>
        <w:tblW w:w="9639" w:type="dxa"/>
        <w:tblLook w:val="04A0" w:firstRow="1" w:lastRow="0" w:firstColumn="1" w:lastColumn="0" w:noHBand="0" w:noVBand="1"/>
      </w:tblPr>
      <w:tblGrid>
        <w:gridCol w:w="7371"/>
        <w:gridCol w:w="1134"/>
        <w:gridCol w:w="1134"/>
      </w:tblGrid>
      <w:tr w:rsidR="00271E37" w:rsidRPr="00066F50" w14:paraId="4DE5342F" w14:textId="77777777">
        <w:tc>
          <w:tcPr>
            <w:tcW w:w="0" w:type="auto"/>
            <w:tcBorders>
              <w:bottom w:val="nil"/>
            </w:tcBorders>
          </w:tcPr>
          <w:p w14:paraId="006C215D" w14:textId="77777777" w:rsidR="00271E37" w:rsidRPr="00066F50" w:rsidRDefault="00271E37">
            <w:pPr>
              <w:jc w:val="left"/>
            </w:pPr>
          </w:p>
        </w:tc>
        <w:tc>
          <w:tcPr>
            <w:tcW w:w="1134" w:type="dxa"/>
            <w:tcBorders>
              <w:bottom w:val="nil"/>
            </w:tcBorders>
          </w:tcPr>
          <w:p w14:paraId="4F48AF2C" w14:textId="77777777" w:rsidR="00271E37" w:rsidRPr="00066F50" w:rsidRDefault="00271E37">
            <w:pPr>
              <w:rPr>
                <w:b/>
                <w:bCs/>
              </w:rPr>
            </w:pPr>
            <w:r w:rsidRPr="00066F50">
              <w:rPr>
                <w:b/>
                <w:bCs/>
              </w:rPr>
              <w:t>202</w:t>
            </w:r>
            <w:r>
              <w:rPr>
                <w:b/>
                <w:bCs/>
              </w:rPr>
              <w:t>6</w:t>
            </w:r>
          </w:p>
        </w:tc>
        <w:tc>
          <w:tcPr>
            <w:tcW w:w="1134" w:type="dxa"/>
            <w:tcBorders>
              <w:bottom w:val="nil"/>
            </w:tcBorders>
          </w:tcPr>
          <w:p w14:paraId="32750247" w14:textId="77777777" w:rsidR="00271E37" w:rsidRPr="00066F50" w:rsidRDefault="00271E37">
            <w:r w:rsidRPr="00066F50">
              <w:t>202</w:t>
            </w:r>
            <w:r>
              <w:t>5</w:t>
            </w:r>
          </w:p>
        </w:tc>
      </w:tr>
      <w:tr w:rsidR="00271E37" w:rsidRPr="00066F50" w14:paraId="363514DA" w14:textId="77777777">
        <w:tc>
          <w:tcPr>
            <w:tcW w:w="0" w:type="auto"/>
            <w:tcBorders>
              <w:bottom w:val="single" w:sz="4" w:space="0" w:color="auto"/>
            </w:tcBorders>
          </w:tcPr>
          <w:p w14:paraId="6D0FD978" w14:textId="1BA8A79A" w:rsidR="00271E37" w:rsidRPr="00091C79" w:rsidRDefault="00271E37">
            <w:pPr>
              <w:jc w:val="left"/>
              <w:rPr>
                <w:b/>
                <w:bCs/>
              </w:rPr>
            </w:pPr>
            <w:r w:rsidRPr="00091C79">
              <w:rPr>
                <w:b/>
                <w:bCs/>
              </w:rPr>
              <w:t xml:space="preserve">Earnings attributable to </w:t>
            </w:r>
            <w:r w:rsidR="004854FB">
              <w:rPr>
                <w:b/>
                <w:bCs/>
              </w:rPr>
              <w:t>c</w:t>
            </w:r>
            <w:r w:rsidRPr="00091C79">
              <w:rPr>
                <w:b/>
                <w:bCs/>
              </w:rPr>
              <w:t xml:space="preserve">ontinuing </w:t>
            </w:r>
            <w:r w:rsidR="004854FB">
              <w:rPr>
                <w:b/>
                <w:bCs/>
              </w:rPr>
              <w:t>o</w:t>
            </w:r>
            <w:r w:rsidRPr="00091C79">
              <w:rPr>
                <w:b/>
                <w:bCs/>
              </w:rPr>
              <w:t>perations</w:t>
            </w:r>
          </w:p>
        </w:tc>
        <w:tc>
          <w:tcPr>
            <w:tcW w:w="1134" w:type="dxa"/>
            <w:tcBorders>
              <w:bottom w:val="single" w:sz="4" w:space="0" w:color="auto"/>
            </w:tcBorders>
          </w:tcPr>
          <w:p w14:paraId="1416CE1A" w14:textId="77777777" w:rsidR="00271E37" w:rsidRPr="00066F50" w:rsidRDefault="00271E37">
            <w:pPr>
              <w:rPr>
                <w:b/>
                <w:bCs/>
              </w:rPr>
            </w:pPr>
            <w:r>
              <w:rPr>
                <w:b/>
                <w:bCs/>
              </w:rPr>
              <w:t>£</w:t>
            </w:r>
            <w:r w:rsidRPr="00066F50">
              <w:rPr>
                <w:b/>
                <w:bCs/>
              </w:rPr>
              <w:t>000</w:t>
            </w:r>
          </w:p>
        </w:tc>
        <w:tc>
          <w:tcPr>
            <w:tcW w:w="1134" w:type="dxa"/>
            <w:tcBorders>
              <w:bottom w:val="single" w:sz="4" w:space="0" w:color="auto"/>
            </w:tcBorders>
          </w:tcPr>
          <w:p w14:paraId="49ED7883" w14:textId="77777777" w:rsidR="00271E37" w:rsidRPr="00066F50" w:rsidRDefault="00271E37">
            <w:r>
              <w:t>£</w:t>
            </w:r>
            <w:r w:rsidRPr="00066F50">
              <w:t>000</w:t>
            </w:r>
          </w:p>
        </w:tc>
      </w:tr>
      <w:tr w:rsidR="00271E37" w:rsidRPr="00066F50" w14:paraId="2F2A6984" w14:textId="77777777">
        <w:tc>
          <w:tcPr>
            <w:tcW w:w="0" w:type="auto"/>
            <w:tcBorders>
              <w:top w:val="single" w:sz="4" w:space="0" w:color="auto"/>
            </w:tcBorders>
          </w:tcPr>
          <w:p w14:paraId="2D6DD22D" w14:textId="77777777" w:rsidR="00271E37" w:rsidRPr="00066F50" w:rsidRDefault="00271E37">
            <w:pPr>
              <w:jc w:val="left"/>
              <w:rPr>
                <w:b/>
                <w:bCs/>
              </w:rPr>
            </w:pPr>
            <w:r>
              <w:rPr>
                <w:b/>
                <w:bCs/>
              </w:rPr>
              <w:t>E</w:t>
            </w:r>
            <w:r w:rsidRPr="00066F50">
              <w:rPr>
                <w:b/>
                <w:bCs/>
              </w:rPr>
              <w:t>arnings</w:t>
            </w:r>
          </w:p>
        </w:tc>
        <w:tc>
          <w:tcPr>
            <w:tcW w:w="1134" w:type="dxa"/>
            <w:tcBorders>
              <w:top w:val="single" w:sz="4" w:space="0" w:color="auto"/>
            </w:tcBorders>
          </w:tcPr>
          <w:p w14:paraId="6924E029" w14:textId="77777777" w:rsidR="00271E37" w:rsidRPr="00066F50" w:rsidRDefault="00271E37">
            <w:pPr>
              <w:rPr>
                <w:b/>
                <w:bCs/>
              </w:rPr>
            </w:pPr>
          </w:p>
        </w:tc>
        <w:tc>
          <w:tcPr>
            <w:tcW w:w="1134" w:type="dxa"/>
            <w:tcBorders>
              <w:top w:val="single" w:sz="4" w:space="0" w:color="auto"/>
            </w:tcBorders>
          </w:tcPr>
          <w:p w14:paraId="46B8809A" w14:textId="77777777" w:rsidR="00271E37" w:rsidRPr="00066F50" w:rsidRDefault="00271E37"/>
        </w:tc>
      </w:tr>
      <w:tr w:rsidR="00271E37" w:rsidRPr="00066F50" w14:paraId="2FF3DAD7" w14:textId="77777777">
        <w:tc>
          <w:tcPr>
            <w:tcW w:w="0" w:type="auto"/>
          </w:tcPr>
          <w:p w14:paraId="091EB111" w14:textId="77777777" w:rsidR="00271E37" w:rsidRPr="00066F50" w:rsidRDefault="00271E37">
            <w:pPr>
              <w:jc w:val="left"/>
            </w:pPr>
            <w:r>
              <w:t>Earnings</w:t>
            </w:r>
            <w:r w:rsidRPr="00066F50">
              <w:t xml:space="preserve"> attributable to equity holders of the Company</w:t>
            </w:r>
          </w:p>
        </w:tc>
        <w:tc>
          <w:tcPr>
            <w:tcW w:w="1134" w:type="dxa"/>
            <w:vAlign w:val="center"/>
          </w:tcPr>
          <w:p w14:paraId="797B90EB" w14:textId="77777777" w:rsidR="00271E37" w:rsidRPr="007E01A7" w:rsidRDefault="00271E37">
            <w:pPr>
              <w:rPr>
                <w:b/>
                <w:bCs/>
              </w:rPr>
            </w:pPr>
            <w:r>
              <w:rPr>
                <w:rFonts w:cs="Arial"/>
                <w:b/>
                <w:bCs/>
                <w:color w:val="000000"/>
                <w:szCs w:val="16"/>
              </w:rPr>
              <w:t xml:space="preserve">5,330 </w:t>
            </w:r>
          </w:p>
        </w:tc>
        <w:tc>
          <w:tcPr>
            <w:tcW w:w="1134" w:type="dxa"/>
            <w:vAlign w:val="center"/>
          </w:tcPr>
          <w:p w14:paraId="14738CF9" w14:textId="77777777" w:rsidR="00271E37" w:rsidRPr="007E01A7" w:rsidRDefault="00271E37">
            <w:r>
              <w:rPr>
                <w:rFonts w:cs="Arial"/>
                <w:color w:val="000000"/>
                <w:szCs w:val="16"/>
              </w:rPr>
              <w:t xml:space="preserve">4,145 </w:t>
            </w:r>
          </w:p>
        </w:tc>
      </w:tr>
      <w:tr w:rsidR="00271E37" w:rsidRPr="00066F50" w14:paraId="002E14BB" w14:textId="77777777">
        <w:tc>
          <w:tcPr>
            <w:tcW w:w="0" w:type="auto"/>
          </w:tcPr>
          <w:p w14:paraId="391F2E4A" w14:textId="77777777" w:rsidR="00271E37" w:rsidRPr="00066F50" w:rsidRDefault="00271E37">
            <w:pPr>
              <w:jc w:val="left"/>
              <w:rPr>
                <w:b/>
                <w:bCs/>
              </w:rPr>
            </w:pPr>
            <w:r w:rsidRPr="00066F50">
              <w:rPr>
                <w:b/>
                <w:bCs/>
              </w:rPr>
              <w:t>Adjustments</w:t>
            </w:r>
          </w:p>
        </w:tc>
        <w:tc>
          <w:tcPr>
            <w:tcW w:w="1134" w:type="dxa"/>
            <w:vAlign w:val="center"/>
          </w:tcPr>
          <w:p w14:paraId="7C3FB1F5" w14:textId="77777777" w:rsidR="00271E37" w:rsidRPr="007E01A7" w:rsidRDefault="00271E37">
            <w:pPr>
              <w:rPr>
                <w:b/>
                <w:bCs/>
              </w:rPr>
            </w:pPr>
          </w:p>
        </w:tc>
        <w:tc>
          <w:tcPr>
            <w:tcW w:w="1134" w:type="dxa"/>
            <w:vAlign w:val="center"/>
          </w:tcPr>
          <w:p w14:paraId="329B057B" w14:textId="77777777" w:rsidR="00271E37" w:rsidRPr="007E01A7" w:rsidRDefault="00271E37"/>
        </w:tc>
      </w:tr>
      <w:tr w:rsidR="00271E37" w:rsidRPr="00066F50" w14:paraId="2FEDABAC" w14:textId="77777777">
        <w:tc>
          <w:tcPr>
            <w:tcW w:w="0" w:type="auto"/>
            <w:tcBorders>
              <w:bottom w:val="nil"/>
            </w:tcBorders>
          </w:tcPr>
          <w:p w14:paraId="02DE03A2" w14:textId="77777777" w:rsidR="00271E37" w:rsidRPr="00066F50" w:rsidRDefault="00271E37">
            <w:pPr>
              <w:jc w:val="left"/>
            </w:pPr>
            <w:r w:rsidRPr="00066F50">
              <w:t>Adjusting items</w:t>
            </w:r>
            <w:r>
              <w:t xml:space="preserve"> (net of non-controlling interest effect)</w:t>
            </w:r>
          </w:p>
        </w:tc>
        <w:tc>
          <w:tcPr>
            <w:tcW w:w="1134" w:type="dxa"/>
            <w:tcBorders>
              <w:bottom w:val="nil"/>
            </w:tcBorders>
            <w:vAlign w:val="center"/>
          </w:tcPr>
          <w:p w14:paraId="1A3E0C16" w14:textId="77777777" w:rsidR="00271E37" w:rsidRPr="00002E02" w:rsidRDefault="00271E37">
            <w:pPr>
              <w:rPr>
                <w:rFonts w:cs="Arial"/>
                <w:b/>
                <w:bCs/>
                <w:color w:val="000000"/>
                <w:szCs w:val="16"/>
              </w:rPr>
            </w:pPr>
            <w:r>
              <w:rPr>
                <w:rFonts w:cs="Arial"/>
                <w:b/>
                <w:bCs/>
                <w:color w:val="000000"/>
                <w:szCs w:val="16"/>
              </w:rPr>
              <w:t>1,756</w:t>
            </w:r>
          </w:p>
        </w:tc>
        <w:tc>
          <w:tcPr>
            <w:tcW w:w="1134" w:type="dxa"/>
            <w:tcBorders>
              <w:bottom w:val="nil"/>
            </w:tcBorders>
            <w:vAlign w:val="center"/>
          </w:tcPr>
          <w:p w14:paraId="59626C9D" w14:textId="77777777" w:rsidR="00271E37" w:rsidRPr="007E01A7" w:rsidRDefault="00271E37">
            <w:r>
              <w:rPr>
                <w:rFonts w:cs="Arial"/>
                <w:color w:val="000000"/>
                <w:szCs w:val="16"/>
              </w:rPr>
              <w:t xml:space="preserve">5,543 </w:t>
            </w:r>
          </w:p>
        </w:tc>
      </w:tr>
      <w:tr w:rsidR="00271E37" w:rsidRPr="00066F50" w14:paraId="462BD10D" w14:textId="77777777">
        <w:tc>
          <w:tcPr>
            <w:tcW w:w="0" w:type="auto"/>
            <w:tcBorders>
              <w:bottom w:val="single" w:sz="4" w:space="0" w:color="auto"/>
            </w:tcBorders>
            <w:vAlign w:val="bottom"/>
          </w:tcPr>
          <w:p w14:paraId="4BDFC58B" w14:textId="77777777" w:rsidR="00271E37" w:rsidRPr="00066F50" w:rsidRDefault="00271E37">
            <w:pPr>
              <w:jc w:val="left"/>
            </w:pPr>
            <w:r>
              <w:rPr>
                <w:rFonts w:cs="Arial"/>
                <w:color w:val="000000" w:themeColor="text1"/>
              </w:rPr>
              <w:t>Tax relief on adjustments (net of non-controlling interest effect)</w:t>
            </w:r>
          </w:p>
        </w:tc>
        <w:tc>
          <w:tcPr>
            <w:tcW w:w="1134" w:type="dxa"/>
            <w:tcBorders>
              <w:bottom w:val="single" w:sz="4" w:space="0" w:color="auto"/>
            </w:tcBorders>
            <w:vAlign w:val="center"/>
          </w:tcPr>
          <w:p w14:paraId="62AA3A17" w14:textId="77777777" w:rsidR="00271E37" w:rsidRDefault="00271E37">
            <w:pPr>
              <w:rPr>
                <w:rFonts w:cs="Arial"/>
                <w:b/>
                <w:bCs/>
                <w:color w:val="000000"/>
                <w:szCs w:val="16"/>
              </w:rPr>
            </w:pPr>
            <w:r>
              <w:rPr>
                <w:rFonts w:cs="Arial"/>
                <w:b/>
                <w:bCs/>
                <w:color w:val="000000"/>
                <w:szCs w:val="16"/>
              </w:rPr>
              <w:t>(155)</w:t>
            </w:r>
          </w:p>
        </w:tc>
        <w:tc>
          <w:tcPr>
            <w:tcW w:w="1134" w:type="dxa"/>
            <w:tcBorders>
              <w:bottom w:val="single" w:sz="4" w:space="0" w:color="auto"/>
            </w:tcBorders>
            <w:vAlign w:val="center"/>
          </w:tcPr>
          <w:p w14:paraId="378360F8" w14:textId="77777777" w:rsidR="00271E37" w:rsidRPr="00DD777C" w:rsidRDefault="00271E37">
            <w:r>
              <w:rPr>
                <w:rFonts w:cs="Arial"/>
                <w:color w:val="000000"/>
                <w:szCs w:val="16"/>
              </w:rPr>
              <w:t>(26)</w:t>
            </w:r>
          </w:p>
        </w:tc>
      </w:tr>
      <w:tr w:rsidR="00271E37" w:rsidRPr="00066F50" w14:paraId="69EA8CD5" w14:textId="77777777">
        <w:tc>
          <w:tcPr>
            <w:tcW w:w="0" w:type="auto"/>
            <w:tcBorders>
              <w:top w:val="single" w:sz="4" w:space="0" w:color="auto"/>
              <w:bottom w:val="single" w:sz="12" w:space="0" w:color="auto"/>
            </w:tcBorders>
          </w:tcPr>
          <w:p w14:paraId="19FFBA17" w14:textId="77777777" w:rsidR="00271E37" w:rsidRPr="00066F50" w:rsidRDefault="00271E37">
            <w:pPr>
              <w:jc w:val="left"/>
              <w:rPr>
                <w:b/>
                <w:bCs/>
              </w:rPr>
            </w:pPr>
            <w:r w:rsidRPr="00066F50">
              <w:rPr>
                <w:b/>
                <w:bCs/>
              </w:rPr>
              <w:t>Adjusted earnings attributable to equity holders of the Company</w:t>
            </w:r>
          </w:p>
        </w:tc>
        <w:tc>
          <w:tcPr>
            <w:tcW w:w="1134" w:type="dxa"/>
            <w:tcBorders>
              <w:top w:val="single" w:sz="4" w:space="0" w:color="auto"/>
              <w:bottom w:val="single" w:sz="12" w:space="0" w:color="auto"/>
            </w:tcBorders>
            <w:vAlign w:val="center"/>
          </w:tcPr>
          <w:p w14:paraId="0292BA15" w14:textId="77777777" w:rsidR="00271E37" w:rsidRPr="007E01A7" w:rsidRDefault="00271E37">
            <w:pPr>
              <w:rPr>
                <w:b/>
                <w:bCs/>
              </w:rPr>
            </w:pPr>
            <w:r>
              <w:rPr>
                <w:rFonts w:cs="Arial"/>
                <w:b/>
                <w:bCs/>
                <w:color w:val="000000"/>
                <w:szCs w:val="16"/>
              </w:rPr>
              <w:t xml:space="preserve">6,931 </w:t>
            </w:r>
          </w:p>
        </w:tc>
        <w:tc>
          <w:tcPr>
            <w:tcW w:w="1134" w:type="dxa"/>
            <w:tcBorders>
              <w:top w:val="single" w:sz="4" w:space="0" w:color="auto"/>
              <w:bottom w:val="single" w:sz="12" w:space="0" w:color="auto"/>
            </w:tcBorders>
            <w:vAlign w:val="center"/>
          </w:tcPr>
          <w:p w14:paraId="51F9742C" w14:textId="77777777" w:rsidR="00271E37" w:rsidRPr="007E01A7" w:rsidRDefault="00271E37">
            <w:r>
              <w:rPr>
                <w:rFonts w:cs="Arial"/>
                <w:color w:val="000000"/>
                <w:szCs w:val="16"/>
              </w:rPr>
              <w:t xml:space="preserve">9,662 </w:t>
            </w:r>
          </w:p>
        </w:tc>
      </w:tr>
    </w:tbl>
    <w:p w14:paraId="6629B7D8" w14:textId="77777777" w:rsidR="00271E37" w:rsidRDefault="00271E37" w:rsidP="002E39D4"/>
    <w:tbl>
      <w:tblPr>
        <w:tblStyle w:val="tableDUL"/>
        <w:tblW w:w="9639" w:type="dxa"/>
        <w:tblLook w:val="04A0" w:firstRow="1" w:lastRow="0" w:firstColumn="1" w:lastColumn="0" w:noHBand="0" w:noVBand="1"/>
      </w:tblPr>
      <w:tblGrid>
        <w:gridCol w:w="7371"/>
        <w:gridCol w:w="1134"/>
        <w:gridCol w:w="1134"/>
      </w:tblGrid>
      <w:tr w:rsidR="00271E37" w:rsidRPr="009658BA" w14:paraId="3498ADC7" w14:textId="77777777" w:rsidTr="00CB6AC1">
        <w:tc>
          <w:tcPr>
            <w:tcW w:w="0" w:type="auto"/>
            <w:tcBorders>
              <w:bottom w:val="single" w:sz="4" w:space="0" w:color="auto"/>
            </w:tcBorders>
          </w:tcPr>
          <w:p w14:paraId="697ECBF5" w14:textId="77777777" w:rsidR="00271E37" w:rsidRPr="00091C79" w:rsidRDefault="00271E37" w:rsidP="009658BA">
            <w:pPr>
              <w:jc w:val="left"/>
              <w:rPr>
                <w:b/>
                <w:bCs/>
              </w:rPr>
            </w:pPr>
            <w:r w:rsidRPr="00091C79">
              <w:rPr>
                <w:b/>
                <w:bCs/>
              </w:rPr>
              <w:t>Number of shares</w:t>
            </w:r>
          </w:p>
          <w:p w14:paraId="406364D3" w14:textId="77777777" w:rsidR="00271E37" w:rsidRPr="009658BA" w:rsidRDefault="00271E37" w:rsidP="009658BA">
            <w:pPr>
              <w:jc w:val="left"/>
            </w:pPr>
            <w:r w:rsidRPr="00091C79">
              <w:rPr>
                <w:b/>
                <w:bCs/>
              </w:rPr>
              <w:t>In thousands of shares</w:t>
            </w:r>
            <w:r w:rsidRPr="009658BA">
              <w:t xml:space="preserve"> </w:t>
            </w:r>
          </w:p>
        </w:tc>
        <w:tc>
          <w:tcPr>
            <w:tcW w:w="1134" w:type="dxa"/>
            <w:tcBorders>
              <w:bottom w:val="single" w:sz="4" w:space="0" w:color="auto"/>
            </w:tcBorders>
          </w:tcPr>
          <w:p w14:paraId="401FBEEE" w14:textId="77777777" w:rsidR="00271E37" w:rsidRDefault="00271E37" w:rsidP="000923EA">
            <w:pPr>
              <w:rPr>
                <w:b/>
                <w:bCs/>
              </w:rPr>
            </w:pPr>
          </w:p>
          <w:p w14:paraId="1CEC86DB" w14:textId="77777777" w:rsidR="00271E37" w:rsidRPr="00CB6AC1" w:rsidRDefault="00271E37" w:rsidP="000923EA">
            <w:pPr>
              <w:rPr>
                <w:b/>
                <w:bCs/>
              </w:rPr>
            </w:pPr>
            <w:r w:rsidRPr="00CB6AC1">
              <w:rPr>
                <w:b/>
                <w:bCs/>
              </w:rPr>
              <w:t>202</w:t>
            </w:r>
            <w:r>
              <w:rPr>
                <w:b/>
                <w:bCs/>
              </w:rPr>
              <w:t>6</w:t>
            </w:r>
          </w:p>
        </w:tc>
        <w:tc>
          <w:tcPr>
            <w:tcW w:w="1134" w:type="dxa"/>
            <w:tcBorders>
              <w:bottom w:val="single" w:sz="4" w:space="0" w:color="auto"/>
            </w:tcBorders>
          </w:tcPr>
          <w:p w14:paraId="38FE4398" w14:textId="77777777" w:rsidR="00271E37" w:rsidRDefault="00271E37" w:rsidP="000923EA"/>
          <w:p w14:paraId="0D73F55D" w14:textId="77777777" w:rsidR="00271E37" w:rsidRPr="009658BA" w:rsidRDefault="00271E37" w:rsidP="000923EA">
            <w:r w:rsidRPr="009658BA">
              <w:t>202</w:t>
            </w:r>
            <w:r>
              <w:t>5</w:t>
            </w:r>
          </w:p>
        </w:tc>
      </w:tr>
      <w:tr w:rsidR="00271E37" w:rsidRPr="009658BA" w14:paraId="36B43643" w14:textId="77777777">
        <w:tc>
          <w:tcPr>
            <w:tcW w:w="0" w:type="auto"/>
            <w:tcBorders>
              <w:top w:val="single" w:sz="4" w:space="0" w:color="auto"/>
            </w:tcBorders>
          </w:tcPr>
          <w:p w14:paraId="604F7F96" w14:textId="77777777" w:rsidR="00271E37" w:rsidRPr="009658BA" w:rsidRDefault="00271E37">
            <w:pPr>
              <w:jc w:val="left"/>
            </w:pPr>
            <w:r w:rsidRPr="009658BA">
              <w:t>Issued ordinary shares at 1 April</w:t>
            </w:r>
          </w:p>
        </w:tc>
        <w:tc>
          <w:tcPr>
            <w:tcW w:w="1134" w:type="dxa"/>
            <w:tcBorders>
              <w:top w:val="single" w:sz="4" w:space="0" w:color="auto"/>
            </w:tcBorders>
            <w:vAlign w:val="center"/>
          </w:tcPr>
          <w:p w14:paraId="64DE8497" w14:textId="77777777" w:rsidR="00271E37" w:rsidRPr="007E01A7" w:rsidRDefault="00271E37">
            <w:pPr>
              <w:rPr>
                <w:b/>
                <w:bCs/>
              </w:rPr>
            </w:pPr>
            <w:r>
              <w:rPr>
                <w:rFonts w:cs="Arial"/>
                <w:b/>
                <w:bCs/>
                <w:color w:val="000000"/>
                <w:szCs w:val="16"/>
              </w:rPr>
              <w:t xml:space="preserve">98,308 </w:t>
            </w:r>
          </w:p>
        </w:tc>
        <w:tc>
          <w:tcPr>
            <w:tcW w:w="1134" w:type="dxa"/>
            <w:tcBorders>
              <w:top w:val="single" w:sz="4" w:space="0" w:color="auto"/>
            </w:tcBorders>
            <w:vAlign w:val="center"/>
          </w:tcPr>
          <w:p w14:paraId="479192A9" w14:textId="77777777" w:rsidR="00271E37" w:rsidRPr="007E01A7" w:rsidRDefault="00271E37">
            <w:r>
              <w:rPr>
                <w:rFonts w:cs="Arial"/>
                <w:color w:val="000000"/>
                <w:szCs w:val="16"/>
              </w:rPr>
              <w:t xml:space="preserve">98,279 </w:t>
            </w:r>
          </w:p>
        </w:tc>
      </w:tr>
      <w:tr w:rsidR="00271E37" w:rsidRPr="009658BA" w14:paraId="1B039AE3" w14:textId="77777777">
        <w:tc>
          <w:tcPr>
            <w:tcW w:w="0" w:type="auto"/>
            <w:tcBorders>
              <w:bottom w:val="nil"/>
            </w:tcBorders>
          </w:tcPr>
          <w:p w14:paraId="3A926C27" w14:textId="77777777" w:rsidR="00271E37" w:rsidRPr="009658BA" w:rsidRDefault="00271E37">
            <w:pPr>
              <w:jc w:val="left"/>
            </w:pPr>
            <w:r w:rsidRPr="009658BA">
              <w:t>Shares relating to share options</w:t>
            </w:r>
          </w:p>
        </w:tc>
        <w:tc>
          <w:tcPr>
            <w:tcW w:w="1134" w:type="dxa"/>
            <w:tcBorders>
              <w:bottom w:val="nil"/>
            </w:tcBorders>
            <w:vAlign w:val="center"/>
          </w:tcPr>
          <w:p w14:paraId="1E4BD668" w14:textId="77777777" w:rsidR="00271E37" w:rsidRPr="007E01A7" w:rsidRDefault="00271E37">
            <w:pPr>
              <w:rPr>
                <w:b/>
                <w:bCs/>
              </w:rPr>
            </w:pPr>
            <w:r>
              <w:rPr>
                <w:rFonts w:cs="Arial"/>
                <w:b/>
                <w:bCs/>
                <w:color w:val="000000"/>
                <w:szCs w:val="16"/>
              </w:rPr>
              <w:t xml:space="preserve">59 </w:t>
            </w:r>
          </w:p>
        </w:tc>
        <w:tc>
          <w:tcPr>
            <w:tcW w:w="1134" w:type="dxa"/>
            <w:tcBorders>
              <w:bottom w:val="nil"/>
            </w:tcBorders>
            <w:vAlign w:val="center"/>
          </w:tcPr>
          <w:p w14:paraId="5E6D1D22" w14:textId="77777777" w:rsidR="00271E37" w:rsidRPr="007E01A7" w:rsidRDefault="00271E37">
            <w:r>
              <w:rPr>
                <w:rFonts w:cs="Arial"/>
                <w:color w:val="000000"/>
                <w:szCs w:val="16"/>
              </w:rPr>
              <w:t xml:space="preserve">28 </w:t>
            </w:r>
          </w:p>
        </w:tc>
      </w:tr>
      <w:tr w:rsidR="00271E37" w:rsidRPr="009658BA" w14:paraId="1F2075CA" w14:textId="77777777">
        <w:tc>
          <w:tcPr>
            <w:tcW w:w="0" w:type="auto"/>
            <w:tcBorders>
              <w:bottom w:val="single" w:sz="4" w:space="0" w:color="auto"/>
            </w:tcBorders>
          </w:tcPr>
          <w:p w14:paraId="7459C1C4" w14:textId="77777777" w:rsidR="00271E37" w:rsidRPr="009658BA" w:rsidRDefault="00271E37">
            <w:pPr>
              <w:jc w:val="left"/>
            </w:pPr>
            <w:r w:rsidRPr="009658BA">
              <w:t>Less: shares held by Employee Benefit Trust</w:t>
            </w:r>
          </w:p>
        </w:tc>
        <w:tc>
          <w:tcPr>
            <w:tcW w:w="1134" w:type="dxa"/>
            <w:tcBorders>
              <w:bottom w:val="single" w:sz="4" w:space="0" w:color="auto"/>
            </w:tcBorders>
            <w:vAlign w:val="center"/>
          </w:tcPr>
          <w:p w14:paraId="326B6B19" w14:textId="77777777" w:rsidR="00271E37" w:rsidRPr="007E01A7" w:rsidRDefault="00271E37">
            <w:pPr>
              <w:rPr>
                <w:b/>
                <w:bCs/>
              </w:rPr>
            </w:pPr>
            <w:r>
              <w:rPr>
                <w:rFonts w:cs="Arial"/>
                <w:b/>
                <w:bCs/>
                <w:color w:val="000000"/>
                <w:szCs w:val="16"/>
              </w:rPr>
              <w:t>(2,965)</w:t>
            </w:r>
          </w:p>
        </w:tc>
        <w:tc>
          <w:tcPr>
            <w:tcW w:w="1134" w:type="dxa"/>
            <w:tcBorders>
              <w:bottom w:val="single" w:sz="4" w:space="0" w:color="auto"/>
            </w:tcBorders>
            <w:vAlign w:val="center"/>
          </w:tcPr>
          <w:p w14:paraId="5DF87153" w14:textId="77777777" w:rsidR="00271E37" w:rsidRPr="007E01A7" w:rsidRDefault="00271E37">
            <w:r>
              <w:rPr>
                <w:rFonts w:cs="Arial"/>
                <w:color w:val="000000"/>
                <w:szCs w:val="16"/>
              </w:rPr>
              <w:t>(3,026)</w:t>
            </w:r>
          </w:p>
        </w:tc>
      </w:tr>
      <w:tr w:rsidR="00271E37" w:rsidRPr="009658BA" w14:paraId="5FB54AB8" w14:textId="77777777">
        <w:tc>
          <w:tcPr>
            <w:tcW w:w="0" w:type="auto"/>
            <w:tcBorders>
              <w:top w:val="single" w:sz="4" w:space="0" w:color="auto"/>
              <w:bottom w:val="nil"/>
            </w:tcBorders>
          </w:tcPr>
          <w:p w14:paraId="3B538ACB" w14:textId="77777777" w:rsidR="00271E37" w:rsidRPr="009658BA" w:rsidRDefault="00271E37">
            <w:pPr>
              <w:jc w:val="left"/>
              <w:rPr>
                <w:b/>
                <w:bCs/>
              </w:rPr>
            </w:pPr>
            <w:r w:rsidRPr="009658BA">
              <w:rPr>
                <w:b/>
                <w:bCs/>
              </w:rPr>
              <w:t>Weighted average number of shares for the purposes of calculating basic EPS</w:t>
            </w:r>
          </w:p>
        </w:tc>
        <w:tc>
          <w:tcPr>
            <w:tcW w:w="1134" w:type="dxa"/>
            <w:tcBorders>
              <w:top w:val="single" w:sz="4" w:space="0" w:color="auto"/>
              <w:bottom w:val="nil"/>
            </w:tcBorders>
            <w:vAlign w:val="center"/>
          </w:tcPr>
          <w:p w14:paraId="0F00615F" w14:textId="77777777" w:rsidR="00271E37" w:rsidRPr="007E01A7" w:rsidRDefault="00271E37">
            <w:pPr>
              <w:rPr>
                <w:b/>
                <w:bCs/>
              </w:rPr>
            </w:pPr>
            <w:r>
              <w:rPr>
                <w:rFonts w:cs="Arial"/>
                <w:b/>
                <w:bCs/>
                <w:color w:val="000000"/>
                <w:szCs w:val="16"/>
              </w:rPr>
              <w:t xml:space="preserve">95,402 </w:t>
            </w:r>
          </w:p>
        </w:tc>
        <w:tc>
          <w:tcPr>
            <w:tcW w:w="1134" w:type="dxa"/>
            <w:tcBorders>
              <w:top w:val="single" w:sz="4" w:space="0" w:color="auto"/>
              <w:bottom w:val="nil"/>
            </w:tcBorders>
            <w:vAlign w:val="center"/>
          </w:tcPr>
          <w:p w14:paraId="1CA421E7" w14:textId="77777777" w:rsidR="00271E37" w:rsidRPr="007E01A7" w:rsidRDefault="00271E37">
            <w:r>
              <w:rPr>
                <w:rFonts w:cs="Arial"/>
                <w:color w:val="000000"/>
                <w:szCs w:val="16"/>
              </w:rPr>
              <w:t xml:space="preserve">95,281 </w:t>
            </w:r>
          </w:p>
        </w:tc>
      </w:tr>
      <w:tr w:rsidR="00271E37" w:rsidRPr="009658BA" w14:paraId="683AB912" w14:textId="77777777">
        <w:tc>
          <w:tcPr>
            <w:tcW w:w="0" w:type="auto"/>
            <w:tcBorders>
              <w:bottom w:val="single" w:sz="4" w:space="0" w:color="auto"/>
            </w:tcBorders>
          </w:tcPr>
          <w:p w14:paraId="490070B3" w14:textId="77777777" w:rsidR="00271E37" w:rsidRPr="009658BA" w:rsidRDefault="00271E37">
            <w:pPr>
              <w:jc w:val="left"/>
            </w:pPr>
            <w:r w:rsidRPr="009658BA">
              <w:t>Effect of dilutive potential shares – share awards</w:t>
            </w:r>
          </w:p>
        </w:tc>
        <w:tc>
          <w:tcPr>
            <w:tcW w:w="1134" w:type="dxa"/>
            <w:tcBorders>
              <w:bottom w:val="single" w:sz="4" w:space="0" w:color="auto"/>
            </w:tcBorders>
            <w:vAlign w:val="center"/>
          </w:tcPr>
          <w:p w14:paraId="30F06689" w14:textId="77777777" w:rsidR="00271E37" w:rsidRPr="00E87640" w:rsidRDefault="00271E37">
            <w:pPr>
              <w:rPr>
                <w:b/>
                <w:bCs/>
              </w:rPr>
            </w:pPr>
            <w:r>
              <w:rPr>
                <w:rFonts w:cs="Arial"/>
                <w:b/>
                <w:bCs/>
                <w:color w:val="000000"/>
                <w:szCs w:val="16"/>
              </w:rPr>
              <w:t xml:space="preserve">655 </w:t>
            </w:r>
          </w:p>
        </w:tc>
        <w:tc>
          <w:tcPr>
            <w:tcW w:w="1134" w:type="dxa"/>
            <w:tcBorders>
              <w:bottom w:val="single" w:sz="4" w:space="0" w:color="auto"/>
            </w:tcBorders>
            <w:vAlign w:val="center"/>
          </w:tcPr>
          <w:p w14:paraId="119A51A4" w14:textId="77777777" w:rsidR="00271E37" w:rsidRPr="007E01A7" w:rsidRDefault="00271E37">
            <w:r>
              <w:rPr>
                <w:rFonts w:cs="Arial"/>
                <w:color w:val="000000"/>
                <w:szCs w:val="16"/>
              </w:rPr>
              <w:t xml:space="preserve">1,083 </w:t>
            </w:r>
          </w:p>
        </w:tc>
      </w:tr>
      <w:tr w:rsidR="00271E37" w:rsidRPr="009658BA" w14:paraId="6B8B4DEC" w14:textId="77777777">
        <w:tc>
          <w:tcPr>
            <w:tcW w:w="0" w:type="auto"/>
            <w:tcBorders>
              <w:top w:val="single" w:sz="4" w:space="0" w:color="auto"/>
            </w:tcBorders>
          </w:tcPr>
          <w:p w14:paraId="2FDAE618" w14:textId="77777777" w:rsidR="00271E37" w:rsidRPr="009658BA" w:rsidRDefault="00271E37">
            <w:pPr>
              <w:jc w:val="left"/>
              <w:rPr>
                <w:b/>
                <w:bCs/>
              </w:rPr>
            </w:pPr>
            <w:r w:rsidRPr="009658BA">
              <w:rPr>
                <w:b/>
                <w:bCs/>
              </w:rPr>
              <w:t>Weighted average number of shares for the purposes of calculating diluted EPS</w:t>
            </w:r>
          </w:p>
        </w:tc>
        <w:tc>
          <w:tcPr>
            <w:tcW w:w="1134" w:type="dxa"/>
            <w:tcBorders>
              <w:top w:val="single" w:sz="4" w:space="0" w:color="auto"/>
            </w:tcBorders>
            <w:vAlign w:val="center"/>
          </w:tcPr>
          <w:p w14:paraId="7BB9F88A" w14:textId="77777777" w:rsidR="00271E37" w:rsidRPr="007E01A7" w:rsidRDefault="00271E37">
            <w:pPr>
              <w:rPr>
                <w:b/>
                <w:bCs/>
              </w:rPr>
            </w:pPr>
            <w:r>
              <w:rPr>
                <w:rFonts w:cs="Arial"/>
                <w:b/>
                <w:bCs/>
                <w:color w:val="000000"/>
                <w:szCs w:val="16"/>
              </w:rPr>
              <w:t xml:space="preserve">96,057 </w:t>
            </w:r>
          </w:p>
        </w:tc>
        <w:tc>
          <w:tcPr>
            <w:tcW w:w="1134" w:type="dxa"/>
            <w:tcBorders>
              <w:top w:val="single" w:sz="4" w:space="0" w:color="auto"/>
            </w:tcBorders>
            <w:vAlign w:val="center"/>
          </w:tcPr>
          <w:p w14:paraId="2880AD76" w14:textId="77777777" w:rsidR="00271E37" w:rsidRPr="007E01A7" w:rsidRDefault="00271E37">
            <w:r>
              <w:rPr>
                <w:rFonts w:cs="Arial"/>
                <w:color w:val="000000"/>
                <w:szCs w:val="16"/>
              </w:rPr>
              <w:t xml:space="preserve">96,364 </w:t>
            </w:r>
          </w:p>
        </w:tc>
      </w:tr>
    </w:tbl>
    <w:p w14:paraId="5A395091" w14:textId="77777777" w:rsidR="00271E37" w:rsidRDefault="00271E37" w:rsidP="002E39D4"/>
    <w:p w14:paraId="63D4B200" w14:textId="77777777" w:rsidR="00271E37" w:rsidRDefault="00271E37" w:rsidP="001153E5">
      <w:r>
        <w:t>Earnings per share are calculated as follows:</w:t>
      </w:r>
    </w:p>
    <w:tbl>
      <w:tblPr>
        <w:tblStyle w:val="tableDUL"/>
        <w:tblW w:w="9639" w:type="dxa"/>
        <w:tblLook w:val="04A0" w:firstRow="1" w:lastRow="0" w:firstColumn="1" w:lastColumn="0" w:noHBand="0" w:noVBand="1"/>
      </w:tblPr>
      <w:tblGrid>
        <w:gridCol w:w="7371"/>
        <w:gridCol w:w="1134"/>
        <w:gridCol w:w="1134"/>
      </w:tblGrid>
      <w:tr w:rsidR="00271E37" w:rsidRPr="00CB6AC1" w14:paraId="0ABA08C2" w14:textId="77777777" w:rsidTr="00CB6AC1">
        <w:tc>
          <w:tcPr>
            <w:tcW w:w="0" w:type="auto"/>
            <w:tcBorders>
              <w:bottom w:val="nil"/>
            </w:tcBorders>
          </w:tcPr>
          <w:p w14:paraId="71BD9658" w14:textId="77777777" w:rsidR="00271E37" w:rsidRPr="00CB6AC1" w:rsidRDefault="00271E37" w:rsidP="00CB6AC1">
            <w:pPr>
              <w:jc w:val="left"/>
            </w:pPr>
          </w:p>
        </w:tc>
        <w:tc>
          <w:tcPr>
            <w:tcW w:w="1134" w:type="dxa"/>
            <w:tcBorders>
              <w:bottom w:val="nil"/>
            </w:tcBorders>
          </w:tcPr>
          <w:p w14:paraId="113DA0D6" w14:textId="77777777" w:rsidR="00271E37" w:rsidRPr="00CB6AC1" w:rsidRDefault="00271E37" w:rsidP="000923EA">
            <w:pPr>
              <w:rPr>
                <w:b/>
                <w:bCs/>
              </w:rPr>
            </w:pPr>
            <w:r w:rsidRPr="00CB6AC1">
              <w:rPr>
                <w:b/>
                <w:bCs/>
              </w:rPr>
              <w:t>202</w:t>
            </w:r>
            <w:r>
              <w:rPr>
                <w:b/>
                <w:bCs/>
              </w:rPr>
              <w:t>6</w:t>
            </w:r>
          </w:p>
        </w:tc>
        <w:tc>
          <w:tcPr>
            <w:tcW w:w="1134" w:type="dxa"/>
            <w:tcBorders>
              <w:bottom w:val="nil"/>
            </w:tcBorders>
          </w:tcPr>
          <w:p w14:paraId="044FF6C1" w14:textId="77777777" w:rsidR="00271E37" w:rsidRPr="00CB6AC1" w:rsidRDefault="00271E37" w:rsidP="000923EA">
            <w:r w:rsidRPr="00CB6AC1">
              <w:t>202</w:t>
            </w:r>
            <w:r>
              <w:t>5</w:t>
            </w:r>
          </w:p>
        </w:tc>
      </w:tr>
      <w:tr w:rsidR="00271E37" w:rsidRPr="00CB6AC1" w14:paraId="393171F5" w14:textId="77777777" w:rsidTr="00CB6AC1">
        <w:tc>
          <w:tcPr>
            <w:tcW w:w="0" w:type="auto"/>
            <w:tcBorders>
              <w:bottom w:val="single" w:sz="4" w:space="0" w:color="auto"/>
            </w:tcBorders>
          </w:tcPr>
          <w:p w14:paraId="1DEEA843" w14:textId="77777777" w:rsidR="00271E37" w:rsidRPr="00091C79" w:rsidRDefault="00271E37" w:rsidP="00CB6AC1">
            <w:pPr>
              <w:jc w:val="left"/>
              <w:rPr>
                <w:b/>
                <w:bCs/>
              </w:rPr>
            </w:pPr>
            <w:r w:rsidRPr="00091C79">
              <w:rPr>
                <w:b/>
                <w:bCs/>
              </w:rPr>
              <w:t>Total (loss)/earnings</w:t>
            </w:r>
          </w:p>
        </w:tc>
        <w:tc>
          <w:tcPr>
            <w:tcW w:w="1134" w:type="dxa"/>
            <w:tcBorders>
              <w:bottom w:val="single" w:sz="4" w:space="0" w:color="auto"/>
            </w:tcBorders>
          </w:tcPr>
          <w:p w14:paraId="67B9C524" w14:textId="77777777" w:rsidR="00271E37" w:rsidRPr="00CB6AC1" w:rsidRDefault="00271E37" w:rsidP="000923EA">
            <w:pPr>
              <w:rPr>
                <w:b/>
                <w:bCs/>
              </w:rPr>
            </w:pPr>
            <w:r>
              <w:rPr>
                <w:b/>
                <w:bCs/>
              </w:rPr>
              <w:t>pence</w:t>
            </w:r>
          </w:p>
        </w:tc>
        <w:tc>
          <w:tcPr>
            <w:tcW w:w="1134" w:type="dxa"/>
            <w:tcBorders>
              <w:bottom w:val="single" w:sz="4" w:space="0" w:color="auto"/>
            </w:tcBorders>
          </w:tcPr>
          <w:p w14:paraId="5CCCD5C3" w14:textId="77777777" w:rsidR="00271E37" w:rsidRPr="00CB6AC1" w:rsidRDefault="00271E37" w:rsidP="000923EA">
            <w:r>
              <w:t>pence</w:t>
            </w:r>
          </w:p>
        </w:tc>
      </w:tr>
      <w:tr w:rsidR="00271E37" w:rsidRPr="00CB6AC1" w14:paraId="3B8B6844" w14:textId="77777777" w:rsidTr="00CB6AC1">
        <w:tc>
          <w:tcPr>
            <w:tcW w:w="0" w:type="auto"/>
            <w:tcBorders>
              <w:top w:val="single" w:sz="4" w:space="0" w:color="auto"/>
            </w:tcBorders>
          </w:tcPr>
          <w:p w14:paraId="38ED8EDC" w14:textId="77777777" w:rsidR="00271E37" w:rsidRPr="00CB6AC1" w:rsidRDefault="00271E37" w:rsidP="00CB6AC1">
            <w:pPr>
              <w:jc w:val="left"/>
              <w:rPr>
                <w:b/>
                <w:bCs/>
              </w:rPr>
            </w:pPr>
            <w:r>
              <w:rPr>
                <w:b/>
                <w:bCs/>
              </w:rPr>
              <w:t>(Loss)/e</w:t>
            </w:r>
            <w:r w:rsidRPr="00CB6AC1">
              <w:rPr>
                <w:b/>
                <w:bCs/>
              </w:rPr>
              <w:t>arnings per share</w:t>
            </w:r>
          </w:p>
        </w:tc>
        <w:tc>
          <w:tcPr>
            <w:tcW w:w="1134" w:type="dxa"/>
            <w:tcBorders>
              <w:top w:val="single" w:sz="4" w:space="0" w:color="auto"/>
            </w:tcBorders>
          </w:tcPr>
          <w:p w14:paraId="0C8E5302" w14:textId="77777777" w:rsidR="00271E37" w:rsidRPr="00CB6AC1" w:rsidRDefault="00271E37" w:rsidP="000923EA">
            <w:pPr>
              <w:rPr>
                <w:b/>
                <w:bCs/>
              </w:rPr>
            </w:pPr>
          </w:p>
        </w:tc>
        <w:tc>
          <w:tcPr>
            <w:tcW w:w="1134" w:type="dxa"/>
            <w:tcBorders>
              <w:top w:val="single" w:sz="4" w:space="0" w:color="auto"/>
            </w:tcBorders>
          </w:tcPr>
          <w:p w14:paraId="4B133956" w14:textId="77777777" w:rsidR="00271E37" w:rsidRPr="00CB6AC1" w:rsidRDefault="00271E37" w:rsidP="000923EA"/>
        </w:tc>
      </w:tr>
      <w:tr w:rsidR="00271E37" w:rsidRPr="00CB6AC1" w14:paraId="38EA6F3F" w14:textId="77777777">
        <w:tc>
          <w:tcPr>
            <w:tcW w:w="0" w:type="auto"/>
            <w:tcBorders>
              <w:bottom w:val="nil"/>
            </w:tcBorders>
          </w:tcPr>
          <w:p w14:paraId="6E2BD23D" w14:textId="22650FB2" w:rsidR="00271E37" w:rsidRPr="00CB6AC1" w:rsidRDefault="00271E37">
            <w:pPr>
              <w:jc w:val="left"/>
            </w:pPr>
            <w:r w:rsidRPr="00CB6AC1">
              <w:t xml:space="preserve">Basic </w:t>
            </w:r>
            <w:r>
              <w:t>loss</w:t>
            </w:r>
            <w:r w:rsidRPr="00CB6AC1">
              <w:t xml:space="preserve"> per share</w:t>
            </w:r>
          </w:p>
        </w:tc>
        <w:tc>
          <w:tcPr>
            <w:tcW w:w="1134" w:type="dxa"/>
            <w:tcBorders>
              <w:bottom w:val="nil"/>
            </w:tcBorders>
            <w:vAlign w:val="center"/>
          </w:tcPr>
          <w:p w14:paraId="222D70B0" w14:textId="77777777" w:rsidR="00271E37" w:rsidRPr="007E01A7" w:rsidRDefault="00271E37">
            <w:pPr>
              <w:rPr>
                <w:b/>
                <w:bCs/>
              </w:rPr>
            </w:pPr>
            <w:r>
              <w:rPr>
                <w:rFonts w:cs="Arial"/>
                <w:b/>
                <w:bCs/>
                <w:color w:val="000000"/>
                <w:szCs w:val="16"/>
              </w:rPr>
              <w:t>(117.8)</w:t>
            </w:r>
          </w:p>
        </w:tc>
        <w:tc>
          <w:tcPr>
            <w:tcW w:w="1134" w:type="dxa"/>
            <w:tcBorders>
              <w:bottom w:val="nil"/>
            </w:tcBorders>
            <w:vAlign w:val="center"/>
          </w:tcPr>
          <w:p w14:paraId="4448D399" w14:textId="77777777" w:rsidR="00271E37" w:rsidRPr="007E01A7" w:rsidRDefault="00271E37">
            <w:r>
              <w:rPr>
                <w:rFonts w:cs="Arial"/>
                <w:szCs w:val="16"/>
              </w:rPr>
              <w:t>(82.3)</w:t>
            </w:r>
          </w:p>
        </w:tc>
      </w:tr>
      <w:tr w:rsidR="00271E37" w:rsidRPr="00CB6AC1" w14:paraId="568F29ED" w14:textId="77777777">
        <w:tc>
          <w:tcPr>
            <w:tcW w:w="0" w:type="auto"/>
            <w:tcBorders>
              <w:bottom w:val="single" w:sz="4" w:space="0" w:color="auto"/>
            </w:tcBorders>
          </w:tcPr>
          <w:p w14:paraId="14BA957D" w14:textId="77777777" w:rsidR="00271E37" w:rsidRPr="00CB6AC1" w:rsidRDefault="00271E37">
            <w:pPr>
              <w:jc w:val="left"/>
            </w:pPr>
            <w:r w:rsidRPr="00CB6AC1">
              <w:t>Impact of adjusting items (net of tax)</w:t>
            </w:r>
          </w:p>
        </w:tc>
        <w:tc>
          <w:tcPr>
            <w:tcW w:w="1134" w:type="dxa"/>
            <w:tcBorders>
              <w:bottom w:val="single" w:sz="4" w:space="0" w:color="auto"/>
            </w:tcBorders>
            <w:vAlign w:val="center"/>
          </w:tcPr>
          <w:p w14:paraId="55058878" w14:textId="77777777" w:rsidR="00271E37" w:rsidRPr="007E01A7" w:rsidRDefault="00271E37">
            <w:pPr>
              <w:rPr>
                <w:b/>
                <w:bCs/>
              </w:rPr>
            </w:pPr>
            <w:r>
              <w:rPr>
                <w:rFonts w:cs="Arial"/>
                <w:b/>
                <w:bCs/>
                <w:color w:val="000000"/>
                <w:szCs w:val="16"/>
              </w:rPr>
              <w:t xml:space="preserve">117.9 </w:t>
            </w:r>
          </w:p>
        </w:tc>
        <w:tc>
          <w:tcPr>
            <w:tcW w:w="1134" w:type="dxa"/>
            <w:tcBorders>
              <w:bottom w:val="single" w:sz="4" w:space="0" w:color="auto"/>
            </w:tcBorders>
            <w:vAlign w:val="center"/>
          </w:tcPr>
          <w:p w14:paraId="505135F0" w14:textId="77777777" w:rsidR="00271E37" w:rsidRPr="007E01A7" w:rsidRDefault="00271E37">
            <w:r>
              <w:rPr>
                <w:rFonts w:cs="Arial"/>
                <w:color w:val="000000"/>
                <w:szCs w:val="16"/>
              </w:rPr>
              <w:t xml:space="preserve">76.9 </w:t>
            </w:r>
          </w:p>
        </w:tc>
      </w:tr>
      <w:tr w:rsidR="00271E37" w:rsidRPr="00CB6AC1" w14:paraId="0A2F3633" w14:textId="77777777">
        <w:tc>
          <w:tcPr>
            <w:tcW w:w="0" w:type="auto"/>
            <w:tcBorders>
              <w:top w:val="single" w:sz="4" w:space="0" w:color="auto"/>
              <w:bottom w:val="single" w:sz="4" w:space="0" w:color="auto"/>
            </w:tcBorders>
          </w:tcPr>
          <w:p w14:paraId="4D485EF6" w14:textId="77777777" w:rsidR="00271E37" w:rsidRPr="00CB6AC1" w:rsidRDefault="00271E37">
            <w:pPr>
              <w:jc w:val="left"/>
              <w:rPr>
                <w:b/>
                <w:bCs/>
              </w:rPr>
            </w:pPr>
            <w:r w:rsidRPr="00CB6AC1">
              <w:rPr>
                <w:b/>
                <w:bCs/>
              </w:rPr>
              <w:t>Basic adjusted earnings</w:t>
            </w:r>
            <w:r>
              <w:rPr>
                <w:b/>
                <w:bCs/>
              </w:rPr>
              <w:t>/(loss)</w:t>
            </w:r>
            <w:r w:rsidRPr="00CB6AC1">
              <w:rPr>
                <w:b/>
                <w:bCs/>
              </w:rPr>
              <w:t xml:space="preserve"> per share</w:t>
            </w:r>
          </w:p>
        </w:tc>
        <w:tc>
          <w:tcPr>
            <w:tcW w:w="1134" w:type="dxa"/>
            <w:tcBorders>
              <w:top w:val="single" w:sz="4" w:space="0" w:color="auto"/>
              <w:bottom w:val="single" w:sz="4" w:space="0" w:color="auto"/>
            </w:tcBorders>
            <w:vAlign w:val="center"/>
          </w:tcPr>
          <w:p w14:paraId="6C6FD27D" w14:textId="77777777" w:rsidR="00271E37" w:rsidRPr="007E01A7" w:rsidRDefault="00271E37">
            <w:pPr>
              <w:rPr>
                <w:b/>
                <w:bCs/>
              </w:rPr>
            </w:pPr>
            <w:r>
              <w:rPr>
                <w:rFonts w:cs="Arial"/>
                <w:b/>
                <w:bCs/>
                <w:color w:val="000000"/>
                <w:szCs w:val="16"/>
              </w:rPr>
              <w:t>0.1</w:t>
            </w:r>
          </w:p>
        </w:tc>
        <w:tc>
          <w:tcPr>
            <w:tcW w:w="1134" w:type="dxa"/>
            <w:tcBorders>
              <w:top w:val="single" w:sz="4" w:space="0" w:color="auto"/>
              <w:bottom w:val="single" w:sz="4" w:space="0" w:color="auto"/>
            </w:tcBorders>
            <w:vAlign w:val="center"/>
          </w:tcPr>
          <w:p w14:paraId="18EAFE6C" w14:textId="77777777" w:rsidR="00271E37" w:rsidRPr="007E01A7" w:rsidRDefault="00271E37">
            <w:r>
              <w:rPr>
                <w:rFonts w:cs="Arial"/>
                <w:color w:val="000000"/>
                <w:szCs w:val="16"/>
              </w:rPr>
              <w:t>(5.4)</w:t>
            </w:r>
          </w:p>
        </w:tc>
      </w:tr>
      <w:tr w:rsidR="00271E37" w:rsidRPr="00CB6AC1" w14:paraId="150D33B5" w14:textId="77777777">
        <w:tc>
          <w:tcPr>
            <w:tcW w:w="0" w:type="auto"/>
            <w:tcBorders>
              <w:top w:val="single" w:sz="4" w:space="0" w:color="auto"/>
            </w:tcBorders>
          </w:tcPr>
          <w:p w14:paraId="503F0882" w14:textId="77777777" w:rsidR="00271E37" w:rsidRPr="00CB6AC1" w:rsidRDefault="00271E37">
            <w:pPr>
              <w:jc w:val="left"/>
            </w:pPr>
            <w:r w:rsidRPr="00CB6AC1">
              <w:t xml:space="preserve">Diluted </w:t>
            </w:r>
            <w:r>
              <w:t>loss</w:t>
            </w:r>
            <w:r w:rsidRPr="00CB6AC1">
              <w:t xml:space="preserve"> per share</w:t>
            </w:r>
          </w:p>
        </w:tc>
        <w:tc>
          <w:tcPr>
            <w:tcW w:w="1134" w:type="dxa"/>
            <w:tcBorders>
              <w:top w:val="single" w:sz="4" w:space="0" w:color="auto"/>
            </w:tcBorders>
            <w:vAlign w:val="center"/>
          </w:tcPr>
          <w:p w14:paraId="1D365618" w14:textId="1A6B67CB" w:rsidR="00271E37" w:rsidRPr="007E01A7" w:rsidRDefault="00271E37">
            <w:pPr>
              <w:rPr>
                <w:b/>
                <w:bCs/>
              </w:rPr>
            </w:pPr>
            <w:r>
              <w:rPr>
                <w:rFonts w:cs="Arial"/>
                <w:b/>
                <w:bCs/>
                <w:color w:val="000000"/>
                <w:szCs w:val="16"/>
              </w:rPr>
              <w:t>(116.9)</w:t>
            </w:r>
          </w:p>
        </w:tc>
        <w:tc>
          <w:tcPr>
            <w:tcW w:w="1134" w:type="dxa"/>
            <w:tcBorders>
              <w:top w:val="single" w:sz="4" w:space="0" w:color="auto"/>
            </w:tcBorders>
            <w:vAlign w:val="center"/>
          </w:tcPr>
          <w:p w14:paraId="48919BA7" w14:textId="710502CE" w:rsidR="00271E37" w:rsidRPr="007E01A7" w:rsidRDefault="00271E37">
            <w:r>
              <w:rPr>
                <w:rFonts w:cs="Arial"/>
                <w:szCs w:val="16"/>
              </w:rPr>
              <w:t>(81.4)</w:t>
            </w:r>
          </w:p>
        </w:tc>
      </w:tr>
      <w:tr w:rsidR="00271E37" w:rsidRPr="00CB6AC1" w14:paraId="72A4827E" w14:textId="77777777">
        <w:tc>
          <w:tcPr>
            <w:tcW w:w="0" w:type="auto"/>
          </w:tcPr>
          <w:p w14:paraId="368558A8" w14:textId="36E16F20" w:rsidR="00271E37" w:rsidRPr="00CB6AC1" w:rsidRDefault="00271E37">
            <w:pPr>
              <w:jc w:val="left"/>
              <w:rPr>
                <w:b/>
                <w:bCs/>
              </w:rPr>
            </w:pPr>
            <w:r w:rsidRPr="00CB6AC1">
              <w:rPr>
                <w:b/>
                <w:bCs/>
              </w:rPr>
              <w:t xml:space="preserve">Diluted adjusted </w:t>
            </w:r>
            <w:r w:rsidR="0045727A">
              <w:rPr>
                <w:b/>
                <w:bCs/>
              </w:rPr>
              <w:t>earnings/(</w:t>
            </w:r>
            <w:r>
              <w:rPr>
                <w:b/>
                <w:bCs/>
              </w:rPr>
              <w:t>loss</w:t>
            </w:r>
            <w:r w:rsidR="0045727A">
              <w:rPr>
                <w:b/>
                <w:bCs/>
              </w:rPr>
              <w:t>)</w:t>
            </w:r>
            <w:r w:rsidRPr="00CB6AC1">
              <w:rPr>
                <w:b/>
                <w:bCs/>
              </w:rPr>
              <w:t xml:space="preserve"> per share</w:t>
            </w:r>
          </w:p>
        </w:tc>
        <w:tc>
          <w:tcPr>
            <w:tcW w:w="1134" w:type="dxa"/>
            <w:vAlign w:val="center"/>
          </w:tcPr>
          <w:p w14:paraId="34A6FDD3" w14:textId="77777777" w:rsidR="00271E37" w:rsidRPr="007E01A7" w:rsidRDefault="00271E37">
            <w:pPr>
              <w:rPr>
                <w:b/>
                <w:bCs/>
              </w:rPr>
            </w:pPr>
            <w:r>
              <w:rPr>
                <w:rFonts w:cs="Arial"/>
                <w:b/>
                <w:bCs/>
                <w:color w:val="000000"/>
                <w:szCs w:val="16"/>
              </w:rPr>
              <w:t>0.1</w:t>
            </w:r>
          </w:p>
        </w:tc>
        <w:tc>
          <w:tcPr>
            <w:tcW w:w="1134" w:type="dxa"/>
            <w:vAlign w:val="center"/>
          </w:tcPr>
          <w:p w14:paraId="0564447F" w14:textId="77777777" w:rsidR="00271E37" w:rsidRPr="007E01A7" w:rsidRDefault="00271E37">
            <w:r>
              <w:rPr>
                <w:rFonts w:cs="Arial"/>
                <w:color w:val="000000"/>
                <w:szCs w:val="16"/>
              </w:rPr>
              <w:t>(5.4)</w:t>
            </w:r>
          </w:p>
        </w:tc>
      </w:tr>
    </w:tbl>
    <w:p w14:paraId="2C2F0B1E" w14:textId="77777777" w:rsidR="00271E37" w:rsidRDefault="00271E37" w:rsidP="002E39D4"/>
    <w:tbl>
      <w:tblPr>
        <w:tblStyle w:val="tableDUL"/>
        <w:tblW w:w="9639" w:type="dxa"/>
        <w:tblLook w:val="04A0" w:firstRow="1" w:lastRow="0" w:firstColumn="1" w:lastColumn="0" w:noHBand="0" w:noVBand="1"/>
      </w:tblPr>
      <w:tblGrid>
        <w:gridCol w:w="7371"/>
        <w:gridCol w:w="1134"/>
        <w:gridCol w:w="1134"/>
      </w:tblGrid>
      <w:tr w:rsidR="00271E37" w:rsidRPr="00CB6AC1" w14:paraId="4687122E" w14:textId="77777777">
        <w:tc>
          <w:tcPr>
            <w:tcW w:w="0" w:type="auto"/>
            <w:tcBorders>
              <w:bottom w:val="nil"/>
            </w:tcBorders>
          </w:tcPr>
          <w:p w14:paraId="23CA54BE" w14:textId="77777777" w:rsidR="00271E37" w:rsidRPr="00CB6AC1" w:rsidRDefault="00271E37">
            <w:pPr>
              <w:jc w:val="left"/>
            </w:pPr>
          </w:p>
        </w:tc>
        <w:tc>
          <w:tcPr>
            <w:tcW w:w="1134" w:type="dxa"/>
            <w:tcBorders>
              <w:bottom w:val="nil"/>
            </w:tcBorders>
          </w:tcPr>
          <w:p w14:paraId="2421C482" w14:textId="77777777" w:rsidR="00271E37" w:rsidRPr="00CB6AC1" w:rsidRDefault="00271E37">
            <w:pPr>
              <w:rPr>
                <w:b/>
                <w:bCs/>
              </w:rPr>
            </w:pPr>
            <w:r w:rsidRPr="00CB6AC1">
              <w:rPr>
                <w:b/>
                <w:bCs/>
              </w:rPr>
              <w:t>202</w:t>
            </w:r>
            <w:r>
              <w:rPr>
                <w:b/>
                <w:bCs/>
              </w:rPr>
              <w:t>6</w:t>
            </w:r>
          </w:p>
        </w:tc>
        <w:tc>
          <w:tcPr>
            <w:tcW w:w="1134" w:type="dxa"/>
            <w:tcBorders>
              <w:bottom w:val="nil"/>
            </w:tcBorders>
          </w:tcPr>
          <w:p w14:paraId="3E7C6DA4" w14:textId="77777777" w:rsidR="00271E37" w:rsidRPr="00CB6AC1" w:rsidRDefault="00271E37">
            <w:r w:rsidRPr="00CB6AC1">
              <w:t>202</w:t>
            </w:r>
            <w:r>
              <w:t>5</w:t>
            </w:r>
          </w:p>
        </w:tc>
      </w:tr>
      <w:tr w:rsidR="00271E37" w:rsidRPr="00CB6AC1" w14:paraId="23A9ADFD" w14:textId="77777777">
        <w:tc>
          <w:tcPr>
            <w:tcW w:w="0" w:type="auto"/>
            <w:tcBorders>
              <w:bottom w:val="single" w:sz="4" w:space="0" w:color="auto"/>
            </w:tcBorders>
          </w:tcPr>
          <w:p w14:paraId="46D1543D" w14:textId="1F4DFAC7" w:rsidR="00271E37" w:rsidRPr="007964FF" w:rsidRDefault="00271E37">
            <w:pPr>
              <w:jc w:val="left"/>
              <w:rPr>
                <w:b/>
                <w:bCs/>
              </w:rPr>
            </w:pPr>
            <w:r>
              <w:rPr>
                <w:b/>
                <w:bCs/>
              </w:rPr>
              <w:t xml:space="preserve">Earnings attributable to </w:t>
            </w:r>
            <w:r w:rsidR="00632983">
              <w:rPr>
                <w:b/>
                <w:bCs/>
              </w:rPr>
              <w:t>c</w:t>
            </w:r>
            <w:r>
              <w:rPr>
                <w:b/>
                <w:bCs/>
              </w:rPr>
              <w:t xml:space="preserve">ontinuing </w:t>
            </w:r>
            <w:r w:rsidR="00632983">
              <w:rPr>
                <w:b/>
                <w:bCs/>
              </w:rPr>
              <w:t>o</w:t>
            </w:r>
            <w:r>
              <w:rPr>
                <w:b/>
                <w:bCs/>
              </w:rPr>
              <w:t>perations</w:t>
            </w:r>
          </w:p>
        </w:tc>
        <w:tc>
          <w:tcPr>
            <w:tcW w:w="1134" w:type="dxa"/>
            <w:tcBorders>
              <w:bottom w:val="single" w:sz="4" w:space="0" w:color="auto"/>
            </w:tcBorders>
          </w:tcPr>
          <w:p w14:paraId="679986B8" w14:textId="77777777" w:rsidR="00271E37" w:rsidRPr="00CB6AC1" w:rsidRDefault="00271E37">
            <w:pPr>
              <w:rPr>
                <w:b/>
                <w:bCs/>
              </w:rPr>
            </w:pPr>
            <w:r>
              <w:rPr>
                <w:b/>
                <w:bCs/>
              </w:rPr>
              <w:t>pence</w:t>
            </w:r>
          </w:p>
        </w:tc>
        <w:tc>
          <w:tcPr>
            <w:tcW w:w="1134" w:type="dxa"/>
            <w:tcBorders>
              <w:bottom w:val="single" w:sz="4" w:space="0" w:color="auto"/>
            </w:tcBorders>
          </w:tcPr>
          <w:p w14:paraId="07D22387" w14:textId="77777777" w:rsidR="00271E37" w:rsidRPr="00CB6AC1" w:rsidRDefault="00271E37">
            <w:r>
              <w:t>pence</w:t>
            </w:r>
          </w:p>
        </w:tc>
      </w:tr>
      <w:tr w:rsidR="00271E37" w:rsidRPr="00CB6AC1" w14:paraId="578C03FA" w14:textId="77777777">
        <w:tc>
          <w:tcPr>
            <w:tcW w:w="0" w:type="auto"/>
            <w:tcBorders>
              <w:top w:val="single" w:sz="4" w:space="0" w:color="auto"/>
            </w:tcBorders>
          </w:tcPr>
          <w:p w14:paraId="3F848260" w14:textId="77777777" w:rsidR="00271E37" w:rsidRPr="00CB6AC1" w:rsidRDefault="00271E37">
            <w:pPr>
              <w:jc w:val="left"/>
              <w:rPr>
                <w:b/>
                <w:bCs/>
              </w:rPr>
            </w:pPr>
            <w:r>
              <w:rPr>
                <w:b/>
                <w:bCs/>
              </w:rPr>
              <w:lastRenderedPageBreak/>
              <w:t>E</w:t>
            </w:r>
            <w:r w:rsidRPr="00CB6AC1">
              <w:rPr>
                <w:b/>
                <w:bCs/>
              </w:rPr>
              <w:t>arnings per share</w:t>
            </w:r>
          </w:p>
        </w:tc>
        <w:tc>
          <w:tcPr>
            <w:tcW w:w="1134" w:type="dxa"/>
            <w:tcBorders>
              <w:top w:val="single" w:sz="4" w:space="0" w:color="auto"/>
            </w:tcBorders>
          </w:tcPr>
          <w:p w14:paraId="598A70F1" w14:textId="77777777" w:rsidR="00271E37" w:rsidRPr="00CB6AC1" w:rsidRDefault="00271E37">
            <w:pPr>
              <w:rPr>
                <w:b/>
                <w:bCs/>
              </w:rPr>
            </w:pPr>
          </w:p>
        </w:tc>
        <w:tc>
          <w:tcPr>
            <w:tcW w:w="1134" w:type="dxa"/>
            <w:tcBorders>
              <w:top w:val="single" w:sz="4" w:space="0" w:color="auto"/>
            </w:tcBorders>
          </w:tcPr>
          <w:p w14:paraId="2F1BC61D" w14:textId="77777777" w:rsidR="00271E37" w:rsidRPr="00CB6AC1" w:rsidRDefault="00271E37"/>
        </w:tc>
      </w:tr>
      <w:tr w:rsidR="00271E37" w:rsidRPr="00CB6AC1" w14:paraId="66A28439" w14:textId="77777777">
        <w:tc>
          <w:tcPr>
            <w:tcW w:w="0" w:type="auto"/>
            <w:tcBorders>
              <w:bottom w:val="nil"/>
            </w:tcBorders>
          </w:tcPr>
          <w:p w14:paraId="31816590" w14:textId="77777777" w:rsidR="00271E37" w:rsidRPr="00CB6AC1" w:rsidRDefault="00271E37">
            <w:pPr>
              <w:jc w:val="left"/>
            </w:pPr>
            <w:r w:rsidRPr="00CB6AC1">
              <w:t>Basic earnings per share</w:t>
            </w:r>
          </w:p>
        </w:tc>
        <w:tc>
          <w:tcPr>
            <w:tcW w:w="1134" w:type="dxa"/>
            <w:tcBorders>
              <w:bottom w:val="nil"/>
            </w:tcBorders>
            <w:vAlign w:val="center"/>
          </w:tcPr>
          <w:p w14:paraId="4C2213B0" w14:textId="77777777" w:rsidR="00271E37" w:rsidRPr="007E01A7" w:rsidRDefault="00271E37">
            <w:pPr>
              <w:rPr>
                <w:b/>
                <w:bCs/>
              </w:rPr>
            </w:pPr>
            <w:r>
              <w:rPr>
                <w:rFonts w:cs="Arial"/>
                <w:b/>
                <w:bCs/>
                <w:color w:val="000000"/>
                <w:szCs w:val="16"/>
              </w:rPr>
              <w:t xml:space="preserve">5.6 </w:t>
            </w:r>
          </w:p>
        </w:tc>
        <w:tc>
          <w:tcPr>
            <w:tcW w:w="1134" w:type="dxa"/>
            <w:tcBorders>
              <w:bottom w:val="nil"/>
            </w:tcBorders>
            <w:vAlign w:val="center"/>
          </w:tcPr>
          <w:p w14:paraId="525A20A0" w14:textId="77777777" w:rsidR="00271E37" w:rsidRPr="007E01A7" w:rsidRDefault="00271E37">
            <w:r>
              <w:rPr>
                <w:rFonts w:cs="Arial"/>
                <w:color w:val="000000"/>
                <w:szCs w:val="16"/>
              </w:rPr>
              <w:t xml:space="preserve">4.4 </w:t>
            </w:r>
          </w:p>
        </w:tc>
      </w:tr>
      <w:tr w:rsidR="00271E37" w:rsidRPr="00CB6AC1" w14:paraId="0853EB6D" w14:textId="77777777">
        <w:tc>
          <w:tcPr>
            <w:tcW w:w="0" w:type="auto"/>
            <w:tcBorders>
              <w:bottom w:val="single" w:sz="4" w:space="0" w:color="auto"/>
            </w:tcBorders>
          </w:tcPr>
          <w:p w14:paraId="03B76058" w14:textId="77777777" w:rsidR="00271E37" w:rsidRPr="00CB6AC1" w:rsidRDefault="00271E37">
            <w:pPr>
              <w:jc w:val="left"/>
            </w:pPr>
            <w:r w:rsidRPr="00CB6AC1">
              <w:t>Impact of adjusting items (net of tax)</w:t>
            </w:r>
          </w:p>
        </w:tc>
        <w:tc>
          <w:tcPr>
            <w:tcW w:w="1134" w:type="dxa"/>
            <w:tcBorders>
              <w:bottom w:val="single" w:sz="4" w:space="0" w:color="auto"/>
            </w:tcBorders>
            <w:vAlign w:val="center"/>
          </w:tcPr>
          <w:p w14:paraId="2CF7B715" w14:textId="77777777" w:rsidR="00271E37" w:rsidRPr="007E01A7" w:rsidRDefault="00271E37">
            <w:pPr>
              <w:rPr>
                <w:b/>
                <w:bCs/>
              </w:rPr>
            </w:pPr>
            <w:r>
              <w:rPr>
                <w:b/>
              </w:rPr>
              <w:t>1.</w:t>
            </w:r>
            <w:r>
              <w:rPr>
                <w:b/>
                <w:bCs/>
              </w:rPr>
              <w:t>7</w:t>
            </w:r>
          </w:p>
        </w:tc>
        <w:tc>
          <w:tcPr>
            <w:tcW w:w="1134" w:type="dxa"/>
            <w:tcBorders>
              <w:bottom w:val="single" w:sz="4" w:space="0" w:color="auto"/>
            </w:tcBorders>
            <w:vAlign w:val="center"/>
          </w:tcPr>
          <w:p w14:paraId="3637736D" w14:textId="77777777" w:rsidR="00271E37" w:rsidRPr="007E01A7" w:rsidRDefault="00271E37">
            <w:r>
              <w:rPr>
                <w:rFonts w:cs="Arial"/>
                <w:color w:val="000000"/>
                <w:szCs w:val="16"/>
              </w:rPr>
              <w:t xml:space="preserve">5.7 </w:t>
            </w:r>
          </w:p>
        </w:tc>
      </w:tr>
      <w:tr w:rsidR="00271E37" w:rsidRPr="00CB6AC1" w14:paraId="6CABE4E4" w14:textId="77777777">
        <w:tc>
          <w:tcPr>
            <w:tcW w:w="0" w:type="auto"/>
            <w:tcBorders>
              <w:top w:val="single" w:sz="4" w:space="0" w:color="auto"/>
              <w:bottom w:val="single" w:sz="4" w:space="0" w:color="auto"/>
            </w:tcBorders>
          </w:tcPr>
          <w:p w14:paraId="167B6B60" w14:textId="77777777" w:rsidR="00271E37" w:rsidRPr="00CB6AC1" w:rsidRDefault="00271E37">
            <w:pPr>
              <w:jc w:val="left"/>
              <w:rPr>
                <w:b/>
                <w:bCs/>
              </w:rPr>
            </w:pPr>
            <w:r w:rsidRPr="00CB6AC1">
              <w:rPr>
                <w:b/>
                <w:bCs/>
              </w:rPr>
              <w:t>Basic adjusted earnings per share</w:t>
            </w:r>
          </w:p>
        </w:tc>
        <w:tc>
          <w:tcPr>
            <w:tcW w:w="1134" w:type="dxa"/>
            <w:tcBorders>
              <w:top w:val="single" w:sz="4" w:space="0" w:color="auto"/>
              <w:bottom w:val="single" w:sz="4" w:space="0" w:color="auto"/>
            </w:tcBorders>
            <w:vAlign w:val="center"/>
          </w:tcPr>
          <w:p w14:paraId="17D2ECE3" w14:textId="77777777" w:rsidR="00271E37" w:rsidRPr="007E01A7" w:rsidRDefault="00271E37">
            <w:pPr>
              <w:rPr>
                <w:b/>
                <w:bCs/>
              </w:rPr>
            </w:pPr>
            <w:r>
              <w:rPr>
                <w:rFonts w:cs="Arial"/>
                <w:b/>
                <w:bCs/>
                <w:color w:val="000000"/>
                <w:szCs w:val="16"/>
              </w:rPr>
              <w:t xml:space="preserve">7.3 </w:t>
            </w:r>
          </w:p>
        </w:tc>
        <w:tc>
          <w:tcPr>
            <w:tcW w:w="1134" w:type="dxa"/>
            <w:tcBorders>
              <w:top w:val="single" w:sz="4" w:space="0" w:color="auto"/>
              <w:bottom w:val="single" w:sz="4" w:space="0" w:color="auto"/>
            </w:tcBorders>
            <w:vAlign w:val="center"/>
          </w:tcPr>
          <w:p w14:paraId="11D67DFC" w14:textId="77777777" w:rsidR="00271E37" w:rsidRPr="007E01A7" w:rsidRDefault="00271E37">
            <w:r>
              <w:rPr>
                <w:rFonts w:cs="Arial"/>
                <w:color w:val="000000"/>
                <w:szCs w:val="16"/>
              </w:rPr>
              <w:t xml:space="preserve">10.1 </w:t>
            </w:r>
          </w:p>
        </w:tc>
      </w:tr>
      <w:tr w:rsidR="00271E37" w:rsidRPr="00CB6AC1" w14:paraId="30A5B679" w14:textId="77777777">
        <w:tc>
          <w:tcPr>
            <w:tcW w:w="0" w:type="auto"/>
            <w:tcBorders>
              <w:top w:val="single" w:sz="4" w:space="0" w:color="auto"/>
            </w:tcBorders>
          </w:tcPr>
          <w:p w14:paraId="1978EF73" w14:textId="77777777" w:rsidR="00271E37" w:rsidRPr="00CB6AC1" w:rsidRDefault="00271E37">
            <w:pPr>
              <w:jc w:val="left"/>
            </w:pPr>
            <w:r w:rsidRPr="00CB6AC1">
              <w:t>Diluted earnings per share</w:t>
            </w:r>
          </w:p>
        </w:tc>
        <w:tc>
          <w:tcPr>
            <w:tcW w:w="1134" w:type="dxa"/>
            <w:tcBorders>
              <w:top w:val="single" w:sz="4" w:space="0" w:color="auto"/>
            </w:tcBorders>
            <w:vAlign w:val="center"/>
          </w:tcPr>
          <w:p w14:paraId="4F86C28D" w14:textId="77777777" w:rsidR="00271E37" w:rsidRPr="007E01A7" w:rsidRDefault="00271E37">
            <w:pPr>
              <w:rPr>
                <w:b/>
                <w:bCs/>
              </w:rPr>
            </w:pPr>
            <w:r>
              <w:rPr>
                <w:rFonts w:cs="Arial"/>
                <w:b/>
                <w:bCs/>
                <w:color w:val="000000"/>
                <w:szCs w:val="16"/>
              </w:rPr>
              <w:t xml:space="preserve">5.5 </w:t>
            </w:r>
          </w:p>
        </w:tc>
        <w:tc>
          <w:tcPr>
            <w:tcW w:w="1134" w:type="dxa"/>
            <w:tcBorders>
              <w:top w:val="single" w:sz="4" w:space="0" w:color="auto"/>
            </w:tcBorders>
            <w:vAlign w:val="center"/>
          </w:tcPr>
          <w:p w14:paraId="7FE288C4" w14:textId="77777777" w:rsidR="00271E37" w:rsidRPr="007E01A7" w:rsidRDefault="00271E37">
            <w:r>
              <w:rPr>
                <w:rFonts w:cs="Arial"/>
                <w:color w:val="000000"/>
                <w:szCs w:val="16"/>
              </w:rPr>
              <w:t xml:space="preserve">4.3 </w:t>
            </w:r>
          </w:p>
        </w:tc>
      </w:tr>
      <w:tr w:rsidR="00271E37" w:rsidRPr="00CB6AC1" w14:paraId="1535216B" w14:textId="77777777">
        <w:tc>
          <w:tcPr>
            <w:tcW w:w="0" w:type="auto"/>
          </w:tcPr>
          <w:p w14:paraId="60560FC1" w14:textId="77777777" w:rsidR="00271E37" w:rsidRPr="00CB6AC1" w:rsidRDefault="00271E37">
            <w:pPr>
              <w:jc w:val="left"/>
              <w:rPr>
                <w:b/>
                <w:bCs/>
              </w:rPr>
            </w:pPr>
            <w:r w:rsidRPr="00CB6AC1">
              <w:rPr>
                <w:b/>
                <w:bCs/>
              </w:rPr>
              <w:t>Diluted adjusted earnings per share</w:t>
            </w:r>
          </w:p>
        </w:tc>
        <w:tc>
          <w:tcPr>
            <w:tcW w:w="1134" w:type="dxa"/>
            <w:vAlign w:val="center"/>
          </w:tcPr>
          <w:p w14:paraId="60A74A1C" w14:textId="77777777" w:rsidR="00271E37" w:rsidRPr="007E01A7" w:rsidRDefault="00271E37">
            <w:pPr>
              <w:rPr>
                <w:b/>
                <w:bCs/>
              </w:rPr>
            </w:pPr>
            <w:r>
              <w:rPr>
                <w:rFonts w:cs="Arial"/>
                <w:b/>
                <w:bCs/>
                <w:color w:val="000000"/>
                <w:szCs w:val="16"/>
              </w:rPr>
              <w:t xml:space="preserve">7.2 </w:t>
            </w:r>
          </w:p>
        </w:tc>
        <w:tc>
          <w:tcPr>
            <w:tcW w:w="1134" w:type="dxa"/>
            <w:vAlign w:val="center"/>
          </w:tcPr>
          <w:p w14:paraId="0CD2FCB3" w14:textId="77777777" w:rsidR="00271E37" w:rsidRPr="007E01A7" w:rsidRDefault="00271E37">
            <w:r>
              <w:rPr>
                <w:rFonts w:cs="Arial"/>
                <w:color w:val="000000"/>
                <w:szCs w:val="16"/>
              </w:rPr>
              <w:t xml:space="preserve">10.0 </w:t>
            </w:r>
          </w:p>
        </w:tc>
      </w:tr>
    </w:tbl>
    <w:p w14:paraId="324FB6CD" w14:textId="77777777" w:rsidR="00271E37" w:rsidRDefault="00271E37" w:rsidP="002E39D4"/>
    <w:p w14:paraId="1350B879" w14:textId="77777777" w:rsidR="00271E37" w:rsidRDefault="00271E37" w:rsidP="002E39D4">
      <w:r>
        <w:t>Adjusted (loss)/earnings per share are provided to reflect the underlying earnings performance of the Group.</w:t>
      </w:r>
    </w:p>
    <w:p w14:paraId="1AC1BB72" w14:textId="77777777" w:rsidR="00271E37" w:rsidRDefault="00271E37" w:rsidP="002E39D4">
      <w:pPr>
        <w:rPr>
          <w:b/>
          <w:bCs/>
          <w:i/>
          <w:iCs/>
        </w:rPr>
      </w:pPr>
    </w:p>
    <w:p w14:paraId="1540D4D1" w14:textId="77777777" w:rsidR="00271E37" w:rsidRPr="00CB6AC1" w:rsidRDefault="00271E37" w:rsidP="002E39D4">
      <w:pPr>
        <w:rPr>
          <w:b/>
          <w:bCs/>
          <w:i/>
          <w:iCs/>
        </w:rPr>
      </w:pPr>
      <w:r w:rsidRPr="00CB6AC1">
        <w:rPr>
          <w:b/>
          <w:bCs/>
          <w:i/>
          <w:iCs/>
        </w:rPr>
        <w:t xml:space="preserve">Basic </w:t>
      </w:r>
      <w:r>
        <w:rPr>
          <w:b/>
          <w:bCs/>
          <w:i/>
          <w:iCs/>
        </w:rPr>
        <w:t>(loss)/</w:t>
      </w:r>
      <w:r w:rsidRPr="00CB6AC1">
        <w:rPr>
          <w:b/>
          <w:bCs/>
          <w:i/>
          <w:iCs/>
        </w:rPr>
        <w:t>earnings per share</w:t>
      </w:r>
    </w:p>
    <w:p w14:paraId="73310594" w14:textId="77777777" w:rsidR="00271E37" w:rsidRDefault="00271E37" w:rsidP="002E39D4">
      <w:r w:rsidRPr="00D50533">
        <w:rPr>
          <w:rFonts w:eastAsiaTheme="majorEastAsia" w:cstheme="majorBidi"/>
          <w:bCs/>
          <w:kern w:val="2"/>
          <w:szCs w:val="16"/>
          <w:lang w:eastAsia="en-US"/>
          <w14:ligatures w14:val="standardContextual"/>
        </w:rPr>
        <w:t>Basic EPS is calculated by dividing the profit/loss for the year attributable to ordinary shareholders by the weighted average number of</w:t>
      </w:r>
      <w:r>
        <w:t xml:space="preserve"> shares outstanding during the period, excluding own shares held by the Employee Benefit Trust.</w:t>
      </w:r>
    </w:p>
    <w:p w14:paraId="3AAFECB0" w14:textId="77777777" w:rsidR="00271E37" w:rsidRDefault="00271E37" w:rsidP="002E39D4"/>
    <w:p w14:paraId="0A17E166" w14:textId="77777777" w:rsidR="00271E37" w:rsidRPr="00CB6AC1" w:rsidRDefault="00271E37" w:rsidP="002E39D4">
      <w:pPr>
        <w:rPr>
          <w:b/>
          <w:bCs/>
          <w:i/>
          <w:iCs/>
        </w:rPr>
      </w:pPr>
      <w:r w:rsidRPr="00CB6AC1">
        <w:rPr>
          <w:b/>
          <w:bCs/>
          <w:i/>
          <w:iCs/>
        </w:rPr>
        <w:t xml:space="preserve">Diluted </w:t>
      </w:r>
      <w:r>
        <w:rPr>
          <w:b/>
          <w:bCs/>
          <w:i/>
          <w:iCs/>
        </w:rPr>
        <w:t>(loss)/</w:t>
      </w:r>
      <w:r w:rsidRPr="00CB6AC1">
        <w:rPr>
          <w:b/>
          <w:bCs/>
          <w:i/>
          <w:iCs/>
        </w:rPr>
        <w:t>earnings per share</w:t>
      </w:r>
    </w:p>
    <w:p w14:paraId="512EC824" w14:textId="77777777" w:rsidR="00271E37" w:rsidRDefault="00271E37" w:rsidP="002E39D4">
      <w:r>
        <w:t>Diluted EPS is calculated by dividing the profit/loss for the year attributable to ordinary shareholders by the weighted average number of shares outstanding during the period, plus the weighted average number of ordinary shares that would be issued on the conversion of the potentially dilutive shares.</w:t>
      </w:r>
    </w:p>
    <w:p w14:paraId="64E51F50" w14:textId="77777777" w:rsidR="004B78EE" w:rsidRDefault="004B78EE" w:rsidP="002E39D4"/>
    <w:p w14:paraId="78D1AF5A" w14:textId="77777777" w:rsidR="004B78EE" w:rsidRPr="004B78EE" w:rsidRDefault="004B78EE" w:rsidP="004B78EE">
      <w:r w:rsidRPr="004B78EE">
        <w:t>Options are dilutive at the level of profit from continuing operations and so, in accordance with IAS 33, have been treated as dilutive for the purpose of diluted EPS. The diluted loss per share is lower than basic loss per share because of the effect of losses on discontinued operations.</w:t>
      </w:r>
    </w:p>
    <w:p w14:paraId="2BC8C15C" w14:textId="77777777" w:rsidR="004B78EE" w:rsidRDefault="004B78EE" w:rsidP="002E39D4"/>
    <w:p w14:paraId="26984956" w14:textId="77777777" w:rsidR="00271E37" w:rsidRPr="00CB6AC1" w:rsidRDefault="00271E37">
      <w:pPr>
        <w:pStyle w:val="Heading2"/>
      </w:pPr>
      <w:r w:rsidRPr="00CB6AC1">
        <w:t>22 Dividends paid and proposed</w:t>
      </w:r>
    </w:p>
    <w:p w14:paraId="3B4232CC" w14:textId="643E6CEC" w:rsidR="00271E37" w:rsidRDefault="00271E37" w:rsidP="002E39D4">
      <w:r>
        <w:t xml:space="preserve">No dividends were paid in the current year (2025: nil). The Directors are </w:t>
      </w:r>
      <w:r w:rsidRPr="0064410C">
        <w:t>recommending</w:t>
      </w:r>
      <w:r w:rsidR="0039025A">
        <w:t xml:space="preserve"> a</w:t>
      </w:r>
      <w:r w:rsidRPr="0064410C">
        <w:t xml:space="preserve"> </w:t>
      </w:r>
      <w:r w:rsidR="001D76A8" w:rsidRPr="00B931EC">
        <w:t>1.0</w:t>
      </w:r>
      <w:r w:rsidR="0064410C" w:rsidRPr="00B931EC">
        <w:t xml:space="preserve"> </w:t>
      </w:r>
      <w:r w:rsidRPr="00B931EC">
        <w:t>p</w:t>
      </w:r>
      <w:r w:rsidR="0064410C" w:rsidRPr="0064410C">
        <w:t>ence</w:t>
      </w:r>
      <w:r w:rsidRPr="0064410C">
        <w:t xml:space="preserve"> final dividend in respect of the year ended 31 March 2026, payable </w:t>
      </w:r>
      <w:r w:rsidR="0064410C" w:rsidRPr="0064410C">
        <w:t>on 9 October</w:t>
      </w:r>
      <w:r w:rsidRPr="00B931EC">
        <w:t xml:space="preserve"> 202</w:t>
      </w:r>
      <w:r w:rsidR="00C63151" w:rsidRPr="00B931EC">
        <w:t>6</w:t>
      </w:r>
      <w:r w:rsidRPr="00B931EC">
        <w:t>.</w:t>
      </w:r>
    </w:p>
    <w:p w14:paraId="75A38BAE" w14:textId="77777777" w:rsidR="00271E37" w:rsidRDefault="00271E37" w:rsidP="002E39D4"/>
    <w:p w14:paraId="1E328EAB" w14:textId="77777777" w:rsidR="00271E37" w:rsidRPr="00CB6AC1" w:rsidRDefault="00271E37">
      <w:pPr>
        <w:pStyle w:val="Heading2"/>
      </w:pPr>
      <w:r w:rsidRPr="00CB6AC1">
        <w:t>23 Employee benefits</w:t>
      </w:r>
    </w:p>
    <w:p w14:paraId="149804B9" w14:textId="77777777" w:rsidR="00271E37" w:rsidRPr="00CB6AC1" w:rsidRDefault="00271E37" w:rsidP="002876C8">
      <w:pPr>
        <w:pStyle w:val="Heading3"/>
        <w:rPr>
          <w:bCs/>
          <w:i/>
          <w:iCs/>
        </w:rPr>
      </w:pPr>
      <w:r w:rsidRPr="002876C8">
        <w:rPr>
          <w:sz w:val="16"/>
          <w:szCs w:val="16"/>
        </w:rPr>
        <w:t>Post-employment benefits</w:t>
      </w:r>
    </w:p>
    <w:p w14:paraId="5E49A76C" w14:textId="725C601B" w:rsidR="00271E37" w:rsidRDefault="006F1760" w:rsidP="002E39D4">
      <w:r w:rsidRPr="006F1760">
        <w:t xml:space="preserve">In the prior year, the Group operated a defined benefit pension scheme with plan assets of </w:t>
      </w:r>
      <w:r w:rsidR="00344D0C">
        <w:t>£2.6</w:t>
      </w:r>
      <w:r w:rsidRPr="006F1760">
        <w:t xml:space="preserve"> million and a defined benefit obligation of </w:t>
      </w:r>
      <w:r w:rsidR="00F7293E">
        <w:t>£</w:t>
      </w:r>
      <w:r w:rsidRPr="006F1760">
        <w:t>0.</w:t>
      </w:r>
      <w:r w:rsidR="00F7293E">
        <w:t>7</w:t>
      </w:r>
      <w:r w:rsidRPr="006F1760">
        <w:t xml:space="preserve"> million, resulting in a surplus of </w:t>
      </w:r>
      <w:r w:rsidR="00F7293E">
        <w:t>£1.9</w:t>
      </w:r>
      <w:r w:rsidRPr="006F1760">
        <w:t xml:space="preserve"> million. In accordance with IAS 19, the surplus on the plan was not recognised on the basis it was not expected to be recovered, as the Group did not have an unconditional right to any refund. During the current year, the scheme was disposed of as part of the sale of the US business and the Group has no further obligations in respect of it.</w:t>
      </w:r>
    </w:p>
    <w:p w14:paraId="4AA8BCFD" w14:textId="77777777" w:rsidR="00271E37" w:rsidRPr="001E6539" w:rsidRDefault="00271E37" w:rsidP="002876C8">
      <w:pPr>
        <w:pStyle w:val="Heading3"/>
        <w:rPr>
          <w:bCs/>
          <w:i/>
          <w:iCs/>
        </w:rPr>
      </w:pPr>
      <w:r w:rsidRPr="002876C8">
        <w:rPr>
          <w:sz w:val="16"/>
          <w:szCs w:val="16"/>
        </w:rPr>
        <w:t>Long Term Incentive Plans</w:t>
      </w:r>
    </w:p>
    <w:p w14:paraId="46671F2F" w14:textId="77777777" w:rsidR="00271E37" w:rsidRDefault="00271E37" w:rsidP="002E39D4">
      <w:r>
        <w:t>The Group operates a Long Term Incentive Plan (LTIP). Under the LTIP, nil cost options and conditional awards over ordinary shares of 5 pence each (‘ordinary shares’) in the capital of the Company are awarded to Executive Board Directors of the Company and other selected senior management team members within the Group. During the year, awards were granted under the 2025-2028 LTIP scheme.</w:t>
      </w:r>
    </w:p>
    <w:p w14:paraId="7D242FC7" w14:textId="77777777" w:rsidR="00271E37" w:rsidRDefault="00271E37" w:rsidP="002E39D4"/>
    <w:p w14:paraId="7049E019" w14:textId="77777777" w:rsidR="00271E37" w:rsidRDefault="00271E37" w:rsidP="002E39D4">
      <w:r>
        <w:t>The performance period for each award under the LTIP is three years. The cost to employees of ordinary shares issued under the LTIP if the LTIP vests is nil. In principle, the number of ordinary shares to be granted to each employee under the LTIP will not be more than 265% (and 325% in exceptional cases) of the relevant employee’s base annual salary. The maximum opportunity available under the 2022-2025, 2023-2026, 2024-2027 and 2025-2028 schemes is up to 125% of base salary for the CEO and CFO.</w:t>
      </w:r>
    </w:p>
    <w:p w14:paraId="5D271432" w14:textId="77777777" w:rsidR="00271E37" w:rsidRDefault="00271E37" w:rsidP="002E39D4"/>
    <w:p w14:paraId="3F3E9868" w14:textId="1320BB6D" w:rsidR="00271E37" w:rsidRDefault="00271E37">
      <w:r>
        <w:t>As at 31 March 2026, the 2.9 million</w:t>
      </w:r>
      <w:r w:rsidDel="002E2DE5">
        <w:t xml:space="preserve"> </w:t>
      </w:r>
      <w:r>
        <w:t>ordinary shares held in the Employee Benefit Trust</w:t>
      </w:r>
      <w:r w:rsidDel="00BC0E8D">
        <w:t xml:space="preserve"> </w:t>
      </w:r>
      <w:r>
        <w:t>are intended to be used to satisfy the exercise of share options by employees.</w:t>
      </w:r>
    </w:p>
    <w:p w14:paraId="400CF843" w14:textId="77777777" w:rsidR="00EA3DAD" w:rsidRDefault="00EA3DAD"/>
    <w:p w14:paraId="5F69AA3E" w14:textId="77777777" w:rsidR="00271E37" w:rsidRDefault="00271E37"/>
    <w:p w14:paraId="73B4EBE8" w14:textId="77777777" w:rsidR="00271E37" w:rsidRPr="001E6539" w:rsidRDefault="00271E37" w:rsidP="002E39D4">
      <w:pPr>
        <w:rPr>
          <w:b/>
          <w:bCs/>
          <w:i/>
          <w:iCs/>
        </w:rPr>
      </w:pPr>
      <w:r w:rsidRPr="001E6539">
        <w:rPr>
          <w:b/>
          <w:bCs/>
          <w:i/>
          <w:iCs/>
        </w:rPr>
        <w:t>Vested LTIP schemes – outstanding options</w:t>
      </w:r>
    </w:p>
    <w:tbl>
      <w:tblPr>
        <w:tblStyle w:val="tableDUL"/>
        <w:tblW w:w="9639" w:type="dxa"/>
        <w:tblLook w:val="04A0" w:firstRow="1" w:lastRow="0" w:firstColumn="1" w:lastColumn="0" w:noHBand="0" w:noVBand="1"/>
      </w:tblPr>
      <w:tblGrid>
        <w:gridCol w:w="4867"/>
        <w:gridCol w:w="1134"/>
        <w:gridCol w:w="1134"/>
        <w:gridCol w:w="1134"/>
        <w:gridCol w:w="1370"/>
      </w:tblGrid>
      <w:tr w:rsidR="00271E37" w:rsidRPr="00E40A72" w14:paraId="5545F309" w14:textId="77777777">
        <w:trPr>
          <w:trHeight w:hRule="exact" w:val="20"/>
        </w:trPr>
        <w:tc>
          <w:tcPr>
            <w:tcW w:w="4867" w:type="dxa"/>
            <w:tcBorders>
              <w:top w:val="nil"/>
              <w:left w:val="nil"/>
              <w:bottom w:val="nil"/>
              <w:right w:val="nil"/>
            </w:tcBorders>
          </w:tcPr>
          <w:p w14:paraId="7ECB05E2" w14:textId="77777777" w:rsidR="00271E37" w:rsidRDefault="00271E37">
            <w:pPr>
              <w:rPr>
                <w:sz w:val="2"/>
              </w:rPr>
            </w:pPr>
            <w:bookmarkStart w:id="49" w:name="_8e756803_48a1_4335_8d63_553c1cda6c85"/>
            <w:bookmarkStart w:id="50" w:name="_4272d09d_a2fb_47cf_afa8_0bbba2f52dc9"/>
            <w:bookmarkEnd w:id="49"/>
          </w:p>
        </w:tc>
        <w:tc>
          <w:tcPr>
            <w:tcW w:w="1134" w:type="dxa"/>
            <w:tcBorders>
              <w:top w:val="nil"/>
              <w:left w:val="nil"/>
              <w:bottom w:val="nil"/>
              <w:right w:val="nil"/>
            </w:tcBorders>
          </w:tcPr>
          <w:p w14:paraId="4DADB0CD" w14:textId="77777777" w:rsidR="00271E37" w:rsidRDefault="00271E37">
            <w:pPr>
              <w:rPr>
                <w:sz w:val="2"/>
              </w:rPr>
            </w:pPr>
          </w:p>
        </w:tc>
        <w:tc>
          <w:tcPr>
            <w:tcW w:w="1134" w:type="dxa"/>
            <w:tcBorders>
              <w:top w:val="nil"/>
              <w:left w:val="nil"/>
              <w:bottom w:val="nil"/>
              <w:right w:val="nil"/>
            </w:tcBorders>
          </w:tcPr>
          <w:p w14:paraId="1B649280" w14:textId="77777777" w:rsidR="00271E37" w:rsidRDefault="00271E37">
            <w:pPr>
              <w:rPr>
                <w:sz w:val="2"/>
              </w:rPr>
            </w:pPr>
          </w:p>
        </w:tc>
        <w:tc>
          <w:tcPr>
            <w:tcW w:w="1134" w:type="dxa"/>
            <w:tcBorders>
              <w:top w:val="nil"/>
              <w:left w:val="nil"/>
              <w:bottom w:val="nil"/>
              <w:right w:val="nil"/>
            </w:tcBorders>
          </w:tcPr>
          <w:p w14:paraId="7C54ECCC" w14:textId="77777777" w:rsidR="00271E37" w:rsidRDefault="00271E37">
            <w:pPr>
              <w:rPr>
                <w:sz w:val="2"/>
              </w:rPr>
            </w:pPr>
          </w:p>
        </w:tc>
        <w:tc>
          <w:tcPr>
            <w:tcW w:w="1370" w:type="dxa"/>
            <w:tcBorders>
              <w:top w:val="nil"/>
              <w:left w:val="nil"/>
              <w:bottom w:val="nil"/>
              <w:right w:val="nil"/>
            </w:tcBorders>
          </w:tcPr>
          <w:p w14:paraId="610D4611" w14:textId="77777777" w:rsidR="00271E37" w:rsidRDefault="00271E37">
            <w:pPr>
              <w:rPr>
                <w:sz w:val="2"/>
              </w:rPr>
            </w:pPr>
          </w:p>
        </w:tc>
      </w:tr>
      <w:tr w:rsidR="00271E37" w:rsidRPr="00E40A72" w14:paraId="71432CAC" w14:textId="77777777">
        <w:tc>
          <w:tcPr>
            <w:tcW w:w="4867" w:type="dxa"/>
          </w:tcPr>
          <w:p w14:paraId="77897995" w14:textId="77777777" w:rsidR="00271E37" w:rsidRPr="00E40A72" w:rsidRDefault="00271E37">
            <w:pPr>
              <w:jc w:val="left"/>
            </w:pPr>
          </w:p>
        </w:tc>
        <w:tc>
          <w:tcPr>
            <w:tcW w:w="2268" w:type="dxa"/>
            <w:gridSpan w:val="2"/>
            <w:tcBorders>
              <w:bottom w:val="single" w:sz="4" w:space="0" w:color="auto"/>
            </w:tcBorders>
          </w:tcPr>
          <w:p w14:paraId="700A36BF" w14:textId="77777777" w:rsidR="00271E37" w:rsidRPr="00E40A72" w:rsidRDefault="00271E37">
            <w:pPr>
              <w:jc w:val="center"/>
              <w:rPr>
                <w:b/>
                <w:bCs/>
              </w:rPr>
            </w:pPr>
            <w:r w:rsidRPr="00E40A72">
              <w:rPr>
                <w:b/>
                <w:bCs/>
              </w:rPr>
              <w:t>202</w:t>
            </w:r>
            <w:r>
              <w:rPr>
                <w:b/>
                <w:bCs/>
              </w:rPr>
              <w:t>6</w:t>
            </w:r>
          </w:p>
        </w:tc>
        <w:tc>
          <w:tcPr>
            <w:tcW w:w="2504" w:type="dxa"/>
            <w:gridSpan w:val="2"/>
            <w:tcBorders>
              <w:bottom w:val="single" w:sz="4" w:space="0" w:color="auto"/>
            </w:tcBorders>
          </w:tcPr>
          <w:p w14:paraId="52E333B3" w14:textId="77777777" w:rsidR="00271E37" w:rsidRPr="00E40A72" w:rsidRDefault="00271E37">
            <w:pPr>
              <w:jc w:val="center"/>
            </w:pPr>
            <w:r w:rsidRPr="00E40A72">
              <w:t>202</w:t>
            </w:r>
            <w:r>
              <w:t>5</w:t>
            </w:r>
          </w:p>
        </w:tc>
      </w:tr>
      <w:tr w:rsidR="00271E37" w:rsidRPr="00E40A72" w14:paraId="1559F8B5" w14:textId="77777777">
        <w:tc>
          <w:tcPr>
            <w:tcW w:w="4867" w:type="dxa"/>
          </w:tcPr>
          <w:p w14:paraId="3915A9BC" w14:textId="77777777" w:rsidR="00271E37" w:rsidRPr="00E40A72" w:rsidRDefault="00271E37">
            <w:pPr>
              <w:jc w:val="left"/>
            </w:pPr>
          </w:p>
        </w:tc>
        <w:tc>
          <w:tcPr>
            <w:tcW w:w="1134" w:type="dxa"/>
            <w:tcBorders>
              <w:top w:val="single" w:sz="4" w:space="0" w:color="auto"/>
            </w:tcBorders>
          </w:tcPr>
          <w:p w14:paraId="0F1D76D4" w14:textId="77777777" w:rsidR="00271E37" w:rsidRPr="00E40A72" w:rsidRDefault="00271E37">
            <w:pPr>
              <w:rPr>
                <w:b/>
                <w:bCs/>
              </w:rPr>
            </w:pPr>
            <w:r w:rsidRPr="00E40A72">
              <w:rPr>
                <w:b/>
                <w:bCs/>
              </w:rPr>
              <w:t>Weighted</w:t>
            </w:r>
          </w:p>
        </w:tc>
        <w:tc>
          <w:tcPr>
            <w:tcW w:w="1134" w:type="dxa"/>
            <w:tcBorders>
              <w:top w:val="single" w:sz="4" w:space="0" w:color="auto"/>
            </w:tcBorders>
          </w:tcPr>
          <w:p w14:paraId="78645B35" w14:textId="77777777" w:rsidR="00271E37" w:rsidRPr="00E40A72" w:rsidRDefault="00271E37">
            <w:pPr>
              <w:rPr>
                <w:b/>
                <w:bCs/>
              </w:rPr>
            </w:pPr>
          </w:p>
        </w:tc>
        <w:tc>
          <w:tcPr>
            <w:tcW w:w="1134" w:type="dxa"/>
            <w:tcBorders>
              <w:top w:val="single" w:sz="4" w:space="0" w:color="auto"/>
            </w:tcBorders>
          </w:tcPr>
          <w:p w14:paraId="3D0C094C" w14:textId="77777777" w:rsidR="00271E37" w:rsidRPr="00E40A72" w:rsidRDefault="00271E37">
            <w:r w:rsidRPr="00E40A72">
              <w:t>Weighted</w:t>
            </w:r>
          </w:p>
        </w:tc>
        <w:tc>
          <w:tcPr>
            <w:tcW w:w="1370" w:type="dxa"/>
            <w:tcBorders>
              <w:top w:val="single" w:sz="4" w:space="0" w:color="auto"/>
            </w:tcBorders>
          </w:tcPr>
          <w:p w14:paraId="11CD8AFE" w14:textId="77777777" w:rsidR="00271E37" w:rsidRPr="00E40A72" w:rsidRDefault="00271E37"/>
        </w:tc>
      </w:tr>
      <w:tr w:rsidR="00271E37" w:rsidRPr="00E40A72" w14:paraId="4C885F13" w14:textId="77777777">
        <w:tc>
          <w:tcPr>
            <w:tcW w:w="4867" w:type="dxa"/>
          </w:tcPr>
          <w:p w14:paraId="37A707B4" w14:textId="77777777" w:rsidR="00271E37" w:rsidRPr="00E40A72" w:rsidRDefault="00271E37">
            <w:pPr>
              <w:jc w:val="left"/>
            </w:pPr>
          </w:p>
        </w:tc>
        <w:tc>
          <w:tcPr>
            <w:tcW w:w="1134" w:type="dxa"/>
          </w:tcPr>
          <w:p w14:paraId="1DDF56F7" w14:textId="77777777" w:rsidR="00271E37" w:rsidRPr="00E40A72" w:rsidRDefault="00271E37">
            <w:pPr>
              <w:rPr>
                <w:b/>
                <w:bCs/>
              </w:rPr>
            </w:pPr>
            <w:r w:rsidRPr="00E40A72">
              <w:rPr>
                <w:b/>
                <w:bCs/>
              </w:rPr>
              <w:t xml:space="preserve">average </w:t>
            </w:r>
          </w:p>
        </w:tc>
        <w:tc>
          <w:tcPr>
            <w:tcW w:w="1134" w:type="dxa"/>
          </w:tcPr>
          <w:p w14:paraId="1C17FBA7" w14:textId="77777777" w:rsidR="00271E37" w:rsidRPr="00E40A72" w:rsidRDefault="00271E37">
            <w:pPr>
              <w:rPr>
                <w:b/>
                <w:bCs/>
              </w:rPr>
            </w:pPr>
          </w:p>
        </w:tc>
        <w:tc>
          <w:tcPr>
            <w:tcW w:w="1134" w:type="dxa"/>
          </w:tcPr>
          <w:p w14:paraId="5F1DF8CD" w14:textId="77777777" w:rsidR="00271E37" w:rsidRPr="00E40A72" w:rsidRDefault="00271E37">
            <w:r w:rsidRPr="00E40A72">
              <w:t xml:space="preserve">average </w:t>
            </w:r>
          </w:p>
        </w:tc>
        <w:tc>
          <w:tcPr>
            <w:tcW w:w="1370" w:type="dxa"/>
          </w:tcPr>
          <w:p w14:paraId="1BDEC716" w14:textId="77777777" w:rsidR="00271E37" w:rsidRPr="00E40A72" w:rsidRDefault="00271E37"/>
        </w:tc>
      </w:tr>
      <w:tr w:rsidR="00271E37" w:rsidRPr="00E40A72" w14:paraId="69463870" w14:textId="77777777">
        <w:tc>
          <w:tcPr>
            <w:tcW w:w="4867" w:type="dxa"/>
            <w:tcBorders>
              <w:bottom w:val="nil"/>
            </w:tcBorders>
          </w:tcPr>
          <w:p w14:paraId="26B42BB4" w14:textId="77777777" w:rsidR="00271E37" w:rsidRPr="00E40A72" w:rsidRDefault="00271E37">
            <w:pPr>
              <w:jc w:val="left"/>
            </w:pPr>
          </w:p>
        </w:tc>
        <w:tc>
          <w:tcPr>
            <w:tcW w:w="1134" w:type="dxa"/>
            <w:tcBorders>
              <w:bottom w:val="nil"/>
            </w:tcBorders>
          </w:tcPr>
          <w:p w14:paraId="68FD5D06" w14:textId="77777777" w:rsidR="00271E37" w:rsidRPr="00E40A72" w:rsidRDefault="00271E37">
            <w:pPr>
              <w:rPr>
                <w:b/>
                <w:bCs/>
              </w:rPr>
            </w:pPr>
            <w:r w:rsidRPr="00E40A72">
              <w:rPr>
                <w:b/>
                <w:bCs/>
              </w:rPr>
              <w:t xml:space="preserve">exercise price </w:t>
            </w:r>
          </w:p>
        </w:tc>
        <w:tc>
          <w:tcPr>
            <w:tcW w:w="1134" w:type="dxa"/>
            <w:tcBorders>
              <w:bottom w:val="nil"/>
            </w:tcBorders>
          </w:tcPr>
          <w:p w14:paraId="5AE697B4" w14:textId="77777777" w:rsidR="00271E37" w:rsidRPr="00E40A72" w:rsidRDefault="00271E37">
            <w:pPr>
              <w:rPr>
                <w:b/>
                <w:bCs/>
              </w:rPr>
            </w:pPr>
            <w:r w:rsidRPr="00E40A72">
              <w:rPr>
                <w:b/>
                <w:bCs/>
              </w:rPr>
              <w:t>Number of</w:t>
            </w:r>
          </w:p>
        </w:tc>
        <w:tc>
          <w:tcPr>
            <w:tcW w:w="1134" w:type="dxa"/>
            <w:tcBorders>
              <w:bottom w:val="nil"/>
            </w:tcBorders>
          </w:tcPr>
          <w:p w14:paraId="5B56BD24" w14:textId="77777777" w:rsidR="00271E37" w:rsidRPr="00E40A72" w:rsidRDefault="00271E37">
            <w:r w:rsidRPr="00E40A72">
              <w:t xml:space="preserve">exercise price </w:t>
            </w:r>
          </w:p>
        </w:tc>
        <w:tc>
          <w:tcPr>
            <w:tcW w:w="1370" w:type="dxa"/>
            <w:tcBorders>
              <w:bottom w:val="nil"/>
            </w:tcBorders>
          </w:tcPr>
          <w:p w14:paraId="29A2E55F" w14:textId="77777777" w:rsidR="00271E37" w:rsidRPr="00E40A72" w:rsidRDefault="00271E37">
            <w:r w:rsidRPr="00E40A72">
              <w:t>Number of</w:t>
            </w:r>
          </w:p>
        </w:tc>
      </w:tr>
      <w:tr w:rsidR="00271E37" w:rsidRPr="00E40A72" w14:paraId="2A49C14D" w14:textId="77777777">
        <w:tc>
          <w:tcPr>
            <w:tcW w:w="4867" w:type="dxa"/>
            <w:tcBorders>
              <w:bottom w:val="single" w:sz="4" w:space="0" w:color="auto"/>
            </w:tcBorders>
          </w:tcPr>
          <w:p w14:paraId="45F0131A" w14:textId="77777777" w:rsidR="00271E37" w:rsidRPr="00E40A72" w:rsidRDefault="00271E37">
            <w:pPr>
              <w:jc w:val="left"/>
            </w:pPr>
          </w:p>
        </w:tc>
        <w:tc>
          <w:tcPr>
            <w:tcW w:w="1134" w:type="dxa"/>
            <w:tcBorders>
              <w:bottom w:val="single" w:sz="4" w:space="0" w:color="auto"/>
            </w:tcBorders>
          </w:tcPr>
          <w:p w14:paraId="2619B44C" w14:textId="77777777" w:rsidR="00271E37" w:rsidRPr="00E40A72" w:rsidRDefault="00271E37">
            <w:pPr>
              <w:rPr>
                <w:b/>
                <w:bCs/>
              </w:rPr>
            </w:pPr>
            <w:r w:rsidRPr="00E40A72">
              <w:rPr>
                <w:b/>
                <w:bCs/>
              </w:rPr>
              <w:t>pence</w:t>
            </w:r>
          </w:p>
        </w:tc>
        <w:tc>
          <w:tcPr>
            <w:tcW w:w="1134" w:type="dxa"/>
            <w:tcBorders>
              <w:bottom w:val="single" w:sz="4" w:space="0" w:color="auto"/>
            </w:tcBorders>
          </w:tcPr>
          <w:p w14:paraId="43269802" w14:textId="77777777" w:rsidR="00271E37" w:rsidRPr="00E40A72" w:rsidRDefault="00271E37">
            <w:pPr>
              <w:rPr>
                <w:b/>
                <w:bCs/>
              </w:rPr>
            </w:pPr>
            <w:r w:rsidRPr="00E40A72">
              <w:rPr>
                <w:b/>
                <w:bCs/>
              </w:rPr>
              <w:t>options</w:t>
            </w:r>
          </w:p>
        </w:tc>
        <w:tc>
          <w:tcPr>
            <w:tcW w:w="1134" w:type="dxa"/>
            <w:tcBorders>
              <w:bottom w:val="single" w:sz="4" w:space="0" w:color="auto"/>
            </w:tcBorders>
          </w:tcPr>
          <w:p w14:paraId="3AA25ABF" w14:textId="77777777" w:rsidR="00271E37" w:rsidRPr="00E40A72" w:rsidRDefault="00271E37">
            <w:r w:rsidRPr="00E40A72">
              <w:t>pence</w:t>
            </w:r>
          </w:p>
        </w:tc>
        <w:tc>
          <w:tcPr>
            <w:tcW w:w="1370" w:type="dxa"/>
            <w:tcBorders>
              <w:bottom w:val="single" w:sz="4" w:space="0" w:color="auto"/>
            </w:tcBorders>
          </w:tcPr>
          <w:p w14:paraId="018018F3" w14:textId="77777777" w:rsidR="00271E37" w:rsidRPr="00E40A72" w:rsidRDefault="00271E37">
            <w:r w:rsidRPr="00E40A72">
              <w:t>options</w:t>
            </w:r>
          </w:p>
        </w:tc>
      </w:tr>
      <w:tr w:rsidR="00271E37" w:rsidRPr="00E40A72" w14:paraId="1AA4C8F8" w14:textId="77777777">
        <w:tc>
          <w:tcPr>
            <w:tcW w:w="4867" w:type="dxa"/>
            <w:tcBorders>
              <w:top w:val="single" w:sz="4" w:space="0" w:color="auto"/>
            </w:tcBorders>
          </w:tcPr>
          <w:p w14:paraId="6A896217" w14:textId="77777777" w:rsidR="00271E37" w:rsidRPr="00E40A72" w:rsidRDefault="00271E37">
            <w:pPr>
              <w:jc w:val="left"/>
            </w:pPr>
            <w:r w:rsidRPr="00E40A72">
              <w:t>Outstanding at 1 April</w:t>
            </w:r>
          </w:p>
        </w:tc>
        <w:tc>
          <w:tcPr>
            <w:tcW w:w="1134" w:type="dxa"/>
            <w:tcBorders>
              <w:top w:val="single" w:sz="4" w:space="0" w:color="auto"/>
            </w:tcBorders>
            <w:vAlign w:val="bottom"/>
          </w:tcPr>
          <w:p w14:paraId="3384FDC3" w14:textId="77777777" w:rsidR="00271E37" w:rsidRPr="008F5634" w:rsidRDefault="00271E37">
            <w:pPr>
              <w:rPr>
                <w:b/>
                <w:bCs/>
              </w:rPr>
            </w:pPr>
            <w:r>
              <w:rPr>
                <w:rFonts w:cs="Arial"/>
                <w:b/>
                <w:bCs/>
                <w:szCs w:val="16"/>
              </w:rPr>
              <w:t>nil</w:t>
            </w:r>
          </w:p>
        </w:tc>
        <w:tc>
          <w:tcPr>
            <w:tcW w:w="1134" w:type="dxa"/>
            <w:tcBorders>
              <w:top w:val="single" w:sz="4" w:space="0" w:color="auto"/>
            </w:tcBorders>
            <w:vAlign w:val="center"/>
          </w:tcPr>
          <w:p w14:paraId="1007E521" w14:textId="77777777" w:rsidR="00271E37" w:rsidRPr="008F5634" w:rsidRDefault="00271E37">
            <w:pPr>
              <w:rPr>
                <w:b/>
                <w:bCs/>
              </w:rPr>
            </w:pPr>
            <w:r>
              <w:rPr>
                <w:rFonts w:cs="Arial"/>
                <w:b/>
                <w:bCs/>
                <w:color w:val="000000"/>
                <w:szCs w:val="16"/>
              </w:rPr>
              <w:t xml:space="preserve"> - </w:t>
            </w:r>
          </w:p>
        </w:tc>
        <w:tc>
          <w:tcPr>
            <w:tcW w:w="1134" w:type="dxa"/>
            <w:tcBorders>
              <w:top w:val="single" w:sz="4" w:space="0" w:color="auto"/>
            </w:tcBorders>
          </w:tcPr>
          <w:p w14:paraId="19EDDAD0" w14:textId="77777777" w:rsidR="00271E37" w:rsidRPr="00E40A72" w:rsidRDefault="00271E37">
            <w:r w:rsidRPr="00541DB5">
              <w:t>nil</w:t>
            </w:r>
          </w:p>
        </w:tc>
        <w:tc>
          <w:tcPr>
            <w:tcW w:w="1370" w:type="dxa"/>
            <w:tcBorders>
              <w:top w:val="single" w:sz="4" w:space="0" w:color="auto"/>
            </w:tcBorders>
            <w:vAlign w:val="center"/>
          </w:tcPr>
          <w:p w14:paraId="54F01D67" w14:textId="77777777" w:rsidR="00271E37" w:rsidRPr="00E40A72" w:rsidRDefault="00271E37">
            <w:r w:rsidRPr="009D526A">
              <w:rPr>
                <w:rFonts w:cs="Arial"/>
                <w:color w:val="000000"/>
                <w:szCs w:val="16"/>
              </w:rPr>
              <w:t xml:space="preserve">28,272 </w:t>
            </w:r>
          </w:p>
        </w:tc>
      </w:tr>
      <w:tr w:rsidR="00271E37" w:rsidRPr="00E40A72" w14:paraId="6700FD68" w14:textId="77777777">
        <w:tc>
          <w:tcPr>
            <w:tcW w:w="4867" w:type="dxa"/>
            <w:tcBorders>
              <w:bottom w:val="nil"/>
            </w:tcBorders>
          </w:tcPr>
          <w:p w14:paraId="3EBE8FAF" w14:textId="77777777" w:rsidR="00271E37" w:rsidRPr="00E40A72" w:rsidRDefault="00271E37">
            <w:pPr>
              <w:jc w:val="left"/>
            </w:pPr>
            <w:r w:rsidRPr="00E40A72">
              <w:t>Options vesting during the year</w:t>
            </w:r>
          </w:p>
        </w:tc>
        <w:tc>
          <w:tcPr>
            <w:tcW w:w="1134" w:type="dxa"/>
            <w:tcBorders>
              <w:bottom w:val="nil"/>
            </w:tcBorders>
            <w:vAlign w:val="bottom"/>
          </w:tcPr>
          <w:p w14:paraId="2F9B1241" w14:textId="77777777" w:rsidR="00271E37" w:rsidRPr="008F5634" w:rsidRDefault="00271E37">
            <w:pPr>
              <w:rPr>
                <w:b/>
                <w:bCs/>
              </w:rPr>
            </w:pPr>
            <w:r>
              <w:rPr>
                <w:rFonts w:cs="Arial"/>
                <w:b/>
                <w:bCs/>
                <w:szCs w:val="16"/>
              </w:rPr>
              <w:t>nil</w:t>
            </w:r>
          </w:p>
        </w:tc>
        <w:tc>
          <w:tcPr>
            <w:tcW w:w="1134" w:type="dxa"/>
            <w:tcBorders>
              <w:bottom w:val="nil"/>
            </w:tcBorders>
            <w:vAlign w:val="center"/>
          </w:tcPr>
          <w:p w14:paraId="6B180DBE" w14:textId="77777777" w:rsidR="00271E37" w:rsidRPr="008F5634" w:rsidRDefault="00271E37">
            <w:pPr>
              <w:rPr>
                <w:b/>
                <w:bCs/>
              </w:rPr>
            </w:pPr>
            <w:r>
              <w:rPr>
                <w:rFonts w:cs="Arial"/>
                <w:b/>
                <w:bCs/>
                <w:color w:val="000000"/>
                <w:szCs w:val="16"/>
              </w:rPr>
              <w:t xml:space="preserve">190,449 </w:t>
            </w:r>
          </w:p>
        </w:tc>
        <w:tc>
          <w:tcPr>
            <w:tcW w:w="1134" w:type="dxa"/>
            <w:tcBorders>
              <w:bottom w:val="nil"/>
            </w:tcBorders>
          </w:tcPr>
          <w:p w14:paraId="14D432D4" w14:textId="77777777" w:rsidR="00271E37" w:rsidRPr="00E40A72" w:rsidRDefault="00271E37">
            <w:r w:rsidRPr="00541DB5">
              <w:t>nil</w:t>
            </w:r>
          </w:p>
        </w:tc>
        <w:tc>
          <w:tcPr>
            <w:tcW w:w="1370" w:type="dxa"/>
            <w:tcBorders>
              <w:bottom w:val="nil"/>
            </w:tcBorders>
            <w:vAlign w:val="center"/>
          </w:tcPr>
          <w:p w14:paraId="2BAEABC9" w14:textId="77777777" w:rsidR="00271E37" w:rsidRPr="00E40A72" w:rsidRDefault="00271E37">
            <w:r w:rsidRPr="009D526A">
              <w:rPr>
                <w:rFonts w:cs="Arial"/>
                <w:color w:val="000000"/>
                <w:szCs w:val="16"/>
              </w:rPr>
              <w:t xml:space="preserve"> - </w:t>
            </w:r>
          </w:p>
        </w:tc>
      </w:tr>
      <w:tr w:rsidR="00271E37" w:rsidRPr="00E40A72" w14:paraId="1C002636" w14:textId="77777777">
        <w:tc>
          <w:tcPr>
            <w:tcW w:w="4867" w:type="dxa"/>
            <w:tcBorders>
              <w:bottom w:val="single" w:sz="4" w:space="0" w:color="auto"/>
            </w:tcBorders>
          </w:tcPr>
          <w:p w14:paraId="2C06723F" w14:textId="77777777" w:rsidR="00271E37" w:rsidRPr="00E40A72" w:rsidRDefault="00271E37">
            <w:pPr>
              <w:jc w:val="left"/>
            </w:pPr>
            <w:r w:rsidRPr="00E40A72">
              <w:t>Exercised during the year</w:t>
            </w:r>
          </w:p>
        </w:tc>
        <w:tc>
          <w:tcPr>
            <w:tcW w:w="1134" w:type="dxa"/>
            <w:tcBorders>
              <w:bottom w:val="single" w:sz="4" w:space="0" w:color="auto"/>
            </w:tcBorders>
            <w:vAlign w:val="bottom"/>
          </w:tcPr>
          <w:p w14:paraId="0E59B135" w14:textId="77777777" w:rsidR="00271E37" w:rsidRPr="008F5634" w:rsidRDefault="00271E37">
            <w:pPr>
              <w:rPr>
                <w:b/>
                <w:bCs/>
              </w:rPr>
            </w:pPr>
            <w:r>
              <w:rPr>
                <w:rFonts w:cs="Arial"/>
                <w:b/>
                <w:bCs/>
                <w:szCs w:val="16"/>
              </w:rPr>
              <w:t>nil</w:t>
            </w:r>
          </w:p>
        </w:tc>
        <w:tc>
          <w:tcPr>
            <w:tcW w:w="1134" w:type="dxa"/>
            <w:tcBorders>
              <w:bottom w:val="single" w:sz="4" w:space="0" w:color="auto"/>
            </w:tcBorders>
            <w:vAlign w:val="center"/>
          </w:tcPr>
          <w:p w14:paraId="21EFFB53" w14:textId="77777777" w:rsidR="00271E37" w:rsidRPr="008F5634" w:rsidRDefault="00271E37">
            <w:pPr>
              <w:rPr>
                <w:b/>
                <w:bCs/>
              </w:rPr>
            </w:pPr>
            <w:r>
              <w:rPr>
                <w:rFonts w:cs="Arial"/>
                <w:b/>
                <w:bCs/>
                <w:color w:val="000000"/>
                <w:szCs w:val="16"/>
              </w:rPr>
              <w:t>(118,446)</w:t>
            </w:r>
          </w:p>
        </w:tc>
        <w:tc>
          <w:tcPr>
            <w:tcW w:w="1134" w:type="dxa"/>
            <w:tcBorders>
              <w:bottom w:val="single" w:sz="4" w:space="0" w:color="auto"/>
            </w:tcBorders>
          </w:tcPr>
          <w:p w14:paraId="0E89540E" w14:textId="77777777" w:rsidR="00271E37" w:rsidRPr="00E40A72" w:rsidRDefault="00271E37">
            <w:r w:rsidRPr="00541DB5">
              <w:t>nil</w:t>
            </w:r>
          </w:p>
        </w:tc>
        <w:tc>
          <w:tcPr>
            <w:tcW w:w="1370" w:type="dxa"/>
            <w:tcBorders>
              <w:bottom w:val="single" w:sz="4" w:space="0" w:color="auto"/>
            </w:tcBorders>
            <w:vAlign w:val="center"/>
          </w:tcPr>
          <w:p w14:paraId="456A59B4" w14:textId="77777777" w:rsidR="00271E37" w:rsidRPr="00E40A72" w:rsidRDefault="00271E37">
            <w:r w:rsidRPr="009D526A">
              <w:rPr>
                <w:rFonts w:cs="Arial"/>
                <w:color w:val="000000"/>
                <w:szCs w:val="16"/>
              </w:rPr>
              <w:t>(28,272)</w:t>
            </w:r>
          </w:p>
        </w:tc>
      </w:tr>
      <w:tr w:rsidR="00271E37" w:rsidRPr="00E40A72" w14:paraId="66440BBA" w14:textId="77777777">
        <w:tc>
          <w:tcPr>
            <w:tcW w:w="4867" w:type="dxa"/>
            <w:tcBorders>
              <w:top w:val="single" w:sz="4" w:space="0" w:color="auto"/>
              <w:bottom w:val="single" w:sz="4" w:space="0" w:color="auto"/>
            </w:tcBorders>
          </w:tcPr>
          <w:p w14:paraId="4CC69499" w14:textId="77777777" w:rsidR="00271E37" w:rsidRPr="00E40A72" w:rsidRDefault="00271E37">
            <w:pPr>
              <w:jc w:val="left"/>
            </w:pPr>
            <w:r w:rsidRPr="00E40A72">
              <w:t>Outstanding at 31 March</w:t>
            </w:r>
          </w:p>
        </w:tc>
        <w:tc>
          <w:tcPr>
            <w:tcW w:w="1134" w:type="dxa"/>
            <w:tcBorders>
              <w:top w:val="single" w:sz="4" w:space="0" w:color="auto"/>
              <w:bottom w:val="single" w:sz="4" w:space="0" w:color="auto"/>
            </w:tcBorders>
            <w:vAlign w:val="bottom"/>
          </w:tcPr>
          <w:p w14:paraId="793F8726" w14:textId="77777777" w:rsidR="00271E37" w:rsidRPr="008F5634" w:rsidRDefault="00271E37">
            <w:pPr>
              <w:rPr>
                <w:b/>
                <w:bCs/>
              </w:rPr>
            </w:pPr>
            <w:r>
              <w:rPr>
                <w:rFonts w:cs="Arial"/>
                <w:b/>
                <w:bCs/>
                <w:szCs w:val="16"/>
              </w:rPr>
              <w:t>nil</w:t>
            </w:r>
          </w:p>
        </w:tc>
        <w:tc>
          <w:tcPr>
            <w:tcW w:w="1134" w:type="dxa"/>
            <w:tcBorders>
              <w:top w:val="single" w:sz="4" w:space="0" w:color="auto"/>
              <w:bottom w:val="single" w:sz="4" w:space="0" w:color="auto"/>
            </w:tcBorders>
            <w:vAlign w:val="center"/>
          </w:tcPr>
          <w:p w14:paraId="1530A748" w14:textId="77777777" w:rsidR="00271E37" w:rsidRPr="008F5634" w:rsidRDefault="00271E37">
            <w:pPr>
              <w:rPr>
                <w:b/>
                <w:bCs/>
              </w:rPr>
            </w:pPr>
            <w:r>
              <w:rPr>
                <w:rFonts w:cs="Arial"/>
                <w:b/>
                <w:bCs/>
                <w:color w:val="000000"/>
                <w:szCs w:val="16"/>
              </w:rPr>
              <w:t xml:space="preserve">72,003 </w:t>
            </w:r>
          </w:p>
        </w:tc>
        <w:tc>
          <w:tcPr>
            <w:tcW w:w="1134" w:type="dxa"/>
            <w:tcBorders>
              <w:top w:val="single" w:sz="4" w:space="0" w:color="auto"/>
              <w:bottom w:val="single" w:sz="4" w:space="0" w:color="auto"/>
            </w:tcBorders>
          </w:tcPr>
          <w:p w14:paraId="068E2CFB" w14:textId="77777777" w:rsidR="00271E37" w:rsidRPr="00E40A72" w:rsidRDefault="00271E37">
            <w:r w:rsidRPr="00541DB5">
              <w:t>nil</w:t>
            </w:r>
          </w:p>
        </w:tc>
        <w:tc>
          <w:tcPr>
            <w:tcW w:w="1370" w:type="dxa"/>
            <w:tcBorders>
              <w:top w:val="single" w:sz="4" w:space="0" w:color="auto"/>
              <w:bottom w:val="single" w:sz="4" w:space="0" w:color="auto"/>
            </w:tcBorders>
            <w:vAlign w:val="center"/>
          </w:tcPr>
          <w:p w14:paraId="17605906" w14:textId="77777777" w:rsidR="00271E37" w:rsidRPr="00E40A72" w:rsidRDefault="00271E37">
            <w:r>
              <w:rPr>
                <w:rFonts w:cs="Arial"/>
                <w:b/>
                <w:bCs/>
                <w:color w:val="000000"/>
                <w:szCs w:val="16"/>
              </w:rPr>
              <w:t xml:space="preserve"> - </w:t>
            </w:r>
          </w:p>
        </w:tc>
      </w:tr>
      <w:tr w:rsidR="00271E37" w:rsidRPr="00E40A72" w14:paraId="431BF274" w14:textId="77777777">
        <w:tc>
          <w:tcPr>
            <w:tcW w:w="4867" w:type="dxa"/>
            <w:tcBorders>
              <w:top w:val="single" w:sz="4" w:space="0" w:color="auto"/>
            </w:tcBorders>
          </w:tcPr>
          <w:p w14:paraId="5B82C286" w14:textId="77777777" w:rsidR="00271E37" w:rsidRPr="00E40A72" w:rsidRDefault="00271E37">
            <w:pPr>
              <w:jc w:val="left"/>
            </w:pPr>
            <w:r w:rsidRPr="00E40A72">
              <w:t>Exercisable at 31 March</w:t>
            </w:r>
          </w:p>
        </w:tc>
        <w:tc>
          <w:tcPr>
            <w:tcW w:w="1134" w:type="dxa"/>
            <w:tcBorders>
              <w:top w:val="single" w:sz="4" w:space="0" w:color="auto"/>
            </w:tcBorders>
            <w:vAlign w:val="bottom"/>
          </w:tcPr>
          <w:p w14:paraId="426D745C" w14:textId="77777777" w:rsidR="00271E37" w:rsidRPr="008F5634" w:rsidRDefault="00271E37">
            <w:pPr>
              <w:rPr>
                <w:b/>
                <w:bCs/>
              </w:rPr>
            </w:pPr>
            <w:r>
              <w:rPr>
                <w:rFonts w:cs="Arial"/>
                <w:b/>
                <w:bCs/>
                <w:szCs w:val="16"/>
              </w:rPr>
              <w:t>nil</w:t>
            </w:r>
          </w:p>
        </w:tc>
        <w:tc>
          <w:tcPr>
            <w:tcW w:w="1134" w:type="dxa"/>
            <w:tcBorders>
              <w:top w:val="single" w:sz="4" w:space="0" w:color="auto"/>
            </w:tcBorders>
            <w:vAlign w:val="center"/>
          </w:tcPr>
          <w:p w14:paraId="7C15B38D" w14:textId="77777777" w:rsidR="00271E37" w:rsidRPr="008F5634" w:rsidRDefault="00271E37">
            <w:pPr>
              <w:rPr>
                <w:b/>
                <w:bCs/>
              </w:rPr>
            </w:pPr>
            <w:r>
              <w:rPr>
                <w:rFonts w:cs="Arial"/>
                <w:b/>
                <w:bCs/>
                <w:color w:val="000000"/>
                <w:szCs w:val="16"/>
              </w:rPr>
              <w:t xml:space="preserve">72,003 </w:t>
            </w:r>
          </w:p>
        </w:tc>
        <w:tc>
          <w:tcPr>
            <w:tcW w:w="1134" w:type="dxa"/>
            <w:tcBorders>
              <w:top w:val="single" w:sz="4" w:space="0" w:color="auto"/>
            </w:tcBorders>
          </w:tcPr>
          <w:p w14:paraId="67962906" w14:textId="77777777" w:rsidR="00271E37" w:rsidRPr="00E40A72" w:rsidRDefault="00271E37">
            <w:r w:rsidRPr="00541DB5">
              <w:t>nil</w:t>
            </w:r>
          </w:p>
        </w:tc>
        <w:tc>
          <w:tcPr>
            <w:tcW w:w="1370" w:type="dxa"/>
            <w:tcBorders>
              <w:top w:val="single" w:sz="4" w:space="0" w:color="auto"/>
            </w:tcBorders>
            <w:vAlign w:val="center"/>
          </w:tcPr>
          <w:p w14:paraId="06B0AE50" w14:textId="77777777" w:rsidR="00271E37" w:rsidRPr="00E40A72" w:rsidRDefault="00271E37">
            <w:r>
              <w:rPr>
                <w:rFonts w:cs="Arial"/>
                <w:b/>
                <w:bCs/>
                <w:color w:val="000000"/>
                <w:szCs w:val="16"/>
              </w:rPr>
              <w:t xml:space="preserve"> - </w:t>
            </w:r>
          </w:p>
        </w:tc>
      </w:tr>
      <w:bookmarkEnd w:id="50"/>
    </w:tbl>
    <w:p w14:paraId="2231193E" w14:textId="77777777" w:rsidR="00271E37" w:rsidRDefault="00271E37"/>
    <w:p w14:paraId="50A235D7" w14:textId="77777777" w:rsidR="00271E37" w:rsidRPr="00E40A72" w:rsidRDefault="00271E37" w:rsidP="002E39D4">
      <w:pPr>
        <w:rPr>
          <w:b/>
          <w:bCs/>
          <w:i/>
          <w:iCs/>
        </w:rPr>
      </w:pPr>
      <w:r w:rsidRPr="00E40A72">
        <w:rPr>
          <w:b/>
          <w:bCs/>
          <w:i/>
          <w:iCs/>
        </w:rPr>
        <w:t>Scheme details for plans in vesting periods during the year</w:t>
      </w:r>
    </w:p>
    <w:p w14:paraId="79F85C88" w14:textId="5C7E2626" w:rsidR="00271E37" w:rsidRDefault="00271E37" w:rsidP="002E39D4">
      <w:r>
        <w:t>During the financial year to 31 March 2026</w:t>
      </w:r>
      <w:r w:rsidR="00C25F26">
        <w:t>,</w:t>
      </w:r>
      <w:r>
        <w:t xml:space="preserve"> there were four LTIP awards still within their vesting period (2025: three).</w:t>
      </w:r>
    </w:p>
    <w:p w14:paraId="4802CF08" w14:textId="77777777" w:rsidR="00271E37" w:rsidRDefault="00271E37" w:rsidP="002E39D4"/>
    <w:p w14:paraId="2ECD490A" w14:textId="77777777" w:rsidR="00271E37" w:rsidRPr="00E40A72" w:rsidRDefault="00271E37" w:rsidP="002E39D4">
      <w:pPr>
        <w:rPr>
          <w:i/>
          <w:iCs/>
        </w:rPr>
      </w:pPr>
      <w:r w:rsidRPr="00E40A72">
        <w:rPr>
          <w:i/>
          <w:iCs/>
        </w:rPr>
        <w:lastRenderedPageBreak/>
        <w:t>Awards</w:t>
      </w:r>
    </w:p>
    <w:tbl>
      <w:tblPr>
        <w:tblStyle w:val="tableDUL"/>
        <w:tblW w:w="9498" w:type="dxa"/>
        <w:tblLook w:val="04A0" w:firstRow="1" w:lastRow="0" w:firstColumn="1" w:lastColumn="0" w:noHBand="0" w:noVBand="1"/>
      </w:tblPr>
      <w:tblGrid>
        <w:gridCol w:w="4962"/>
        <w:gridCol w:w="1134"/>
        <w:gridCol w:w="1134"/>
        <w:gridCol w:w="1134"/>
        <w:gridCol w:w="1134"/>
      </w:tblGrid>
      <w:tr w:rsidR="00271E37" w:rsidRPr="008F5634" w14:paraId="71F1850C" w14:textId="77777777">
        <w:tc>
          <w:tcPr>
            <w:tcW w:w="4962" w:type="dxa"/>
            <w:tcBorders>
              <w:bottom w:val="single" w:sz="4" w:space="0" w:color="auto"/>
            </w:tcBorders>
          </w:tcPr>
          <w:p w14:paraId="1477C406" w14:textId="77777777" w:rsidR="00271E37" w:rsidRPr="00C52EDE" w:rsidRDefault="00271E37" w:rsidP="00E40A72">
            <w:pPr>
              <w:jc w:val="left"/>
            </w:pPr>
          </w:p>
        </w:tc>
        <w:tc>
          <w:tcPr>
            <w:tcW w:w="1134" w:type="dxa"/>
            <w:tcBorders>
              <w:bottom w:val="single" w:sz="4" w:space="0" w:color="auto"/>
            </w:tcBorders>
          </w:tcPr>
          <w:p w14:paraId="51A7E748" w14:textId="77777777" w:rsidR="00271E37" w:rsidRPr="00C52EDE" w:rsidRDefault="00271E37" w:rsidP="00642D95">
            <w:r w:rsidRPr="00C52EDE">
              <w:t>2022-2025</w:t>
            </w:r>
          </w:p>
        </w:tc>
        <w:tc>
          <w:tcPr>
            <w:tcW w:w="1134" w:type="dxa"/>
            <w:tcBorders>
              <w:bottom w:val="single" w:sz="4" w:space="0" w:color="auto"/>
            </w:tcBorders>
          </w:tcPr>
          <w:p w14:paraId="31608B7A" w14:textId="77777777" w:rsidR="00271E37" w:rsidRPr="00C52EDE" w:rsidRDefault="00271E37" w:rsidP="00E40A72">
            <w:r w:rsidRPr="00C52EDE">
              <w:t>202</w:t>
            </w:r>
            <w:r>
              <w:t>3</w:t>
            </w:r>
            <w:r w:rsidRPr="00C52EDE">
              <w:t>-202</w:t>
            </w:r>
            <w:r>
              <w:t>6</w:t>
            </w:r>
          </w:p>
        </w:tc>
        <w:tc>
          <w:tcPr>
            <w:tcW w:w="1134" w:type="dxa"/>
            <w:tcBorders>
              <w:bottom w:val="single" w:sz="4" w:space="0" w:color="auto"/>
            </w:tcBorders>
          </w:tcPr>
          <w:p w14:paraId="5FD38463" w14:textId="77777777" w:rsidR="00271E37" w:rsidRPr="00C52EDE" w:rsidRDefault="00271E37" w:rsidP="00E40A72">
            <w:r w:rsidRPr="00C52EDE">
              <w:t>202</w:t>
            </w:r>
            <w:r>
              <w:t>4</w:t>
            </w:r>
            <w:r w:rsidRPr="00C52EDE">
              <w:t>-202</w:t>
            </w:r>
            <w:r>
              <w:t>7</w:t>
            </w:r>
          </w:p>
        </w:tc>
        <w:tc>
          <w:tcPr>
            <w:tcW w:w="1134" w:type="dxa"/>
            <w:tcBorders>
              <w:bottom w:val="single" w:sz="4" w:space="0" w:color="auto"/>
            </w:tcBorders>
          </w:tcPr>
          <w:p w14:paraId="508AA53A" w14:textId="77777777" w:rsidR="00271E37" w:rsidRPr="00C52EDE" w:rsidRDefault="00271E37" w:rsidP="00E40A72">
            <w:r>
              <w:t>2025-2028</w:t>
            </w:r>
          </w:p>
        </w:tc>
      </w:tr>
      <w:tr w:rsidR="00271E37" w:rsidRPr="008F5634" w14:paraId="350604D8" w14:textId="77777777">
        <w:tc>
          <w:tcPr>
            <w:tcW w:w="4962" w:type="dxa"/>
            <w:tcBorders>
              <w:top w:val="single" w:sz="4" w:space="0" w:color="auto"/>
            </w:tcBorders>
          </w:tcPr>
          <w:p w14:paraId="598A1B8A" w14:textId="77777777" w:rsidR="00271E37" w:rsidRPr="00C52EDE" w:rsidRDefault="00271E37" w:rsidP="00E40A72">
            <w:pPr>
              <w:jc w:val="left"/>
            </w:pPr>
          </w:p>
        </w:tc>
        <w:tc>
          <w:tcPr>
            <w:tcW w:w="1134" w:type="dxa"/>
            <w:tcBorders>
              <w:top w:val="single" w:sz="4" w:space="0" w:color="auto"/>
            </w:tcBorders>
          </w:tcPr>
          <w:p w14:paraId="224F527A" w14:textId="77777777" w:rsidR="00271E37" w:rsidRPr="00C52EDE" w:rsidRDefault="00271E37" w:rsidP="00606B3C">
            <w:r w:rsidRPr="00C52EDE">
              <w:t>Aug 202</w:t>
            </w:r>
            <w:r>
              <w:t>2</w:t>
            </w:r>
            <w:r w:rsidRPr="00C52EDE">
              <w:t>,</w:t>
            </w:r>
          </w:p>
        </w:tc>
        <w:tc>
          <w:tcPr>
            <w:tcW w:w="1134" w:type="dxa"/>
            <w:tcBorders>
              <w:top w:val="single" w:sz="4" w:space="0" w:color="auto"/>
            </w:tcBorders>
          </w:tcPr>
          <w:p w14:paraId="581BE7E3" w14:textId="77777777" w:rsidR="00271E37" w:rsidRPr="00C52EDE" w:rsidRDefault="00271E37" w:rsidP="00E40A72">
            <w:r w:rsidRPr="00C52EDE">
              <w:t>Aug 2023,</w:t>
            </w:r>
          </w:p>
        </w:tc>
        <w:tc>
          <w:tcPr>
            <w:tcW w:w="1134" w:type="dxa"/>
            <w:tcBorders>
              <w:top w:val="single" w:sz="4" w:space="0" w:color="auto"/>
            </w:tcBorders>
          </w:tcPr>
          <w:p w14:paraId="419BD9F0" w14:textId="77777777" w:rsidR="00271E37" w:rsidRPr="00C52EDE" w:rsidRDefault="00271E37" w:rsidP="00E40A72"/>
        </w:tc>
        <w:tc>
          <w:tcPr>
            <w:tcW w:w="1134" w:type="dxa"/>
            <w:tcBorders>
              <w:top w:val="single" w:sz="4" w:space="0" w:color="auto"/>
            </w:tcBorders>
          </w:tcPr>
          <w:p w14:paraId="1304AA4D" w14:textId="77777777" w:rsidR="00271E37" w:rsidRPr="00C52EDE" w:rsidRDefault="00271E37" w:rsidP="00E40A72"/>
        </w:tc>
      </w:tr>
      <w:tr w:rsidR="00271E37" w:rsidRPr="008F5634" w14:paraId="318E5578" w14:textId="77777777">
        <w:tc>
          <w:tcPr>
            <w:tcW w:w="4962" w:type="dxa"/>
            <w:tcBorders>
              <w:bottom w:val="nil"/>
            </w:tcBorders>
          </w:tcPr>
          <w:p w14:paraId="42F4A723" w14:textId="77777777" w:rsidR="00271E37" w:rsidRPr="00C52EDE" w:rsidRDefault="00271E37">
            <w:pPr>
              <w:jc w:val="left"/>
            </w:pPr>
          </w:p>
        </w:tc>
        <w:tc>
          <w:tcPr>
            <w:tcW w:w="1134" w:type="dxa"/>
            <w:tcBorders>
              <w:bottom w:val="nil"/>
            </w:tcBorders>
          </w:tcPr>
          <w:p w14:paraId="3EBCCD4C" w14:textId="77777777" w:rsidR="00271E37" w:rsidRPr="00C52EDE" w:rsidRDefault="00271E37">
            <w:r w:rsidRPr="00C52EDE">
              <w:t>Dec 202</w:t>
            </w:r>
            <w:r>
              <w:t>2</w:t>
            </w:r>
            <w:r w:rsidRPr="00C52EDE">
              <w:t>,</w:t>
            </w:r>
          </w:p>
        </w:tc>
        <w:tc>
          <w:tcPr>
            <w:tcW w:w="1134" w:type="dxa"/>
            <w:tcBorders>
              <w:bottom w:val="nil"/>
            </w:tcBorders>
          </w:tcPr>
          <w:p w14:paraId="6C1C9F71" w14:textId="77777777" w:rsidR="00271E37" w:rsidRPr="00C52EDE" w:rsidRDefault="00271E37">
            <w:r>
              <w:t>Nov</w:t>
            </w:r>
            <w:r w:rsidRPr="00C52EDE">
              <w:t xml:space="preserve"> 2023,</w:t>
            </w:r>
          </w:p>
        </w:tc>
        <w:tc>
          <w:tcPr>
            <w:tcW w:w="1134" w:type="dxa"/>
            <w:tcBorders>
              <w:bottom w:val="nil"/>
            </w:tcBorders>
          </w:tcPr>
          <w:p w14:paraId="211DB328" w14:textId="77777777" w:rsidR="00271E37" w:rsidRPr="00C52EDE" w:rsidRDefault="00271E37">
            <w:r w:rsidRPr="00C52EDE">
              <w:t>Aug 202</w:t>
            </w:r>
            <w:r>
              <w:t>4</w:t>
            </w:r>
            <w:r w:rsidRPr="00C52EDE">
              <w:t>,</w:t>
            </w:r>
          </w:p>
        </w:tc>
        <w:tc>
          <w:tcPr>
            <w:tcW w:w="1134" w:type="dxa"/>
            <w:tcBorders>
              <w:bottom w:val="nil"/>
            </w:tcBorders>
          </w:tcPr>
          <w:p w14:paraId="0B6EB7D0" w14:textId="77777777" w:rsidR="00271E37" w:rsidRPr="00C52EDE" w:rsidRDefault="00271E37"/>
        </w:tc>
      </w:tr>
      <w:tr w:rsidR="00271E37" w:rsidRPr="008F5634" w14:paraId="056893D8" w14:textId="77777777">
        <w:tc>
          <w:tcPr>
            <w:tcW w:w="4962" w:type="dxa"/>
            <w:tcBorders>
              <w:bottom w:val="single" w:sz="4" w:space="0" w:color="auto"/>
            </w:tcBorders>
          </w:tcPr>
          <w:p w14:paraId="3C71AB32" w14:textId="77777777" w:rsidR="00271E37" w:rsidRPr="00C52EDE" w:rsidRDefault="00271E37">
            <w:pPr>
              <w:jc w:val="left"/>
            </w:pPr>
            <w:r w:rsidRPr="00C52EDE">
              <w:t>Grant date</w:t>
            </w:r>
          </w:p>
        </w:tc>
        <w:tc>
          <w:tcPr>
            <w:tcW w:w="1134" w:type="dxa"/>
            <w:tcBorders>
              <w:bottom w:val="single" w:sz="4" w:space="0" w:color="auto"/>
            </w:tcBorders>
          </w:tcPr>
          <w:p w14:paraId="6FC16564" w14:textId="77777777" w:rsidR="00271E37" w:rsidRPr="00C52EDE" w:rsidRDefault="00271E37">
            <w:r w:rsidRPr="00C52EDE">
              <w:t>Feb 2023</w:t>
            </w:r>
          </w:p>
        </w:tc>
        <w:tc>
          <w:tcPr>
            <w:tcW w:w="1134" w:type="dxa"/>
            <w:tcBorders>
              <w:bottom w:val="single" w:sz="4" w:space="0" w:color="auto"/>
            </w:tcBorders>
          </w:tcPr>
          <w:p w14:paraId="695BB16D" w14:textId="77777777" w:rsidR="00271E37" w:rsidRPr="00C52EDE" w:rsidRDefault="00271E37">
            <w:r>
              <w:t>Dec</w:t>
            </w:r>
            <w:r w:rsidRPr="00C52EDE">
              <w:t xml:space="preserve"> 2023</w:t>
            </w:r>
          </w:p>
        </w:tc>
        <w:tc>
          <w:tcPr>
            <w:tcW w:w="1134" w:type="dxa"/>
            <w:tcBorders>
              <w:bottom w:val="single" w:sz="4" w:space="0" w:color="auto"/>
            </w:tcBorders>
          </w:tcPr>
          <w:p w14:paraId="7DB2856D" w14:textId="77777777" w:rsidR="00271E37" w:rsidRPr="00C52EDE" w:rsidRDefault="00271E37">
            <w:r w:rsidRPr="00C52EDE">
              <w:t>Dec 202</w:t>
            </w:r>
            <w:r>
              <w:t>4</w:t>
            </w:r>
          </w:p>
        </w:tc>
        <w:tc>
          <w:tcPr>
            <w:tcW w:w="1134" w:type="dxa"/>
            <w:tcBorders>
              <w:bottom w:val="single" w:sz="4" w:space="0" w:color="auto"/>
            </w:tcBorders>
          </w:tcPr>
          <w:p w14:paraId="44B596D7" w14:textId="77777777" w:rsidR="00271E37" w:rsidRPr="00C52EDE" w:rsidRDefault="00271E37">
            <w:r>
              <w:t>Sep 2025</w:t>
            </w:r>
          </w:p>
        </w:tc>
      </w:tr>
      <w:tr w:rsidR="00271E37" w:rsidRPr="008F5634" w14:paraId="48EEBEE9" w14:textId="77777777">
        <w:tc>
          <w:tcPr>
            <w:tcW w:w="4962" w:type="dxa"/>
            <w:tcBorders>
              <w:top w:val="single" w:sz="4" w:space="0" w:color="auto"/>
            </w:tcBorders>
          </w:tcPr>
          <w:p w14:paraId="17FC81DD" w14:textId="77777777" w:rsidR="00271E37" w:rsidRPr="00C52EDE" w:rsidRDefault="00271E37">
            <w:pPr>
              <w:jc w:val="left"/>
            </w:pPr>
            <w:r w:rsidRPr="00C52EDE">
              <w:t>Fair value per share (£)</w:t>
            </w:r>
          </w:p>
        </w:tc>
        <w:tc>
          <w:tcPr>
            <w:tcW w:w="1134" w:type="dxa"/>
            <w:tcBorders>
              <w:top w:val="single" w:sz="4" w:space="0" w:color="auto"/>
            </w:tcBorders>
            <w:vAlign w:val="center"/>
          </w:tcPr>
          <w:p w14:paraId="4D0EBE32" w14:textId="77777777" w:rsidR="00271E37" w:rsidRDefault="00271E37">
            <w:pPr>
              <w:rPr>
                <w:rFonts w:cs="Arial"/>
                <w:color w:val="000000"/>
                <w:szCs w:val="16"/>
              </w:rPr>
            </w:pPr>
            <w:r>
              <w:rPr>
                <w:rFonts w:cs="Arial"/>
                <w:color w:val="000000"/>
                <w:szCs w:val="16"/>
              </w:rPr>
              <w:t xml:space="preserve">1.14 </w:t>
            </w:r>
          </w:p>
        </w:tc>
        <w:tc>
          <w:tcPr>
            <w:tcW w:w="1134" w:type="dxa"/>
            <w:tcBorders>
              <w:top w:val="single" w:sz="4" w:space="0" w:color="auto"/>
            </w:tcBorders>
            <w:vAlign w:val="center"/>
          </w:tcPr>
          <w:p w14:paraId="49A365DF" w14:textId="77777777" w:rsidR="00271E37" w:rsidRPr="00C52EDE" w:rsidRDefault="00271E37">
            <w:r>
              <w:rPr>
                <w:rFonts w:cs="Arial"/>
                <w:color w:val="000000"/>
                <w:szCs w:val="16"/>
              </w:rPr>
              <w:t xml:space="preserve">1.06 </w:t>
            </w:r>
          </w:p>
        </w:tc>
        <w:tc>
          <w:tcPr>
            <w:tcW w:w="1134" w:type="dxa"/>
            <w:tcBorders>
              <w:top w:val="single" w:sz="4" w:space="0" w:color="auto"/>
            </w:tcBorders>
            <w:vAlign w:val="center"/>
          </w:tcPr>
          <w:p w14:paraId="1C87F075" w14:textId="77777777" w:rsidR="00271E37" w:rsidRPr="00C52EDE" w:rsidRDefault="00271E37">
            <w:r>
              <w:rPr>
                <w:rFonts w:cs="Arial"/>
                <w:color w:val="000000"/>
                <w:szCs w:val="16"/>
              </w:rPr>
              <w:t xml:space="preserve">1.58 </w:t>
            </w:r>
          </w:p>
        </w:tc>
        <w:tc>
          <w:tcPr>
            <w:tcW w:w="1134" w:type="dxa"/>
            <w:tcBorders>
              <w:top w:val="single" w:sz="4" w:space="0" w:color="auto"/>
            </w:tcBorders>
            <w:vAlign w:val="center"/>
          </w:tcPr>
          <w:p w14:paraId="2620872E" w14:textId="77777777" w:rsidR="00271E37" w:rsidRPr="00C52EDE" w:rsidRDefault="00271E37">
            <w:r>
              <w:rPr>
                <w:rFonts w:cs="Arial"/>
                <w:color w:val="000000"/>
                <w:szCs w:val="16"/>
              </w:rPr>
              <w:t xml:space="preserve">0.43 </w:t>
            </w:r>
          </w:p>
        </w:tc>
      </w:tr>
      <w:tr w:rsidR="00271E37" w:rsidRPr="008F5634" w14:paraId="1BA5B116" w14:textId="77777777">
        <w:tc>
          <w:tcPr>
            <w:tcW w:w="4962" w:type="dxa"/>
          </w:tcPr>
          <w:p w14:paraId="0A1ECA43" w14:textId="77777777" w:rsidR="00271E37" w:rsidRPr="00C52EDE" w:rsidRDefault="00271E37">
            <w:pPr>
              <w:jc w:val="left"/>
            </w:pPr>
            <w:r w:rsidRPr="00C52EDE">
              <w:t>Number of participants</w:t>
            </w:r>
          </w:p>
        </w:tc>
        <w:tc>
          <w:tcPr>
            <w:tcW w:w="1134" w:type="dxa"/>
            <w:vAlign w:val="center"/>
          </w:tcPr>
          <w:p w14:paraId="5A42291B" w14:textId="77777777" w:rsidR="00271E37" w:rsidRDefault="00271E37">
            <w:pPr>
              <w:rPr>
                <w:rFonts w:cs="Arial"/>
                <w:color w:val="000000"/>
                <w:szCs w:val="16"/>
              </w:rPr>
            </w:pPr>
            <w:r>
              <w:rPr>
                <w:rFonts w:cs="Arial"/>
                <w:color w:val="000000"/>
                <w:szCs w:val="16"/>
              </w:rPr>
              <w:t xml:space="preserve">39 </w:t>
            </w:r>
          </w:p>
        </w:tc>
        <w:tc>
          <w:tcPr>
            <w:tcW w:w="1134" w:type="dxa"/>
            <w:vAlign w:val="center"/>
          </w:tcPr>
          <w:p w14:paraId="372FD690" w14:textId="77777777" w:rsidR="00271E37" w:rsidRPr="00C52EDE" w:rsidRDefault="00271E37">
            <w:r>
              <w:rPr>
                <w:rFonts w:cs="Arial"/>
                <w:color w:val="000000"/>
                <w:szCs w:val="16"/>
              </w:rPr>
              <w:t xml:space="preserve">43 </w:t>
            </w:r>
          </w:p>
        </w:tc>
        <w:tc>
          <w:tcPr>
            <w:tcW w:w="1134" w:type="dxa"/>
            <w:vAlign w:val="center"/>
          </w:tcPr>
          <w:p w14:paraId="41471F6A" w14:textId="77777777" w:rsidR="00271E37" w:rsidRPr="00C52EDE" w:rsidRDefault="00271E37">
            <w:r>
              <w:rPr>
                <w:rFonts w:cs="Arial"/>
                <w:color w:val="000000"/>
                <w:szCs w:val="16"/>
              </w:rPr>
              <w:t xml:space="preserve">44 </w:t>
            </w:r>
          </w:p>
        </w:tc>
        <w:tc>
          <w:tcPr>
            <w:tcW w:w="1134" w:type="dxa"/>
            <w:vAlign w:val="center"/>
          </w:tcPr>
          <w:p w14:paraId="608CFBD3" w14:textId="77777777" w:rsidR="00271E37" w:rsidRPr="00C52EDE" w:rsidRDefault="00271E37">
            <w:r>
              <w:rPr>
                <w:rFonts w:cs="Arial"/>
                <w:color w:val="000000"/>
                <w:szCs w:val="16"/>
              </w:rPr>
              <w:t xml:space="preserve">25 </w:t>
            </w:r>
          </w:p>
        </w:tc>
      </w:tr>
      <w:tr w:rsidR="00271E37" w:rsidRPr="008F5634" w14:paraId="6DECD751" w14:textId="77777777">
        <w:tc>
          <w:tcPr>
            <w:tcW w:w="4962" w:type="dxa"/>
            <w:tcBorders>
              <w:bottom w:val="nil"/>
            </w:tcBorders>
          </w:tcPr>
          <w:p w14:paraId="3E874DE4" w14:textId="77777777" w:rsidR="00271E37" w:rsidRPr="00C52EDE" w:rsidRDefault="00271E37">
            <w:pPr>
              <w:jc w:val="left"/>
            </w:pPr>
            <w:r w:rsidRPr="00C52EDE">
              <w:t>Initial award</w:t>
            </w:r>
          </w:p>
        </w:tc>
        <w:tc>
          <w:tcPr>
            <w:tcW w:w="1134" w:type="dxa"/>
            <w:tcBorders>
              <w:bottom w:val="nil"/>
            </w:tcBorders>
            <w:vAlign w:val="center"/>
          </w:tcPr>
          <w:p w14:paraId="67C406CE" w14:textId="77777777" w:rsidR="00271E37" w:rsidRDefault="00271E37">
            <w:pPr>
              <w:rPr>
                <w:rFonts w:cs="Arial"/>
                <w:color w:val="000000"/>
                <w:szCs w:val="16"/>
              </w:rPr>
            </w:pPr>
            <w:r>
              <w:rPr>
                <w:rFonts w:cs="Arial"/>
                <w:color w:val="000000"/>
                <w:szCs w:val="16"/>
              </w:rPr>
              <w:t xml:space="preserve">2,567,747 </w:t>
            </w:r>
          </w:p>
        </w:tc>
        <w:tc>
          <w:tcPr>
            <w:tcW w:w="1134" w:type="dxa"/>
            <w:tcBorders>
              <w:bottom w:val="nil"/>
            </w:tcBorders>
            <w:vAlign w:val="center"/>
          </w:tcPr>
          <w:p w14:paraId="66460B03" w14:textId="77777777" w:rsidR="00271E37" w:rsidRPr="00C52EDE" w:rsidRDefault="00271E37">
            <w:r>
              <w:rPr>
                <w:rFonts w:cs="Arial"/>
                <w:color w:val="000000"/>
                <w:szCs w:val="16"/>
              </w:rPr>
              <w:t xml:space="preserve">2,477,864 </w:t>
            </w:r>
          </w:p>
        </w:tc>
        <w:tc>
          <w:tcPr>
            <w:tcW w:w="1134" w:type="dxa"/>
            <w:tcBorders>
              <w:bottom w:val="nil"/>
            </w:tcBorders>
            <w:vAlign w:val="center"/>
          </w:tcPr>
          <w:p w14:paraId="28216DCC" w14:textId="77777777" w:rsidR="00271E37" w:rsidRPr="00C52EDE" w:rsidRDefault="00271E37">
            <w:r>
              <w:rPr>
                <w:rFonts w:cs="Arial"/>
                <w:color w:val="000000"/>
                <w:szCs w:val="16"/>
              </w:rPr>
              <w:t xml:space="preserve">1,530,958 </w:t>
            </w:r>
          </w:p>
        </w:tc>
        <w:tc>
          <w:tcPr>
            <w:tcW w:w="1134" w:type="dxa"/>
            <w:tcBorders>
              <w:bottom w:val="nil"/>
            </w:tcBorders>
            <w:vAlign w:val="center"/>
          </w:tcPr>
          <w:p w14:paraId="257E00AE" w14:textId="77777777" w:rsidR="00271E37" w:rsidRPr="00C52EDE" w:rsidRDefault="00271E37">
            <w:r>
              <w:rPr>
                <w:rFonts w:cs="Arial"/>
                <w:color w:val="000000"/>
                <w:szCs w:val="16"/>
              </w:rPr>
              <w:t xml:space="preserve">2,404,619 </w:t>
            </w:r>
          </w:p>
        </w:tc>
      </w:tr>
      <w:tr w:rsidR="00271E37" w:rsidRPr="008F5634" w14:paraId="7ED011B8" w14:textId="77777777">
        <w:tc>
          <w:tcPr>
            <w:tcW w:w="4962" w:type="dxa"/>
            <w:tcBorders>
              <w:bottom w:val="nil"/>
            </w:tcBorders>
          </w:tcPr>
          <w:p w14:paraId="320D42E6" w14:textId="77777777" w:rsidR="00271E37" w:rsidRPr="00C52EDE" w:rsidRDefault="00271E37">
            <w:pPr>
              <w:jc w:val="left"/>
            </w:pPr>
            <w:r w:rsidRPr="00C52EDE">
              <w:t>Lapses and forfeitures</w:t>
            </w:r>
          </w:p>
        </w:tc>
        <w:tc>
          <w:tcPr>
            <w:tcW w:w="1134" w:type="dxa"/>
            <w:tcBorders>
              <w:bottom w:val="nil"/>
            </w:tcBorders>
            <w:vAlign w:val="center"/>
          </w:tcPr>
          <w:p w14:paraId="41CC50CA" w14:textId="77777777" w:rsidR="00271E37" w:rsidRDefault="00271E37">
            <w:pPr>
              <w:rPr>
                <w:rFonts w:cs="Arial"/>
                <w:color w:val="000000"/>
                <w:szCs w:val="16"/>
              </w:rPr>
            </w:pPr>
            <w:r>
              <w:rPr>
                <w:rFonts w:cs="Arial"/>
                <w:color w:val="000000"/>
                <w:szCs w:val="16"/>
              </w:rPr>
              <w:t>(2,128,127)</w:t>
            </w:r>
          </w:p>
        </w:tc>
        <w:tc>
          <w:tcPr>
            <w:tcW w:w="1134" w:type="dxa"/>
            <w:tcBorders>
              <w:bottom w:val="nil"/>
            </w:tcBorders>
            <w:vAlign w:val="center"/>
          </w:tcPr>
          <w:p w14:paraId="56442A0D" w14:textId="77777777" w:rsidR="00271E37" w:rsidRPr="00C52EDE" w:rsidRDefault="00271E37">
            <w:r>
              <w:rPr>
                <w:rFonts w:cs="Arial"/>
                <w:color w:val="000000"/>
                <w:szCs w:val="16"/>
              </w:rPr>
              <w:t>(1,149,614)</w:t>
            </w:r>
          </w:p>
        </w:tc>
        <w:tc>
          <w:tcPr>
            <w:tcW w:w="1134" w:type="dxa"/>
            <w:tcBorders>
              <w:bottom w:val="nil"/>
            </w:tcBorders>
            <w:vAlign w:val="center"/>
          </w:tcPr>
          <w:p w14:paraId="100E184E" w14:textId="77777777" w:rsidR="00271E37" w:rsidRPr="00C52EDE" w:rsidRDefault="00271E37">
            <w:r>
              <w:rPr>
                <w:rFonts w:cs="Arial"/>
                <w:color w:val="000000"/>
                <w:szCs w:val="16"/>
              </w:rPr>
              <w:t>(705,127)</w:t>
            </w:r>
          </w:p>
        </w:tc>
        <w:tc>
          <w:tcPr>
            <w:tcW w:w="1134" w:type="dxa"/>
            <w:tcBorders>
              <w:bottom w:val="nil"/>
            </w:tcBorders>
            <w:vAlign w:val="center"/>
          </w:tcPr>
          <w:p w14:paraId="07C72B2D" w14:textId="77777777" w:rsidR="00271E37" w:rsidRPr="00C52EDE" w:rsidRDefault="00271E37">
            <w:r>
              <w:rPr>
                <w:rFonts w:cs="Arial"/>
                <w:color w:val="000000"/>
                <w:szCs w:val="16"/>
              </w:rPr>
              <w:t>(68,874)</w:t>
            </w:r>
          </w:p>
        </w:tc>
      </w:tr>
      <w:tr w:rsidR="00271E37" w:rsidRPr="00693B98" w14:paraId="4FA9CD71" w14:textId="77777777">
        <w:tc>
          <w:tcPr>
            <w:tcW w:w="4962" w:type="dxa"/>
            <w:tcBorders>
              <w:top w:val="nil"/>
              <w:bottom w:val="nil"/>
            </w:tcBorders>
          </w:tcPr>
          <w:p w14:paraId="0F44BEC7" w14:textId="77777777" w:rsidR="00271E37" w:rsidRPr="00693B98" w:rsidRDefault="00271E37">
            <w:pPr>
              <w:jc w:val="left"/>
            </w:pPr>
            <w:r w:rsidRPr="00693B98">
              <w:t>Cash-settled awards</w:t>
            </w:r>
          </w:p>
        </w:tc>
        <w:tc>
          <w:tcPr>
            <w:tcW w:w="1134" w:type="dxa"/>
            <w:tcBorders>
              <w:top w:val="nil"/>
              <w:bottom w:val="nil"/>
            </w:tcBorders>
            <w:vAlign w:val="center"/>
          </w:tcPr>
          <w:p w14:paraId="5B578061" w14:textId="77777777" w:rsidR="00271E37" w:rsidRPr="00693B98" w:rsidRDefault="00271E37">
            <w:pPr>
              <w:rPr>
                <w:rFonts w:cs="Arial"/>
                <w:color w:val="000000"/>
                <w:szCs w:val="16"/>
              </w:rPr>
            </w:pPr>
            <w:r>
              <w:rPr>
                <w:rFonts w:cs="Arial"/>
                <w:color w:val="000000"/>
                <w:szCs w:val="16"/>
              </w:rPr>
              <w:t>(249,171)</w:t>
            </w:r>
          </w:p>
        </w:tc>
        <w:tc>
          <w:tcPr>
            <w:tcW w:w="1134" w:type="dxa"/>
            <w:tcBorders>
              <w:top w:val="nil"/>
              <w:bottom w:val="nil"/>
            </w:tcBorders>
            <w:vAlign w:val="center"/>
          </w:tcPr>
          <w:p w14:paraId="46E4E9E5" w14:textId="77777777" w:rsidR="00271E37" w:rsidRPr="00693B98" w:rsidRDefault="00271E37">
            <w:r>
              <w:rPr>
                <w:rFonts w:cs="Arial"/>
                <w:color w:val="000000"/>
                <w:szCs w:val="16"/>
              </w:rPr>
              <w:t>(117,161)</w:t>
            </w:r>
          </w:p>
        </w:tc>
        <w:tc>
          <w:tcPr>
            <w:tcW w:w="1134" w:type="dxa"/>
            <w:tcBorders>
              <w:top w:val="nil"/>
              <w:bottom w:val="nil"/>
            </w:tcBorders>
            <w:vAlign w:val="center"/>
          </w:tcPr>
          <w:p w14:paraId="56EDDC2B" w14:textId="77777777" w:rsidR="00271E37" w:rsidRPr="00693B98" w:rsidRDefault="00271E37">
            <w:r>
              <w:rPr>
                <w:rFonts w:cs="Arial"/>
                <w:color w:val="000000"/>
                <w:szCs w:val="16"/>
              </w:rPr>
              <w:t>(33,057)</w:t>
            </w:r>
          </w:p>
        </w:tc>
        <w:tc>
          <w:tcPr>
            <w:tcW w:w="1134" w:type="dxa"/>
            <w:tcBorders>
              <w:top w:val="nil"/>
              <w:bottom w:val="nil"/>
            </w:tcBorders>
            <w:vAlign w:val="center"/>
          </w:tcPr>
          <w:p w14:paraId="7E243FA0" w14:textId="77777777" w:rsidR="00271E37" w:rsidRPr="00693B98" w:rsidRDefault="00271E37">
            <w:r>
              <w:rPr>
                <w:rFonts w:cs="Arial"/>
                <w:color w:val="000000"/>
                <w:szCs w:val="16"/>
              </w:rPr>
              <w:t xml:space="preserve"> - </w:t>
            </w:r>
          </w:p>
        </w:tc>
      </w:tr>
      <w:tr w:rsidR="00271E37" w:rsidRPr="00693B98" w14:paraId="3F19079C" w14:textId="77777777">
        <w:tc>
          <w:tcPr>
            <w:tcW w:w="4962" w:type="dxa"/>
            <w:tcBorders>
              <w:top w:val="nil"/>
              <w:bottom w:val="single" w:sz="4" w:space="0" w:color="000000"/>
            </w:tcBorders>
          </w:tcPr>
          <w:p w14:paraId="403B4CAE" w14:textId="77777777" w:rsidR="00271E37" w:rsidRPr="00693B98" w:rsidRDefault="00271E37">
            <w:pPr>
              <w:jc w:val="left"/>
            </w:pPr>
            <w:r w:rsidRPr="00693B98">
              <w:t>Exercises</w:t>
            </w:r>
          </w:p>
        </w:tc>
        <w:tc>
          <w:tcPr>
            <w:tcW w:w="1134" w:type="dxa"/>
            <w:tcBorders>
              <w:top w:val="nil"/>
              <w:bottom w:val="single" w:sz="4" w:space="0" w:color="000000"/>
            </w:tcBorders>
            <w:vAlign w:val="center"/>
          </w:tcPr>
          <w:p w14:paraId="3DF986E1" w14:textId="77777777" w:rsidR="00271E37" w:rsidRPr="00693B98" w:rsidRDefault="00271E37">
            <w:pPr>
              <w:rPr>
                <w:rFonts w:cs="Arial"/>
                <w:color w:val="000000"/>
                <w:szCs w:val="16"/>
              </w:rPr>
            </w:pPr>
            <w:r>
              <w:rPr>
                <w:rFonts w:cs="Arial"/>
                <w:color w:val="000000"/>
                <w:szCs w:val="16"/>
              </w:rPr>
              <w:t>(118,446)</w:t>
            </w:r>
          </w:p>
        </w:tc>
        <w:tc>
          <w:tcPr>
            <w:tcW w:w="1134" w:type="dxa"/>
            <w:tcBorders>
              <w:top w:val="nil"/>
              <w:bottom w:val="single" w:sz="4" w:space="0" w:color="000000"/>
            </w:tcBorders>
            <w:vAlign w:val="center"/>
          </w:tcPr>
          <w:p w14:paraId="28B82D26" w14:textId="77777777" w:rsidR="00271E37" w:rsidRPr="00693B98" w:rsidRDefault="00271E37">
            <w:r>
              <w:rPr>
                <w:rFonts w:cs="Arial"/>
                <w:color w:val="000000"/>
                <w:szCs w:val="16"/>
              </w:rPr>
              <w:t xml:space="preserve"> - </w:t>
            </w:r>
          </w:p>
        </w:tc>
        <w:tc>
          <w:tcPr>
            <w:tcW w:w="1134" w:type="dxa"/>
            <w:tcBorders>
              <w:top w:val="nil"/>
              <w:bottom w:val="single" w:sz="4" w:space="0" w:color="000000"/>
            </w:tcBorders>
            <w:vAlign w:val="center"/>
          </w:tcPr>
          <w:p w14:paraId="3CA8C241" w14:textId="77777777" w:rsidR="00271E37" w:rsidRPr="00693B98" w:rsidRDefault="00271E37">
            <w:r>
              <w:rPr>
                <w:rFonts w:cs="Arial"/>
                <w:color w:val="000000"/>
                <w:szCs w:val="16"/>
              </w:rPr>
              <w:t xml:space="preserve"> - </w:t>
            </w:r>
          </w:p>
        </w:tc>
        <w:tc>
          <w:tcPr>
            <w:tcW w:w="1134" w:type="dxa"/>
            <w:tcBorders>
              <w:top w:val="nil"/>
              <w:bottom w:val="single" w:sz="4" w:space="0" w:color="000000"/>
            </w:tcBorders>
            <w:vAlign w:val="center"/>
          </w:tcPr>
          <w:p w14:paraId="3130FAFA" w14:textId="77777777" w:rsidR="00271E37" w:rsidRPr="00693B98" w:rsidRDefault="00271E37">
            <w:r>
              <w:rPr>
                <w:rFonts w:cs="Arial"/>
                <w:color w:val="000000"/>
                <w:szCs w:val="16"/>
              </w:rPr>
              <w:t xml:space="preserve"> - </w:t>
            </w:r>
          </w:p>
        </w:tc>
      </w:tr>
      <w:tr w:rsidR="00271E37" w:rsidRPr="00693B98" w14:paraId="5EFAC2FD" w14:textId="77777777">
        <w:tc>
          <w:tcPr>
            <w:tcW w:w="4962" w:type="dxa"/>
            <w:tcBorders>
              <w:top w:val="nil"/>
              <w:bottom w:val="single" w:sz="4" w:space="0" w:color="000000"/>
            </w:tcBorders>
          </w:tcPr>
          <w:p w14:paraId="3E45CDC1" w14:textId="77777777" w:rsidR="00271E37" w:rsidRPr="00C624AF" w:rsidRDefault="00271E37">
            <w:pPr>
              <w:jc w:val="left"/>
              <w:rPr>
                <w:b/>
              </w:rPr>
            </w:pPr>
            <w:r w:rsidRPr="00C624AF">
              <w:rPr>
                <w:b/>
                <w:bCs/>
              </w:rPr>
              <w:t>Outstanding options as at 31 March 2026</w:t>
            </w:r>
          </w:p>
        </w:tc>
        <w:tc>
          <w:tcPr>
            <w:tcW w:w="1134" w:type="dxa"/>
            <w:tcBorders>
              <w:top w:val="nil"/>
              <w:bottom w:val="single" w:sz="4" w:space="0" w:color="000000"/>
            </w:tcBorders>
            <w:vAlign w:val="center"/>
          </w:tcPr>
          <w:p w14:paraId="16F3360A" w14:textId="77777777" w:rsidR="00271E37" w:rsidRDefault="00271E37">
            <w:pPr>
              <w:rPr>
                <w:rFonts w:cs="Arial"/>
                <w:color w:val="000000"/>
                <w:szCs w:val="16"/>
              </w:rPr>
            </w:pPr>
            <w:r>
              <w:rPr>
                <w:rFonts w:cs="Arial"/>
                <w:b/>
                <w:bCs/>
                <w:color w:val="000000"/>
                <w:szCs w:val="16"/>
              </w:rPr>
              <w:t xml:space="preserve">72,003 </w:t>
            </w:r>
          </w:p>
        </w:tc>
        <w:tc>
          <w:tcPr>
            <w:tcW w:w="1134" w:type="dxa"/>
            <w:tcBorders>
              <w:top w:val="nil"/>
              <w:bottom w:val="single" w:sz="4" w:space="0" w:color="000000"/>
            </w:tcBorders>
            <w:vAlign w:val="center"/>
          </w:tcPr>
          <w:p w14:paraId="0B6CD7B5" w14:textId="77777777" w:rsidR="00271E37" w:rsidRDefault="00271E37">
            <w:pPr>
              <w:rPr>
                <w:rFonts w:cs="Arial"/>
                <w:color w:val="000000"/>
                <w:szCs w:val="16"/>
              </w:rPr>
            </w:pPr>
            <w:r>
              <w:rPr>
                <w:rFonts w:cs="Arial"/>
                <w:b/>
                <w:bCs/>
                <w:color w:val="000000"/>
                <w:szCs w:val="16"/>
              </w:rPr>
              <w:t xml:space="preserve"> - </w:t>
            </w:r>
          </w:p>
        </w:tc>
        <w:tc>
          <w:tcPr>
            <w:tcW w:w="1134" w:type="dxa"/>
            <w:tcBorders>
              <w:top w:val="nil"/>
              <w:bottom w:val="single" w:sz="4" w:space="0" w:color="000000"/>
            </w:tcBorders>
            <w:vAlign w:val="center"/>
          </w:tcPr>
          <w:p w14:paraId="699BE576" w14:textId="77777777" w:rsidR="00271E37" w:rsidRDefault="00271E37">
            <w:pPr>
              <w:rPr>
                <w:rFonts w:cs="Arial"/>
                <w:color w:val="000000"/>
                <w:szCs w:val="16"/>
              </w:rPr>
            </w:pPr>
            <w:r>
              <w:rPr>
                <w:rFonts w:cs="Arial"/>
                <w:b/>
                <w:bCs/>
                <w:color w:val="000000"/>
                <w:szCs w:val="16"/>
              </w:rPr>
              <w:t xml:space="preserve"> - </w:t>
            </w:r>
          </w:p>
        </w:tc>
        <w:tc>
          <w:tcPr>
            <w:tcW w:w="1134" w:type="dxa"/>
            <w:tcBorders>
              <w:top w:val="nil"/>
              <w:bottom w:val="single" w:sz="4" w:space="0" w:color="000000"/>
            </w:tcBorders>
            <w:vAlign w:val="center"/>
          </w:tcPr>
          <w:p w14:paraId="1CBECE3D" w14:textId="77777777" w:rsidR="00271E37" w:rsidRDefault="00271E37">
            <w:pPr>
              <w:rPr>
                <w:rFonts w:cs="Arial"/>
                <w:color w:val="000000"/>
                <w:szCs w:val="16"/>
              </w:rPr>
            </w:pPr>
            <w:r>
              <w:rPr>
                <w:rFonts w:cs="Arial"/>
                <w:b/>
                <w:bCs/>
                <w:color w:val="000000"/>
                <w:szCs w:val="16"/>
              </w:rPr>
              <w:t xml:space="preserve"> - </w:t>
            </w:r>
          </w:p>
        </w:tc>
      </w:tr>
      <w:tr w:rsidR="00271E37" w:rsidRPr="008F5634" w14:paraId="2D74A2F2" w14:textId="77777777">
        <w:tc>
          <w:tcPr>
            <w:tcW w:w="4962" w:type="dxa"/>
            <w:tcBorders>
              <w:top w:val="single" w:sz="4" w:space="0" w:color="000000"/>
              <w:bottom w:val="single" w:sz="4" w:space="0" w:color="auto"/>
            </w:tcBorders>
          </w:tcPr>
          <w:p w14:paraId="55175307" w14:textId="77777777" w:rsidR="00271E37" w:rsidRPr="00C52EDE" w:rsidRDefault="00271E37">
            <w:pPr>
              <w:jc w:val="left"/>
              <w:rPr>
                <w:b/>
                <w:bCs/>
              </w:rPr>
            </w:pPr>
            <w:r>
              <w:rPr>
                <w:b/>
                <w:bCs/>
              </w:rPr>
              <w:t>Potential</w:t>
            </w:r>
            <w:r w:rsidRPr="00C52EDE">
              <w:rPr>
                <w:b/>
                <w:bCs/>
              </w:rPr>
              <w:t xml:space="preserve"> to vest as at 31 March </w:t>
            </w:r>
            <w:r w:rsidRPr="6B3E59DC">
              <w:rPr>
                <w:b/>
                <w:bCs/>
              </w:rPr>
              <w:t>202</w:t>
            </w:r>
            <w:r>
              <w:rPr>
                <w:b/>
                <w:bCs/>
              </w:rPr>
              <w:t>6</w:t>
            </w:r>
          </w:p>
        </w:tc>
        <w:tc>
          <w:tcPr>
            <w:tcW w:w="1134" w:type="dxa"/>
            <w:tcBorders>
              <w:top w:val="single" w:sz="4" w:space="0" w:color="000000"/>
              <w:bottom w:val="single" w:sz="4" w:space="0" w:color="auto"/>
            </w:tcBorders>
            <w:vAlign w:val="center"/>
          </w:tcPr>
          <w:p w14:paraId="7AD91BB1" w14:textId="77777777" w:rsidR="00271E37" w:rsidRDefault="00271E37">
            <w:pPr>
              <w:rPr>
                <w:rFonts w:cs="Arial"/>
                <w:b/>
                <w:bCs/>
                <w:color w:val="000000"/>
                <w:szCs w:val="16"/>
              </w:rPr>
            </w:pPr>
            <w:r>
              <w:rPr>
                <w:rFonts w:cs="Arial"/>
                <w:b/>
                <w:bCs/>
                <w:color w:val="000000"/>
                <w:szCs w:val="16"/>
              </w:rPr>
              <w:t xml:space="preserve">- </w:t>
            </w:r>
          </w:p>
        </w:tc>
        <w:tc>
          <w:tcPr>
            <w:tcW w:w="1134" w:type="dxa"/>
            <w:tcBorders>
              <w:top w:val="single" w:sz="4" w:space="0" w:color="000000"/>
              <w:bottom w:val="single" w:sz="4" w:space="0" w:color="auto"/>
            </w:tcBorders>
            <w:vAlign w:val="center"/>
          </w:tcPr>
          <w:p w14:paraId="76084192" w14:textId="77777777" w:rsidR="00271E37" w:rsidRPr="00C52EDE" w:rsidRDefault="00271E37">
            <w:pPr>
              <w:rPr>
                <w:b/>
                <w:bCs/>
              </w:rPr>
            </w:pPr>
            <w:r>
              <w:rPr>
                <w:rFonts w:cs="Arial"/>
                <w:b/>
                <w:bCs/>
                <w:color w:val="000000"/>
                <w:szCs w:val="16"/>
              </w:rPr>
              <w:t xml:space="preserve">1,211,089 </w:t>
            </w:r>
          </w:p>
        </w:tc>
        <w:tc>
          <w:tcPr>
            <w:tcW w:w="1134" w:type="dxa"/>
            <w:tcBorders>
              <w:top w:val="single" w:sz="4" w:space="0" w:color="000000"/>
              <w:bottom w:val="single" w:sz="4" w:space="0" w:color="auto"/>
            </w:tcBorders>
            <w:vAlign w:val="center"/>
          </w:tcPr>
          <w:p w14:paraId="35C86A03" w14:textId="77777777" w:rsidR="00271E37" w:rsidRPr="00C52EDE" w:rsidRDefault="00271E37">
            <w:pPr>
              <w:rPr>
                <w:b/>
                <w:bCs/>
              </w:rPr>
            </w:pPr>
            <w:r>
              <w:rPr>
                <w:rFonts w:cs="Arial"/>
                <w:b/>
                <w:bCs/>
                <w:color w:val="000000"/>
                <w:szCs w:val="16"/>
              </w:rPr>
              <w:t xml:space="preserve">792,774 </w:t>
            </w:r>
          </w:p>
        </w:tc>
        <w:tc>
          <w:tcPr>
            <w:tcW w:w="1134" w:type="dxa"/>
            <w:tcBorders>
              <w:top w:val="single" w:sz="4" w:space="0" w:color="000000"/>
              <w:bottom w:val="single" w:sz="4" w:space="0" w:color="auto"/>
            </w:tcBorders>
            <w:vAlign w:val="center"/>
          </w:tcPr>
          <w:p w14:paraId="6497C530" w14:textId="77777777" w:rsidR="00271E37" w:rsidRPr="00C52EDE" w:rsidRDefault="00271E37">
            <w:pPr>
              <w:rPr>
                <w:b/>
                <w:bCs/>
              </w:rPr>
            </w:pPr>
            <w:r>
              <w:rPr>
                <w:rFonts w:cs="Arial"/>
                <w:b/>
                <w:bCs/>
                <w:color w:val="000000"/>
                <w:szCs w:val="16"/>
              </w:rPr>
              <w:t xml:space="preserve">2,335,745 </w:t>
            </w:r>
          </w:p>
        </w:tc>
      </w:tr>
      <w:tr w:rsidR="00271E37" w:rsidRPr="007B5555" w14:paraId="5F28D338" w14:textId="77777777">
        <w:tc>
          <w:tcPr>
            <w:tcW w:w="4962" w:type="dxa"/>
            <w:tcBorders>
              <w:top w:val="single" w:sz="4" w:space="0" w:color="auto"/>
              <w:bottom w:val="single" w:sz="4" w:space="0" w:color="auto"/>
            </w:tcBorders>
          </w:tcPr>
          <w:p w14:paraId="6E9BF5F4" w14:textId="77777777" w:rsidR="00271E37" w:rsidRPr="00C52EDE" w:rsidRDefault="00271E37">
            <w:pPr>
              <w:jc w:val="left"/>
            </w:pPr>
            <w:r>
              <w:t>Vested/p</w:t>
            </w:r>
            <w:r w:rsidRPr="00C52EDE">
              <w:t xml:space="preserve">otential to vest as at 31 March </w:t>
            </w:r>
            <w:r>
              <w:t>2025</w:t>
            </w:r>
          </w:p>
        </w:tc>
        <w:tc>
          <w:tcPr>
            <w:tcW w:w="1134" w:type="dxa"/>
            <w:tcBorders>
              <w:top w:val="single" w:sz="4" w:space="0" w:color="auto"/>
              <w:bottom w:val="single" w:sz="4" w:space="0" w:color="auto"/>
            </w:tcBorders>
            <w:vAlign w:val="center"/>
          </w:tcPr>
          <w:p w14:paraId="70377BE3" w14:textId="77777777" w:rsidR="00271E37" w:rsidRPr="007B5555" w:rsidRDefault="00271E37">
            <w:pPr>
              <w:rPr>
                <w:rFonts w:cs="Arial"/>
                <w:color w:val="000000"/>
                <w:szCs w:val="16"/>
              </w:rPr>
            </w:pPr>
            <w:r w:rsidRPr="007B5555">
              <w:rPr>
                <w:rFonts w:cs="Arial"/>
                <w:color w:val="000000"/>
                <w:szCs w:val="16"/>
              </w:rPr>
              <w:t xml:space="preserve">1,826,847 </w:t>
            </w:r>
          </w:p>
        </w:tc>
        <w:tc>
          <w:tcPr>
            <w:tcW w:w="1134" w:type="dxa"/>
            <w:tcBorders>
              <w:top w:val="single" w:sz="4" w:space="0" w:color="auto"/>
              <w:bottom w:val="single" w:sz="4" w:space="0" w:color="auto"/>
            </w:tcBorders>
            <w:vAlign w:val="center"/>
          </w:tcPr>
          <w:p w14:paraId="1B98A32F" w14:textId="77777777" w:rsidR="00271E37" w:rsidRPr="007B5555" w:rsidRDefault="00271E37">
            <w:r w:rsidRPr="007B5555">
              <w:rPr>
                <w:rFonts w:cs="Arial"/>
                <w:color w:val="000000"/>
                <w:szCs w:val="16"/>
              </w:rPr>
              <w:t>1</w:t>
            </w:r>
            <w:r>
              <w:rPr>
                <w:rFonts w:cs="Arial"/>
                <w:color w:val="000000"/>
                <w:szCs w:val="16"/>
              </w:rPr>
              <w:t>,</w:t>
            </w:r>
            <w:r w:rsidRPr="007B5555">
              <w:rPr>
                <w:rFonts w:cs="Arial"/>
                <w:color w:val="000000"/>
                <w:szCs w:val="16"/>
              </w:rPr>
              <w:t>75</w:t>
            </w:r>
            <w:r>
              <w:rPr>
                <w:rFonts w:cs="Arial"/>
                <w:color w:val="000000"/>
                <w:szCs w:val="16"/>
              </w:rPr>
              <w:t>3</w:t>
            </w:r>
            <w:r w:rsidRPr="007B5555">
              <w:rPr>
                <w:rFonts w:cs="Arial"/>
                <w:color w:val="000000"/>
                <w:szCs w:val="16"/>
              </w:rPr>
              <w:t xml:space="preserve">,743 </w:t>
            </w:r>
          </w:p>
        </w:tc>
        <w:tc>
          <w:tcPr>
            <w:tcW w:w="1134" w:type="dxa"/>
            <w:tcBorders>
              <w:top w:val="single" w:sz="4" w:space="0" w:color="auto"/>
              <w:bottom w:val="single" w:sz="4" w:space="0" w:color="auto"/>
            </w:tcBorders>
            <w:vAlign w:val="center"/>
          </w:tcPr>
          <w:p w14:paraId="49B91552" w14:textId="77777777" w:rsidR="00271E37" w:rsidRPr="007B5555" w:rsidRDefault="00271E37">
            <w:r w:rsidRPr="007B5555">
              <w:rPr>
                <w:rFonts w:cs="Arial"/>
                <w:color w:val="000000"/>
                <w:szCs w:val="16"/>
              </w:rPr>
              <w:t xml:space="preserve">1,284,633 </w:t>
            </w:r>
          </w:p>
        </w:tc>
        <w:tc>
          <w:tcPr>
            <w:tcW w:w="1134" w:type="dxa"/>
            <w:tcBorders>
              <w:top w:val="single" w:sz="4" w:space="0" w:color="auto"/>
              <w:bottom w:val="single" w:sz="4" w:space="0" w:color="auto"/>
            </w:tcBorders>
            <w:vAlign w:val="center"/>
          </w:tcPr>
          <w:p w14:paraId="5C73BD0F" w14:textId="77777777" w:rsidR="00271E37" w:rsidRPr="007B5555" w:rsidRDefault="00271E37">
            <w:r w:rsidRPr="007B5555">
              <w:rPr>
                <w:rFonts w:cs="Arial"/>
                <w:color w:val="000000"/>
                <w:szCs w:val="16"/>
              </w:rPr>
              <w:t xml:space="preserve"> - </w:t>
            </w:r>
          </w:p>
        </w:tc>
      </w:tr>
      <w:tr w:rsidR="00271E37" w:rsidRPr="00E40A72" w14:paraId="256DC462" w14:textId="77777777">
        <w:tc>
          <w:tcPr>
            <w:tcW w:w="4962" w:type="dxa"/>
            <w:tcBorders>
              <w:top w:val="single" w:sz="4" w:space="0" w:color="auto"/>
            </w:tcBorders>
          </w:tcPr>
          <w:p w14:paraId="3C3C0554" w14:textId="77777777" w:rsidR="00271E37" w:rsidRPr="00C52EDE" w:rsidRDefault="00271E37">
            <w:pPr>
              <w:jc w:val="left"/>
            </w:pPr>
            <w:r w:rsidRPr="00C52EDE">
              <w:t>Weighted average remaining contractual life of options outstanding at the end of the year</w:t>
            </w:r>
          </w:p>
        </w:tc>
        <w:tc>
          <w:tcPr>
            <w:tcW w:w="1134" w:type="dxa"/>
            <w:tcBorders>
              <w:top w:val="single" w:sz="4" w:space="0" w:color="auto"/>
            </w:tcBorders>
            <w:vAlign w:val="center"/>
          </w:tcPr>
          <w:p w14:paraId="65A53643" w14:textId="77777777" w:rsidR="00271E37" w:rsidRDefault="00271E37">
            <w:pPr>
              <w:rPr>
                <w:rFonts w:cs="Arial"/>
                <w:color w:val="000000"/>
                <w:szCs w:val="16"/>
              </w:rPr>
            </w:pPr>
            <w:r>
              <w:rPr>
                <w:rFonts w:cs="Arial"/>
                <w:color w:val="000000"/>
                <w:szCs w:val="16"/>
              </w:rPr>
              <w:t xml:space="preserve">6.4 </w:t>
            </w:r>
          </w:p>
        </w:tc>
        <w:tc>
          <w:tcPr>
            <w:tcW w:w="1134" w:type="dxa"/>
            <w:tcBorders>
              <w:top w:val="single" w:sz="4" w:space="0" w:color="auto"/>
            </w:tcBorders>
            <w:vAlign w:val="center"/>
          </w:tcPr>
          <w:p w14:paraId="0E1FA4E0" w14:textId="77777777" w:rsidR="00271E37" w:rsidRPr="00C52EDE" w:rsidRDefault="00271E37">
            <w:r>
              <w:rPr>
                <w:rFonts w:cs="Arial"/>
                <w:color w:val="000000"/>
                <w:szCs w:val="16"/>
              </w:rPr>
              <w:t xml:space="preserve">5.8 </w:t>
            </w:r>
          </w:p>
        </w:tc>
        <w:tc>
          <w:tcPr>
            <w:tcW w:w="1134" w:type="dxa"/>
            <w:tcBorders>
              <w:top w:val="single" w:sz="4" w:space="0" w:color="auto"/>
            </w:tcBorders>
            <w:vAlign w:val="center"/>
          </w:tcPr>
          <w:p w14:paraId="6F04D481" w14:textId="77777777" w:rsidR="00271E37" w:rsidRPr="00C52EDE" w:rsidRDefault="00271E37">
            <w:r>
              <w:rPr>
                <w:rFonts w:cs="Arial"/>
                <w:color w:val="000000"/>
                <w:szCs w:val="16"/>
              </w:rPr>
              <w:t xml:space="preserve">7.5 </w:t>
            </w:r>
          </w:p>
        </w:tc>
        <w:tc>
          <w:tcPr>
            <w:tcW w:w="1134" w:type="dxa"/>
            <w:tcBorders>
              <w:top w:val="single" w:sz="4" w:space="0" w:color="auto"/>
            </w:tcBorders>
            <w:vAlign w:val="center"/>
          </w:tcPr>
          <w:p w14:paraId="27593C5F" w14:textId="77777777" w:rsidR="00271E37" w:rsidRPr="00C52EDE" w:rsidRDefault="00271E37">
            <w:r>
              <w:rPr>
                <w:rFonts w:cs="Arial"/>
                <w:color w:val="000000"/>
                <w:szCs w:val="16"/>
              </w:rPr>
              <w:t xml:space="preserve">9.5 </w:t>
            </w:r>
          </w:p>
        </w:tc>
      </w:tr>
    </w:tbl>
    <w:p w14:paraId="7F139C18" w14:textId="77777777" w:rsidR="00271E37" w:rsidRDefault="00271E37" w:rsidP="002E39D4"/>
    <w:p w14:paraId="2E584346" w14:textId="77777777" w:rsidR="00271E37" w:rsidRDefault="00271E37">
      <w:r>
        <w:t>The grant date fair value of the LTIP awards granted in the year, assuming they are to vest in full, is £1.0 million.</w:t>
      </w:r>
    </w:p>
    <w:p w14:paraId="0B19A654" w14:textId="77777777" w:rsidR="00271E37" w:rsidRDefault="00271E37"/>
    <w:p w14:paraId="720EAC72" w14:textId="77777777" w:rsidR="00271E37" w:rsidRDefault="00271E37" w:rsidP="002E39D4">
      <w:r>
        <w:t xml:space="preserve">The grant date fair values of the 2025-2028 scheme were determined using the following factors: </w:t>
      </w:r>
    </w:p>
    <w:p w14:paraId="37FA79A4" w14:textId="77777777" w:rsidR="00271E37" w:rsidRDefault="00271E37" w:rsidP="002E39D4"/>
    <w:tbl>
      <w:tblPr>
        <w:tblStyle w:val="tableDUL"/>
        <w:tblW w:w="9639" w:type="dxa"/>
        <w:tblLook w:val="04A0" w:firstRow="1" w:lastRow="0" w:firstColumn="1" w:lastColumn="0" w:noHBand="0" w:noVBand="1"/>
      </w:tblPr>
      <w:tblGrid>
        <w:gridCol w:w="2835"/>
        <w:gridCol w:w="6804"/>
      </w:tblGrid>
      <w:tr w:rsidR="00271E37" w:rsidRPr="00E40A72" w14:paraId="6BF1ACB0" w14:textId="77777777">
        <w:tc>
          <w:tcPr>
            <w:tcW w:w="2835" w:type="dxa"/>
          </w:tcPr>
          <w:p w14:paraId="1F195588" w14:textId="77777777" w:rsidR="00271E37" w:rsidRPr="00E40A72" w:rsidRDefault="00271E37">
            <w:pPr>
              <w:jc w:val="left"/>
            </w:pPr>
            <w:r w:rsidRPr="00E40A72">
              <w:t>Share price (£)</w:t>
            </w:r>
          </w:p>
        </w:tc>
        <w:tc>
          <w:tcPr>
            <w:tcW w:w="6804" w:type="dxa"/>
            <w:vAlign w:val="center"/>
          </w:tcPr>
          <w:p w14:paraId="29F30ACA" w14:textId="77777777" w:rsidR="00271E37" w:rsidRPr="00E40A72" w:rsidRDefault="00271E37">
            <w:r>
              <w:rPr>
                <w:rFonts w:cs="Arial"/>
                <w:color w:val="000000"/>
                <w:szCs w:val="16"/>
              </w:rPr>
              <w:t>0.55</w:t>
            </w:r>
          </w:p>
        </w:tc>
      </w:tr>
      <w:tr w:rsidR="00271E37" w:rsidRPr="00E40A72" w14:paraId="3727B228" w14:textId="77777777">
        <w:tc>
          <w:tcPr>
            <w:tcW w:w="2835" w:type="dxa"/>
          </w:tcPr>
          <w:p w14:paraId="317ADCD1" w14:textId="77777777" w:rsidR="00271E37" w:rsidRPr="00E40A72" w:rsidRDefault="00271E37">
            <w:pPr>
              <w:jc w:val="left"/>
            </w:pPr>
            <w:r w:rsidRPr="00E40A72">
              <w:t>Exercise price</w:t>
            </w:r>
          </w:p>
        </w:tc>
        <w:tc>
          <w:tcPr>
            <w:tcW w:w="6804" w:type="dxa"/>
            <w:vAlign w:val="center"/>
          </w:tcPr>
          <w:p w14:paraId="51760196" w14:textId="69C30662" w:rsidR="00271E37" w:rsidRPr="00E40A72" w:rsidRDefault="00CF256A">
            <w:r>
              <w:rPr>
                <w:rFonts w:cs="Arial"/>
                <w:color w:val="000000"/>
                <w:szCs w:val="16"/>
              </w:rPr>
              <w:t>n</w:t>
            </w:r>
            <w:r w:rsidR="00271E37">
              <w:rPr>
                <w:rFonts w:cs="Arial"/>
                <w:color w:val="000000"/>
                <w:szCs w:val="16"/>
              </w:rPr>
              <w:t>il</w:t>
            </w:r>
          </w:p>
        </w:tc>
      </w:tr>
      <w:tr w:rsidR="00271E37" w:rsidRPr="00E40A72" w14:paraId="35D48C7E" w14:textId="77777777">
        <w:tc>
          <w:tcPr>
            <w:tcW w:w="2835" w:type="dxa"/>
          </w:tcPr>
          <w:p w14:paraId="08EA7A22" w14:textId="77777777" w:rsidR="00271E37" w:rsidRPr="00E40A72" w:rsidRDefault="00271E37">
            <w:pPr>
              <w:jc w:val="left"/>
            </w:pPr>
            <w:r w:rsidRPr="00E40A72">
              <w:t>Expected term</w:t>
            </w:r>
          </w:p>
        </w:tc>
        <w:tc>
          <w:tcPr>
            <w:tcW w:w="6804" w:type="dxa"/>
            <w:vAlign w:val="center"/>
          </w:tcPr>
          <w:p w14:paraId="265C1669" w14:textId="77777777" w:rsidR="00271E37" w:rsidRPr="00E40A72" w:rsidRDefault="00271E37">
            <w:r>
              <w:rPr>
                <w:rFonts w:cs="Arial"/>
                <w:color w:val="000000"/>
                <w:szCs w:val="16"/>
              </w:rPr>
              <w:t>3 years (additional 2 years for holding period)</w:t>
            </w:r>
          </w:p>
        </w:tc>
      </w:tr>
      <w:tr w:rsidR="00271E37" w:rsidRPr="00E40A72" w14:paraId="75D5AB3E" w14:textId="77777777">
        <w:tc>
          <w:tcPr>
            <w:tcW w:w="2835" w:type="dxa"/>
          </w:tcPr>
          <w:p w14:paraId="361E8927" w14:textId="77777777" w:rsidR="00271E37" w:rsidRPr="00E40A72" w:rsidRDefault="00271E37">
            <w:pPr>
              <w:jc w:val="left"/>
            </w:pPr>
            <w:r w:rsidRPr="00E40A72">
              <w:t>Risk-free interest rate</w:t>
            </w:r>
          </w:p>
        </w:tc>
        <w:tc>
          <w:tcPr>
            <w:tcW w:w="6804" w:type="dxa"/>
            <w:vAlign w:val="center"/>
          </w:tcPr>
          <w:p w14:paraId="4C806CAB" w14:textId="77777777" w:rsidR="00271E37" w:rsidRPr="00E40A72" w:rsidRDefault="00271E37">
            <w:r>
              <w:rPr>
                <w:rFonts w:cs="Arial"/>
                <w:color w:val="000000"/>
                <w:szCs w:val="16"/>
              </w:rPr>
              <w:t>3.99% (4.14% for awards with holding period)</w:t>
            </w:r>
          </w:p>
        </w:tc>
      </w:tr>
      <w:tr w:rsidR="00271E37" w:rsidRPr="00E40A72" w14:paraId="43A60C48" w14:textId="77777777">
        <w:tc>
          <w:tcPr>
            <w:tcW w:w="2835" w:type="dxa"/>
          </w:tcPr>
          <w:p w14:paraId="21176289" w14:textId="77777777" w:rsidR="00271E37" w:rsidRPr="00E40A72" w:rsidRDefault="00271E37">
            <w:pPr>
              <w:jc w:val="left"/>
            </w:pPr>
            <w:r w:rsidRPr="00E40A72">
              <w:t>Expected dividend yield</w:t>
            </w:r>
          </w:p>
        </w:tc>
        <w:tc>
          <w:tcPr>
            <w:tcW w:w="6804" w:type="dxa"/>
            <w:vAlign w:val="center"/>
          </w:tcPr>
          <w:p w14:paraId="192BE2BC" w14:textId="77777777" w:rsidR="00271E37" w:rsidRPr="00E40A72" w:rsidRDefault="00271E37">
            <w:r>
              <w:rPr>
                <w:rFonts w:cs="Arial"/>
                <w:color w:val="000000"/>
                <w:szCs w:val="16"/>
              </w:rPr>
              <w:t>0%</w:t>
            </w:r>
          </w:p>
        </w:tc>
      </w:tr>
    </w:tbl>
    <w:p w14:paraId="5431F2A8" w14:textId="77777777" w:rsidR="00271E37" w:rsidRDefault="00271E37" w:rsidP="002E39D4"/>
    <w:p w14:paraId="1B370255" w14:textId="77777777" w:rsidR="00271E37" w:rsidRPr="00E40A72" w:rsidRDefault="00271E37" w:rsidP="002E39D4">
      <w:pPr>
        <w:rPr>
          <w:i/>
          <w:iCs/>
        </w:rPr>
      </w:pPr>
      <w:r w:rsidRPr="00E40A72">
        <w:rPr>
          <w:i/>
          <w:iCs/>
        </w:rPr>
        <w:t>LTIP performance targets</w:t>
      </w:r>
    </w:p>
    <w:p w14:paraId="28612E8D" w14:textId="77777777" w:rsidR="00271E37" w:rsidRDefault="00271E37" w:rsidP="002E39D4">
      <w:r>
        <w:t xml:space="preserve">Individuals were granted performance share awards under the 2022-2025, 2023-2026, 2024-2027 </w:t>
      </w:r>
      <w:r w:rsidRPr="009D526A">
        <w:t>and 2025-2028</w:t>
      </w:r>
      <w:r>
        <w:t xml:space="preserve"> schemes. Some individuals were also awarded restricted share awards which are not subject to any performance condition (other than an underpin condition) and the vesting is dependent on a continued service requirement. The vesting of performance share awards are subject to a continued service requirement. The extent of vesting is subject to outturn against performance conditions.</w:t>
      </w:r>
    </w:p>
    <w:p w14:paraId="3343AF7D" w14:textId="77777777" w:rsidR="00271E37" w:rsidRDefault="00271E37" w:rsidP="002E39D4"/>
    <w:p w14:paraId="46B02733" w14:textId="1BDB0DB9" w:rsidR="00271E37" w:rsidRDefault="00271E37" w:rsidP="002E39D4">
      <w:r>
        <w:t xml:space="preserve">The performance share awards are weighted two-thirds towards a Relative Total Shareholder Return (TSR) metric and one-third </w:t>
      </w:r>
      <w:r w:rsidR="00956844">
        <w:t xml:space="preserve">towards an </w:t>
      </w:r>
      <w:r>
        <w:t>Earnings Per Share metric as the performance measures. The TSR metric is a measurement of TSR by the Group relative to a peer group of the FTSE SmallCap</w:t>
      </w:r>
      <w:r w:rsidR="0049784E">
        <w:t>,</w:t>
      </w:r>
      <w:r>
        <w:t xml:space="preserve"> excluding Investment Trusts.</w:t>
      </w:r>
    </w:p>
    <w:p w14:paraId="6EDCB2BB" w14:textId="77777777" w:rsidR="00271E37" w:rsidRDefault="00271E37" w:rsidP="002E39D4"/>
    <w:p w14:paraId="23C19CA8" w14:textId="77777777" w:rsidR="00271E37" w:rsidRDefault="00271E37" w:rsidP="002E39D4">
      <w:r>
        <w:t>An underpin condition was also applied to the awards that allows the Remuneration Committee to reduce vesting levels if it determines that vesting outcomes reflect unwarranted windfall gains from share price movements.</w:t>
      </w:r>
    </w:p>
    <w:p w14:paraId="55A3A216" w14:textId="77777777" w:rsidR="00271E37" w:rsidRDefault="00271E37">
      <w:pPr>
        <w:rPr>
          <w:i/>
          <w:iCs/>
        </w:rPr>
      </w:pPr>
    </w:p>
    <w:p w14:paraId="018E03A8" w14:textId="77777777" w:rsidR="00271E37" w:rsidRPr="009953E0" w:rsidRDefault="00271E37" w:rsidP="002E39D4">
      <w:pPr>
        <w:rPr>
          <w:i/>
          <w:iCs/>
        </w:rPr>
      </w:pPr>
      <w:r w:rsidRPr="009953E0">
        <w:rPr>
          <w:i/>
          <w:iCs/>
        </w:rPr>
        <w:t>Share-based payments charges/(credits)</w:t>
      </w:r>
    </w:p>
    <w:p w14:paraId="402EF975" w14:textId="77777777" w:rsidR="00271E37" w:rsidRDefault="00271E37" w:rsidP="002E39D4">
      <w:r>
        <w:t>The total charge/(credit) recognised for the year arising from equity</w:t>
      </w:r>
      <w:r>
        <w:rPr>
          <w:rFonts w:ascii="Cambria Math" w:hAnsi="Cambria Math" w:cs="Cambria Math"/>
        </w:rPr>
        <w:t>‑</w:t>
      </w:r>
      <w:r>
        <w:t>settled share</w:t>
      </w:r>
      <w:r>
        <w:rPr>
          <w:rFonts w:ascii="Cambria Math" w:hAnsi="Cambria Math" w:cs="Cambria Math"/>
        </w:rPr>
        <w:t>‑</w:t>
      </w:r>
      <w:r>
        <w:t>based payments is as follows:</w:t>
      </w:r>
    </w:p>
    <w:tbl>
      <w:tblPr>
        <w:tblStyle w:val="tableDUL"/>
        <w:tblW w:w="9639" w:type="dxa"/>
        <w:tblLook w:val="04A0" w:firstRow="1" w:lastRow="0" w:firstColumn="1" w:lastColumn="0" w:noHBand="0" w:noVBand="1"/>
      </w:tblPr>
      <w:tblGrid>
        <w:gridCol w:w="7371"/>
        <w:gridCol w:w="1134"/>
        <w:gridCol w:w="1134"/>
      </w:tblGrid>
      <w:tr w:rsidR="00271E37" w:rsidRPr="009953E0" w14:paraId="61ECD6B2" w14:textId="77777777" w:rsidTr="009953E0">
        <w:tc>
          <w:tcPr>
            <w:tcW w:w="0" w:type="auto"/>
            <w:tcBorders>
              <w:bottom w:val="nil"/>
            </w:tcBorders>
          </w:tcPr>
          <w:p w14:paraId="6524C489" w14:textId="77777777" w:rsidR="00271E37" w:rsidRPr="009953E0" w:rsidRDefault="00271E37" w:rsidP="009953E0">
            <w:pPr>
              <w:jc w:val="left"/>
            </w:pPr>
          </w:p>
        </w:tc>
        <w:tc>
          <w:tcPr>
            <w:tcW w:w="1134" w:type="dxa"/>
            <w:tcBorders>
              <w:bottom w:val="nil"/>
            </w:tcBorders>
          </w:tcPr>
          <w:p w14:paraId="4E94A891" w14:textId="77777777" w:rsidR="00271E37" w:rsidRPr="009953E0" w:rsidRDefault="00271E37" w:rsidP="000923EA">
            <w:pPr>
              <w:rPr>
                <w:b/>
                <w:bCs/>
              </w:rPr>
            </w:pPr>
            <w:r w:rsidRPr="009953E0">
              <w:rPr>
                <w:b/>
                <w:bCs/>
              </w:rPr>
              <w:t>202</w:t>
            </w:r>
            <w:r>
              <w:rPr>
                <w:b/>
                <w:bCs/>
              </w:rPr>
              <w:t>6</w:t>
            </w:r>
          </w:p>
        </w:tc>
        <w:tc>
          <w:tcPr>
            <w:tcW w:w="1134" w:type="dxa"/>
            <w:tcBorders>
              <w:bottom w:val="nil"/>
            </w:tcBorders>
          </w:tcPr>
          <w:p w14:paraId="381392A0" w14:textId="77777777" w:rsidR="00271E37" w:rsidRPr="009953E0" w:rsidRDefault="00271E37" w:rsidP="000923EA">
            <w:r w:rsidRPr="009953E0">
              <w:t>202</w:t>
            </w:r>
            <w:r>
              <w:t>5</w:t>
            </w:r>
          </w:p>
        </w:tc>
      </w:tr>
      <w:tr w:rsidR="00271E37" w:rsidRPr="009953E0" w14:paraId="3F724B8F" w14:textId="77777777" w:rsidTr="009953E0">
        <w:tc>
          <w:tcPr>
            <w:tcW w:w="0" w:type="auto"/>
            <w:tcBorders>
              <w:bottom w:val="single" w:sz="4" w:space="0" w:color="auto"/>
            </w:tcBorders>
          </w:tcPr>
          <w:p w14:paraId="55F54AF2" w14:textId="77777777" w:rsidR="00271E37" w:rsidRPr="009953E0" w:rsidRDefault="00271E37" w:rsidP="009953E0">
            <w:pPr>
              <w:jc w:val="left"/>
            </w:pPr>
          </w:p>
        </w:tc>
        <w:tc>
          <w:tcPr>
            <w:tcW w:w="1134" w:type="dxa"/>
            <w:tcBorders>
              <w:bottom w:val="single" w:sz="4" w:space="0" w:color="auto"/>
            </w:tcBorders>
          </w:tcPr>
          <w:p w14:paraId="3E490F6A" w14:textId="77777777" w:rsidR="00271E37" w:rsidRPr="009953E0" w:rsidRDefault="00271E37" w:rsidP="000923EA">
            <w:pPr>
              <w:rPr>
                <w:b/>
                <w:bCs/>
              </w:rPr>
            </w:pPr>
            <w:r>
              <w:rPr>
                <w:b/>
                <w:bCs/>
              </w:rPr>
              <w:t>£</w:t>
            </w:r>
            <w:r w:rsidRPr="009953E0">
              <w:rPr>
                <w:b/>
                <w:bCs/>
              </w:rPr>
              <w:t>000</w:t>
            </w:r>
          </w:p>
        </w:tc>
        <w:tc>
          <w:tcPr>
            <w:tcW w:w="1134" w:type="dxa"/>
            <w:tcBorders>
              <w:bottom w:val="single" w:sz="4" w:space="0" w:color="auto"/>
            </w:tcBorders>
          </w:tcPr>
          <w:p w14:paraId="13E125C2" w14:textId="77777777" w:rsidR="00271E37" w:rsidRPr="009953E0" w:rsidRDefault="00271E37" w:rsidP="000923EA">
            <w:r>
              <w:t>£</w:t>
            </w:r>
            <w:r w:rsidRPr="009953E0">
              <w:t>000</w:t>
            </w:r>
          </w:p>
        </w:tc>
      </w:tr>
      <w:tr w:rsidR="00271E37" w:rsidRPr="009953E0" w14:paraId="37F6B260" w14:textId="77777777">
        <w:tc>
          <w:tcPr>
            <w:tcW w:w="0" w:type="auto"/>
            <w:tcBorders>
              <w:top w:val="single" w:sz="4" w:space="0" w:color="auto"/>
            </w:tcBorders>
          </w:tcPr>
          <w:p w14:paraId="1EC97CC0" w14:textId="77777777" w:rsidR="00271E37" w:rsidRPr="009953E0" w:rsidRDefault="00271E37">
            <w:pPr>
              <w:jc w:val="left"/>
            </w:pPr>
            <w:r>
              <w:t>(Credit)/c</w:t>
            </w:r>
            <w:r w:rsidRPr="009953E0">
              <w:t>harge in relation to the 2022-2025 LTIP scheme</w:t>
            </w:r>
          </w:p>
        </w:tc>
        <w:tc>
          <w:tcPr>
            <w:tcW w:w="1134" w:type="dxa"/>
            <w:tcBorders>
              <w:top w:val="single" w:sz="4" w:space="0" w:color="auto"/>
            </w:tcBorders>
            <w:vAlign w:val="center"/>
          </w:tcPr>
          <w:p w14:paraId="32C39663" w14:textId="77777777" w:rsidR="00271E37" w:rsidRPr="00C31BA6" w:rsidRDefault="00271E37">
            <w:pPr>
              <w:rPr>
                <w:b/>
                <w:bCs/>
              </w:rPr>
            </w:pPr>
            <w:r w:rsidRPr="00C31BA6">
              <w:rPr>
                <w:rFonts w:cs="Arial"/>
                <w:b/>
                <w:bCs/>
                <w:szCs w:val="16"/>
              </w:rPr>
              <w:t>(12)</w:t>
            </w:r>
          </w:p>
        </w:tc>
        <w:tc>
          <w:tcPr>
            <w:tcW w:w="1134" w:type="dxa"/>
            <w:tcBorders>
              <w:top w:val="single" w:sz="4" w:space="0" w:color="auto"/>
            </w:tcBorders>
            <w:vAlign w:val="center"/>
          </w:tcPr>
          <w:p w14:paraId="146D1621" w14:textId="77777777" w:rsidR="00271E37" w:rsidRPr="00C31BA6" w:rsidRDefault="00271E37">
            <w:r w:rsidRPr="00C31BA6">
              <w:rPr>
                <w:rFonts w:cs="Arial"/>
                <w:szCs w:val="16"/>
              </w:rPr>
              <w:t xml:space="preserve">162 </w:t>
            </w:r>
          </w:p>
        </w:tc>
      </w:tr>
      <w:tr w:rsidR="00271E37" w:rsidRPr="009953E0" w14:paraId="05DC0E49" w14:textId="77777777">
        <w:trPr>
          <w:trHeight w:val="73"/>
        </w:trPr>
        <w:tc>
          <w:tcPr>
            <w:tcW w:w="0" w:type="auto"/>
            <w:tcBorders>
              <w:bottom w:val="nil"/>
            </w:tcBorders>
          </w:tcPr>
          <w:p w14:paraId="0E25E42B" w14:textId="77777777" w:rsidR="00271E37" w:rsidRPr="009953E0" w:rsidRDefault="00271E37">
            <w:pPr>
              <w:jc w:val="left"/>
            </w:pPr>
            <w:r w:rsidRPr="009953E0">
              <w:t>Charge in relation to the 2023-2026 LTIP scheme</w:t>
            </w:r>
          </w:p>
        </w:tc>
        <w:tc>
          <w:tcPr>
            <w:tcW w:w="1134" w:type="dxa"/>
            <w:tcBorders>
              <w:bottom w:val="nil"/>
            </w:tcBorders>
            <w:vAlign w:val="center"/>
          </w:tcPr>
          <w:p w14:paraId="5EAF108C" w14:textId="77777777" w:rsidR="00271E37" w:rsidRPr="00C31BA6" w:rsidRDefault="00271E37">
            <w:pPr>
              <w:rPr>
                <w:b/>
                <w:bCs/>
              </w:rPr>
            </w:pPr>
            <w:r w:rsidRPr="00C31BA6">
              <w:rPr>
                <w:rFonts w:cs="Arial"/>
                <w:b/>
                <w:bCs/>
                <w:szCs w:val="16"/>
              </w:rPr>
              <w:t xml:space="preserve">193 </w:t>
            </w:r>
          </w:p>
        </w:tc>
        <w:tc>
          <w:tcPr>
            <w:tcW w:w="1134" w:type="dxa"/>
            <w:tcBorders>
              <w:bottom w:val="nil"/>
            </w:tcBorders>
            <w:vAlign w:val="center"/>
          </w:tcPr>
          <w:p w14:paraId="7D1ABD45" w14:textId="77777777" w:rsidR="00271E37" w:rsidRPr="00C31BA6" w:rsidRDefault="00271E37">
            <w:r w:rsidRPr="00C31BA6">
              <w:rPr>
                <w:rFonts w:cs="Arial"/>
                <w:szCs w:val="16"/>
              </w:rPr>
              <w:t xml:space="preserve">247 </w:t>
            </w:r>
          </w:p>
        </w:tc>
      </w:tr>
      <w:tr w:rsidR="00271E37" w:rsidRPr="009953E0" w14:paraId="6E423C83" w14:textId="77777777">
        <w:tc>
          <w:tcPr>
            <w:tcW w:w="0" w:type="auto"/>
            <w:tcBorders>
              <w:bottom w:val="nil"/>
            </w:tcBorders>
          </w:tcPr>
          <w:p w14:paraId="661CB0B4" w14:textId="77777777" w:rsidR="00271E37" w:rsidRPr="009953E0" w:rsidRDefault="00271E37">
            <w:pPr>
              <w:jc w:val="left"/>
            </w:pPr>
            <w:r w:rsidRPr="009953E0">
              <w:t>Charge in relation to the 202</w:t>
            </w:r>
            <w:r>
              <w:t>4</w:t>
            </w:r>
            <w:r w:rsidRPr="009953E0">
              <w:t>-202</w:t>
            </w:r>
            <w:r>
              <w:t>7</w:t>
            </w:r>
            <w:r w:rsidRPr="009953E0">
              <w:t xml:space="preserve"> LTIP scheme</w:t>
            </w:r>
          </w:p>
        </w:tc>
        <w:tc>
          <w:tcPr>
            <w:tcW w:w="1134" w:type="dxa"/>
            <w:tcBorders>
              <w:bottom w:val="nil"/>
            </w:tcBorders>
            <w:vAlign w:val="center"/>
          </w:tcPr>
          <w:p w14:paraId="75B3CD58" w14:textId="77777777" w:rsidR="00271E37" w:rsidRPr="00C31BA6" w:rsidRDefault="00271E37">
            <w:pPr>
              <w:rPr>
                <w:b/>
                <w:bCs/>
              </w:rPr>
            </w:pPr>
            <w:r w:rsidRPr="00C31BA6">
              <w:rPr>
                <w:rFonts w:cs="Arial"/>
                <w:b/>
                <w:bCs/>
                <w:szCs w:val="16"/>
              </w:rPr>
              <w:t xml:space="preserve">274 </w:t>
            </w:r>
          </w:p>
        </w:tc>
        <w:tc>
          <w:tcPr>
            <w:tcW w:w="1134" w:type="dxa"/>
            <w:tcBorders>
              <w:bottom w:val="nil"/>
            </w:tcBorders>
            <w:vAlign w:val="center"/>
          </w:tcPr>
          <w:p w14:paraId="0DD98EA6" w14:textId="77777777" w:rsidR="00271E37" w:rsidRPr="00C31BA6" w:rsidRDefault="00271E37">
            <w:r w:rsidRPr="00C31BA6">
              <w:rPr>
                <w:rFonts w:cs="Arial"/>
                <w:szCs w:val="16"/>
              </w:rPr>
              <w:t xml:space="preserve">314 </w:t>
            </w:r>
          </w:p>
        </w:tc>
      </w:tr>
      <w:tr w:rsidR="00271E37" w:rsidRPr="009953E0" w14:paraId="193D151A" w14:textId="77777777">
        <w:tc>
          <w:tcPr>
            <w:tcW w:w="0" w:type="auto"/>
            <w:tcBorders>
              <w:top w:val="nil"/>
              <w:bottom w:val="nil"/>
            </w:tcBorders>
          </w:tcPr>
          <w:p w14:paraId="7E184EFE" w14:textId="77777777" w:rsidR="00271E37" w:rsidRPr="009953E0" w:rsidRDefault="00271E37">
            <w:pPr>
              <w:jc w:val="left"/>
            </w:pPr>
            <w:r w:rsidRPr="009953E0">
              <w:t>Charge in relation to the 202</w:t>
            </w:r>
            <w:r>
              <w:t>5</w:t>
            </w:r>
            <w:r w:rsidRPr="009953E0">
              <w:t>-202</w:t>
            </w:r>
            <w:r>
              <w:t>8</w:t>
            </w:r>
            <w:r w:rsidRPr="009953E0">
              <w:t xml:space="preserve"> LTIP scheme</w:t>
            </w:r>
          </w:p>
        </w:tc>
        <w:tc>
          <w:tcPr>
            <w:tcW w:w="1134" w:type="dxa"/>
            <w:tcBorders>
              <w:top w:val="nil"/>
              <w:bottom w:val="nil"/>
            </w:tcBorders>
            <w:vAlign w:val="center"/>
          </w:tcPr>
          <w:p w14:paraId="059B6B93" w14:textId="77777777" w:rsidR="00271E37" w:rsidRPr="00C31BA6" w:rsidRDefault="00271E37">
            <w:pPr>
              <w:rPr>
                <w:b/>
                <w:bCs/>
              </w:rPr>
            </w:pPr>
            <w:r w:rsidRPr="00C31BA6">
              <w:rPr>
                <w:rFonts w:cs="Arial"/>
                <w:b/>
                <w:bCs/>
                <w:szCs w:val="16"/>
              </w:rPr>
              <w:t xml:space="preserve">173 </w:t>
            </w:r>
          </w:p>
        </w:tc>
        <w:tc>
          <w:tcPr>
            <w:tcW w:w="1134" w:type="dxa"/>
            <w:tcBorders>
              <w:top w:val="nil"/>
              <w:bottom w:val="nil"/>
            </w:tcBorders>
            <w:vAlign w:val="center"/>
          </w:tcPr>
          <w:p w14:paraId="367A9F46" w14:textId="77777777" w:rsidR="00271E37" w:rsidRPr="00C31BA6" w:rsidRDefault="00271E37">
            <w:r w:rsidRPr="00C31BA6">
              <w:rPr>
                <w:rFonts w:cs="Arial"/>
                <w:szCs w:val="16"/>
              </w:rPr>
              <w:t xml:space="preserve"> - </w:t>
            </w:r>
          </w:p>
        </w:tc>
      </w:tr>
      <w:tr w:rsidR="00271E37" w:rsidRPr="009953E0" w14:paraId="6A8E77A4" w14:textId="77777777">
        <w:tc>
          <w:tcPr>
            <w:tcW w:w="0" w:type="auto"/>
            <w:tcBorders>
              <w:top w:val="single" w:sz="4" w:space="0" w:color="auto"/>
              <w:bottom w:val="nil"/>
            </w:tcBorders>
          </w:tcPr>
          <w:p w14:paraId="575F43A9" w14:textId="77777777" w:rsidR="00271E37" w:rsidRPr="009953E0" w:rsidRDefault="00271E37">
            <w:pPr>
              <w:jc w:val="left"/>
            </w:pPr>
            <w:r w:rsidRPr="009953E0">
              <w:t>Equity-settled share-based payments charge</w:t>
            </w:r>
          </w:p>
        </w:tc>
        <w:tc>
          <w:tcPr>
            <w:tcW w:w="1134" w:type="dxa"/>
            <w:tcBorders>
              <w:top w:val="single" w:sz="4" w:space="0" w:color="auto"/>
              <w:bottom w:val="nil"/>
            </w:tcBorders>
            <w:vAlign w:val="center"/>
          </w:tcPr>
          <w:p w14:paraId="7CB39397" w14:textId="77777777" w:rsidR="00271E37" w:rsidRPr="00C31BA6" w:rsidRDefault="00271E37">
            <w:pPr>
              <w:rPr>
                <w:b/>
                <w:bCs/>
              </w:rPr>
            </w:pPr>
            <w:r w:rsidRPr="00C31BA6">
              <w:rPr>
                <w:rFonts w:cs="Arial"/>
                <w:b/>
                <w:bCs/>
                <w:szCs w:val="16"/>
              </w:rPr>
              <w:t xml:space="preserve">628 </w:t>
            </w:r>
          </w:p>
        </w:tc>
        <w:tc>
          <w:tcPr>
            <w:tcW w:w="1134" w:type="dxa"/>
            <w:tcBorders>
              <w:top w:val="single" w:sz="4" w:space="0" w:color="auto"/>
              <w:bottom w:val="nil"/>
            </w:tcBorders>
            <w:vAlign w:val="center"/>
          </w:tcPr>
          <w:p w14:paraId="103208F6" w14:textId="77777777" w:rsidR="00271E37" w:rsidRPr="00C31BA6" w:rsidRDefault="00271E37">
            <w:r w:rsidRPr="00C31BA6">
              <w:rPr>
                <w:rFonts w:cs="Arial"/>
                <w:szCs w:val="16"/>
              </w:rPr>
              <w:t xml:space="preserve">723 </w:t>
            </w:r>
          </w:p>
        </w:tc>
      </w:tr>
      <w:tr w:rsidR="00271E37" w:rsidRPr="009953E0" w14:paraId="4E394902" w14:textId="77777777">
        <w:tc>
          <w:tcPr>
            <w:tcW w:w="0" w:type="auto"/>
            <w:tcBorders>
              <w:bottom w:val="single" w:sz="4" w:space="0" w:color="auto"/>
            </w:tcBorders>
          </w:tcPr>
          <w:p w14:paraId="7690CA35" w14:textId="77777777" w:rsidR="00271E37" w:rsidRPr="009953E0" w:rsidRDefault="00271E37">
            <w:pPr>
              <w:jc w:val="left"/>
            </w:pPr>
            <w:r w:rsidRPr="009953E0">
              <w:t xml:space="preserve">Social security </w:t>
            </w:r>
            <w:r>
              <w:t>credit</w:t>
            </w:r>
          </w:p>
        </w:tc>
        <w:tc>
          <w:tcPr>
            <w:tcW w:w="1134" w:type="dxa"/>
            <w:tcBorders>
              <w:bottom w:val="single" w:sz="4" w:space="0" w:color="auto"/>
            </w:tcBorders>
            <w:vAlign w:val="center"/>
          </w:tcPr>
          <w:p w14:paraId="2BAA4838" w14:textId="77777777" w:rsidR="00271E37" w:rsidRPr="00C31BA6" w:rsidRDefault="00271E37">
            <w:pPr>
              <w:rPr>
                <w:b/>
                <w:bCs/>
              </w:rPr>
            </w:pPr>
            <w:r w:rsidRPr="00C31BA6">
              <w:rPr>
                <w:rFonts w:cs="Arial"/>
                <w:b/>
                <w:bCs/>
                <w:szCs w:val="16"/>
              </w:rPr>
              <w:t xml:space="preserve"> - </w:t>
            </w:r>
          </w:p>
        </w:tc>
        <w:tc>
          <w:tcPr>
            <w:tcW w:w="1134" w:type="dxa"/>
            <w:tcBorders>
              <w:bottom w:val="single" w:sz="4" w:space="0" w:color="auto"/>
            </w:tcBorders>
            <w:vAlign w:val="center"/>
          </w:tcPr>
          <w:p w14:paraId="3EA154A6" w14:textId="77777777" w:rsidR="00271E37" w:rsidRPr="00C31BA6" w:rsidRDefault="00271E37">
            <w:r w:rsidRPr="00C31BA6">
              <w:rPr>
                <w:rFonts w:cs="Arial"/>
                <w:szCs w:val="16"/>
              </w:rPr>
              <w:t>(37)</w:t>
            </w:r>
          </w:p>
        </w:tc>
      </w:tr>
      <w:tr w:rsidR="00271E37" w:rsidRPr="009953E0" w14:paraId="154AEA6A" w14:textId="77777777">
        <w:tc>
          <w:tcPr>
            <w:tcW w:w="0" w:type="auto"/>
            <w:tcBorders>
              <w:top w:val="single" w:sz="4" w:space="0" w:color="auto"/>
              <w:bottom w:val="single" w:sz="4" w:space="0" w:color="auto"/>
            </w:tcBorders>
          </w:tcPr>
          <w:p w14:paraId="06B2B05D" w14:textId="77777777" w:rsidR="00271E37" w:rsidRPr="009953E0" w:rsidRDefault="00271E37">
            <w:pPr>
              <w:jc w:val="left"/>
              <w:rPr>
                <w:b/>
                <w:bCs/>
              </w:rPr>
            </w:pPr>
            <w:r w:rsidRPr="009953E0">
              <w:rPr>
                <w:b/>
                <w:bCs/>
              </w:rPr>
              <w:t>Total equity-settled share-based payments charge</w:t>
            </w:r>
          </w:p>
        </w:tc>
        <w:tc>
          <w:tcPr>
            <w:tcW w:w="1134" w:type="dxa"/>
            <w:tcBorders>
              <w:top w:val="single" w:sz="4" w:space="0" w:color="auto"/>
              <w:bottom w:val="single" w:sz="4" w:space="0" w:color="auto"/>
            </w:tcBorders>
            <w:vAlign w:val="center"/>
          </w:tcPr>
          <w:p w14:paraId="1024A313" w14:textId="77777777" w:rsidR="00271E37" w:rsidRPr="00C31BA6" w:rsidRDefault="00271E37">
            <w:pPr>
              <w:rPr>
                <w:b/>
                <w:bCs/>
              </w:rPr>
            </w:pPr>
            <w:r w:rsidRPr="00C31BA6">
              <w:rPr>
                <w:rFonts w:cs="Arial"/>
                <w:b/>
                <w:bCs/>
                <w:szCs w:val="16"/>
              </w:rPr>
              <w:t xml:space="preserve">628 </w:t>
            </w:r>
          </w:p>
        </w:tc>
        <w:tc>
          <w:tcPr>
            <w:tcW w:w="1134" w:type="dxa"/>
            <w:tcBorders>
              <w:top w:val="single" w:sz="4" w:space="0" w:color="auto"/>
              <w:bottom w:val="single" w:sz="4" w:space="0" w:color="auto"/>
            </w:tcBorders>
            <w:vAlign w:val="center"/>
          </w:tcPr>
          <w:p w14:paraId="6890C7B9" w14:textId="77777777" w:rsidR="00271E37" w:rsidRPr="00C31BA6" w:rsidRDefault="00271E37">
            <w:r w:rsidRPr="00C31BA6">
              <w:rPr>
                <w:rFonts w:cs="Arial"/>
                <w:szCs w:val="16"/>
              </w:rPr>
              <w:t xml:space="preserve">686 </w:t>
            </w:r>
          </w:p>
        </w:tc>
      </w:tr>
      <w:tr w:rsidR="00271E37" w:rsidRPr="009953E0" w14:paraId="4EFAFA1F" w14:textId="77777777">
        <w:tc>
          <w:tcPr>
            <w:tcW w:w="0" w:type="auto"/>
            <w:tcBorders>
              <w:top w:val="single" w:sz="4" w:space="0" w:color="auto"/>
              <w:bottom w:val="single" w:sz="4" w:space="0" w:color="auto"/>
            </w:tcBorders>
            <w:vAlign w:val="center"/>
          </w:tcPr>
          <w:p w14:paraId="760F8EB1" w14:textId="77777777" w:rsidR="00271E37" w:rsidRPr="009953E0" w:rsidRDefault="00271E37">
            <w:pPr>
              <w:jc w:val="left"/>
              <w:rPr>
                <w:b/>
                <w:bCs/>
              </w:rPr>
            </w:pPr>
            <w:r>
              <w:rPr>
                <w:rFonts w:cs="Arial"/>
                <w:color w:val="000000"/>
                <w:szCs w:val="16"/>
              </w:rPr>
              <w:t>Continuing operations</w:t>
            </w:r>
          </w:p>
        </w:tc>
        <w:tc>
          <w:tcPr>
            <w:tcW w:w="1134" w:type="dxa"/>
            <w:tcBorders>
              <w:top w:val="single" w:sz="4" w:space="0" w:color="auto"/>
              <w:bottom w:val="single" w:sz="4" w:space="0" w:color="auto"/>
            </w:tcBorders>
            <w:vAlign w:val="center"/>
          </w:tcPr>
          <w:p w14:paraId="4DE20041" w14:textId="77777777" w:rsidR="00271E37" w:rsidRPr="00C31BA6" w:rsidRDefault="00271E37">
            <w:pPr>
              <w:rPr>
                <w:b/>
                <w:bCs/>
              </w:rPr>
            </w:pPr>
            <w:r w:rsidRPr="00C31BA6">
              <w:rPr>
                <w:rFonts w:cs="Arial"/>
                <w:b/>
                <w:bCs/>
                <w:szCs w:val="16"/>
              </w:rPr>
              <w:t xml:space="preserve">801 </w:t>
            </w:r>
          </w:p>
        </w:tc>
        <w:tc>
          <w:tcPr>
            <w:tcW w:w="1134" w:type="dxa"/>
            <w:tcBorders>
              <w:top w:val="single" w:sz="4" w:space="0" w:color="auto"/>
              <w:bottom w:val="single" w:sz="4" w:space="0" w:color="auto"/>
            </w:tcBorders>
            <w:vAlign w:val="center"/>
          </w:tcPr>
          <w:p w14:paraId="7230A370" w14:textId="77777777" w:rsidR="00271E37" w:rsidRPr="00C31BA6" w:rsidRDefault="00271E37">
            <w:r w:rsidRPr="00C31BA6">
              <w:rPr>
                <w:rFonts w:cs="Arial"/>
                <w:szCs w:val="16"/>
              </w:rPr>
              <w:t xml:space="preserve">518 </w:t>
            </w:r>
          </w:p>
        </w:tc>
      </w:tr>
      <w:tr w:rsidR="00271E37" w:rsidRPr="009953E0" w14:paraId="6EEBCCD4" w14:textId="77777777">
        <w:tc>
          <w:tcPr>
            <w:tcW w:w="0" w:type="auto"/>
            <w:tcBorders>
              <w:top w:val="single" w:sz="4" w:space="0" w:color="auto"/>
            </w:tcBorders>
            <w:vAlign w:val="center"/>
          </w:tcPr>
          <w:p w14:paraId="0D5A499D" w14:textId="77777777" w:rsidR="00271E37" w:rsidRPr="009953E0" w:rsidRDefault="00271E37">
            <w:pPr>
              <w:jc w:val="left"/>
              <w:rPr>
                <w:b/>
                <w:bCs/>
              </w:rPr>
            </w:pPr>
            <w:r>
              <w:rPr>
                <w:rFonts w:cs="Arial"/>
                <w:color w:val="000000"/>
                <w:szCs w:val="16"/>
              </w:rPr>
              <w:t>Discontinued operations</w:t>
            </w:r>
          </w:p>
        </w:tc>
        <w:tc>
          <w:tcPr>
            <w:tcW w:w="1134" w:type="dxa"/>
            <w:tcBorders>
              <w:top w:val="single" w:sz="4" w:space="0" w:color="auto"/>
            </w:tcBorders>
            <w:vAlign w:val="center"/>
          </w:tcPr>
          <w:p w14:paraId="5BC6B10C" w14:textId="77777777" w:rsidR="00271E37" w:rsidRPr="00C31BA6" w:rsidRDefault="00271E37">
            <w:pPr>
              <w:rPr>
                <w:b/>
                <w:bCs/>
              </w:rPr>
            </w:pPr>
            <w:r w:rsidRPr="00C31BA6">
              <w:rPr>
                <w:rFonts w:cs="Arial"/>
                <w:b/>
                <w:bCs/>
                <w:szCs w:val="16"/>
              </w:rPr>
              <w:t>(174)</w:t>
            </w:r>
          </w:p>
        </w:tc>
        <w:tc>
          <w:tcPr>
            <w:tcW w:w="1134" w:type="dxa"/>
            <w:tcBorders>
              <w:top w:val="single" w:sz="4" w:space="0" w:color="auto"/>
            </w:tcBorders>
            <w:vAlign w:val="center"/>
          </w:tcPr>
          <w:p w14:paraId="70830F38" w14:textId="77777777" w:rsidR="00271E37" w:rsidRPr="00C31BA6" w:rsidRDefault="00271E37">
            <w:r w:rsidRPr="00C31BA6">
              <w:rPr>
                <w:rFonts w:cs="Arial"/>
                <w:szCs w:val="16"/>
              </w:rPr>
              <w:t xml:space="preserve">169 </w:t>
            </w:r>
          </w:p>
        </w:tc>
      </w:tr>
    </w:tbl>
    <w:p w14:paraId="671DDA06" w14:textId="77777777" w:rsidR="00271E37" w:rsidRDefault="00271E37" w:rsidP="002E39D4"/>
    <w:p w14:paraId="7F41FF81" w14:textId="77777777" w:rsidR="00271E37" w:rsidRDefault="00271E37" w:rsidP="002E39D4">
      <w:r>
        <w:t>Deferred tax assets are recognised on share-based payment schemes when deferred tax assets are recognised in that territory (see note 11).</w:t>
      </w:r>
    </w:p>
    <w:p w14:paraId="21F3E436" w14:textId="77777777" w:rsidR="00271E37" w:rsidRDefault="00271E37" w:rsidP="002E39D4"/>
    <w:p w14:paraId="2486B845" w14:textId="77777777" w:rsidR="00271E37" w:rsidRPr="009953E0" w:rsidRDefault="00271E37" w:rsidP="002E39D4">
      <w:pPr>
        <w:rPr>
          <w:i/>
          <w:iCs/>
        </w:rPr>
      </w:pPr>
      <w:r w:rsidRPr="009953E0">
        <w:rPr>
          <w:i/>
          <w:iCs/>
        </w:rPr>
        <w:t>Social security charges/(credits) on share-based payments</w:t>
      </w:r>
    </w:p>
    <w:p w14:paraId="5F5801EF" w14:textId="77777777" w:rsidR="00271E37" w:rsidRDefault="00271E37" w:rsidP="002E39D4">
      <w:r>
        <w:t>Social security is accrued, where applicable, at a rate which management expects to be the prevailing rate when share</w:t>
      </w:r>
      <w:r>
        <w:rPr>
          <w:rFonts w:ascii="Cambria Math" w:hAnsi="Cambria Math" w:cs="Cambria Math"/>
        </w:rPr>
        <w:t>‑</w:t>
      </w:r>
      <w:r>
        <w:t>based incentives are exercised and is based on the latest market value of options expected to vest or having already vested.</w:t>
      </w:r>
    </w:p>
    <w:p w14:paraId="4E4F29FB" w14:textId="77777777" w:rsidR="00271E37" w:rsidRDefault="00271E37" w:rsidP="002E39D4"/>
    <w:p w14:paraId="4E0A5B33" w14:textId="38C4A8DA" w:rsidR="00271E37" w:rsidRDefault="00271E37" w:rsidP="002E39D4">
      <w:r>
        <w:t xml:space="preserve">The total social security accrual outstanding at the </w:t>
      </w:r>
      <w:r w:rsidDel="00A43692">
        <w:t>year</w:t>
      </w:r>
      <w:r w:rsidR="00A43692">
        <w:t>-end</w:t>
      </w:r>
      <w:r>
        <w:t xml:space="preserve"> in respect of share-based payment transactions was £99,000</w:t>
      </w:r>
      <w:r w:rsidRPr="0019449C">
        <w:t xml:space="preserve"> </w:t>
      </w:r>
      <w:r>
        <w:t>(2025: £107,000).</w:t>
      </w:r>
    </w:p>
    <w:p w14:paraId="7E598545" w14:textId="77777777" w:rsidR="00271E37" w:rsidRDefault="00271E37" w:rsidP="002E39D4">
      <w:pPr>
        <w:rPr>
          <w:b/>
          <w:bCs/>
        </w:rPr>
      </w:pPr>
    </w:p>
    <w:p w14:paraId="4B5AAECA" w14:textId="77777777" w:rsidR="00271E37" w:rsidRPr="009953E0" w:rsidRDefault="00271E37">
      <w:pPr>
        <w:pStyle w:val="Heading2"/>
      </w:pPr>
      <w:r w:rsidRPr="009953E0">
        <w:lastRenderedPageBreak/>
        <w:t>24 Financial instruments</w:t>
      </w:r>
    </w:p>
    <w:p w14:paraId="70F045A2" w14:textId="77777777" w:rsidR="00271E37" w:rsidRPr="009953E0" w:rsidRDefault="00271E37">
      <w:pPr>
        <w:pStyle w:val="Heading3"/>
        <w:rPr>
          <w:iCs/>
        </w:rPr>
      </w:pPr>
      <w:r w:rsidRPr="009953E0">
        <w:rPr>
          <w:iCs/>
        </w:rPr>
        <w:t>a</w:t>
      </w:r>
      <w:r>
        <w:rPr>
          <w:iCs/>
        </w:rPr>
        <w:t>.</w:t>
      </w:r>
      <w:r w:rsidRPr="009953E0">
        <w:rPr>
          <w:iCs/>
        </w:rPr>
        <w:t xml:space="preserve"> Fair value of financial instruments</w:t>
      </w:r>
    </w:p>
    <w:p w14:paraId="4CAC5847" w14:textId="77777777" w:rsidR="00271E37" w:rsidRDefault="00271E37">
      <w:r w:rsidRPr="00A61118">
        <w:t>Derivative financial instruments comprise forward foreign exchange contracts measured at fair value using observable market inputs (Level 2).</w:t>
      </w:r>
      <w:r>
        <w:t xml:space="preserve"> </w:t>
      </w:r>
      <w:r w:rsidRPr="001C1CAA">
        <w:t>The Group uses forward foreign exchange contracts to manage transactional currency risk</w:t>
      </w:r>
      <w:r>
        <w:t>.</w:t>
      </w:r>
    </w:p>
    <w:p w14:paraId="0AC38286" w14:textId="77777777" w:rsidR="00271E37" w:rsidRPr="001C1CAA" w:rsidRDefault="00271E37"/>
    <w:p w14:paraId="09730348" w14:textId="77777777" w:rsidR="00271E37" w:rsidRPr="00A61118" w:rsidRDefault="00271E37">
      <w:r w:rsidRPr="00A61118">
        <w:t>At 31 March 2026, these comprised assets of £</w:t>
      </w:r>
      <w:r>
        <w:t>243,000</w:t>
      </w:r>
      <w:r w:rsidRPr="00A61118">
        <w:t xml:space="preserve"> (2025: £1,000) and liabilities of £</w:t>
      </w:r>
      <w:r>
        <w:t>76,000</w:t>
      </w:r>
      <w:r w:rsidRPr="00A61118">
        <w:t xml:space="preserve"> (2025: £413,000).</w:t>
      </w:r>
    </w:p>
    <w:p w14:paraId="1C51A844" w14:textId="77777777" w:rsidR="00271E37" w:rsidRPr="00A61118" w:rsidRDefault="00271E37">
      <w:r w:rsidRPr="00A61118">
        <w:t>The carrying values of other financial assets and liabilities approximate their fair values.</w:t>
      </w:r>
    </w:p>
    <w:p w14:paraId="03B0FAA5" w14:textId="77777777" w:rsidR="00271E37" w:rsidRPr="00753752" w:rsidRDefault="00271E37">
      <w:pPr>
        <w:pStyle w:val="Heading3"/>
      </w:pPr>
      <w:r w:rsidRPr="00753752">
        <w:t>b</w:t>
      </w:r>
      <w:r>
        <w:t>.</w:t>
      </w:r>
      <w:r w:rsidRPr="00753752">
        <w:t xml:space="preserve"> Credit risk</w:t>
      </w:r>
    </w:p>
    <w:p w14:paraId="378C396C" w14:textId="77777777" w:rsidR="00271E37" w:rsidRPr="00CD573F" w:rsidRDefault="00271E37" w:rsidP="002876C8">
      <w:pPr>
        <w:pStyle w:val="Heading4"/>
        <w:rPr>
          <w:b/>
        </w:rPr>
      </w:pPr>
      <w:r w:rsidRPr="002876C8">
        <w:rPr>
          <w:rFonts w:ascii="Arial" w:hAnsi="Arial" w:cs="Arial"/>
          <w:b/>
          <w:color w:val="auto"/>
          <w:sz w:val="16"/>
          <w:szCs w:val="16"/>
        </w:rPr>
        <w:t>Financial risk management</w:t>
      </w:r>
    </w:p>
    <w:p w14:paraId="1983C7E4" w14:textId="77777777" w:rsidR="00271E37" w:rsidRPr="00472C3C" w:rsidRDefault="00271E37" w:rsidP="002E39D4">
      <w:pPr>
        <w:rPr>
          <w:i/>
          <w:iCs/>
        </w:rPr>
      </w:pPr>
    </w:p>
    <w:p w14:paraId="6F983FA1" w14:textId="77777777" w:rsidR="00271E37" w:rsidRDefault="00271E37" w:rsidP="002E39D4">
      <w:r>
        <w:t>Credit risk is the risk of financial loss to the Group if a customer or counterparty to a financial instrument fails to meet its contractual obligations and arises principally from the Group’s receivables from customers and investment securities. The Group’s exposure to credit risk is managed by dealing only with banks and financial institutions with strong credit ratings. The Group’s financial credit risk is primarily attributable to its trade receivables.</w:t>
      </w:r>
    </w:p>
    <w:p w14:paraId="3ECE0078" w14:textId="77777777" w:rsidR="00271E37" w:rsidRDefault="00271E37" w:rsidP="002E39D4"/>
    <w:p w14:paraId="7FF4D488" w14:textId="0CC55BE9" w:rsidR="00271E37" w:rsidRDefault="00271E37" w:rsidP="002E39D4">
      <w:r>
        <w:t>The main customers of the Group are large and mid</w:t>
      </w:r>
      <w:r>
        <w:rPr>
          <w:rFonts w:ascii="Cambria Math" w:hAnsi="Cambria Math" w:cs="Cambria Math"/>
        </w:rPr>
        <w:t>‑</w:t>
      </w:r>
      <w:r>
        <w:t>sized retailers and wholesalers of greetings products, service merchandisers and trading companies. The Group has established procedures to minimise the risk of default of trade receivables including detailed credit checks undertaken before new customers are accepted and rigorous credit control procedures after sale. These processes have proved effective in minimising the level of provisions for doubtful debts required.</w:t>
      </w:r>
    </w:p>
    <w:p w14:paraId="6E8A568C" w14:textId="77777777" w:rsidR="00271E37" w:rsidRDefault="00271E37" w:rsidP="002E39D4"/>
    <w:p w14:paraId="4C271D7D" w14:textId="77777777" w:rsidR="00271E37" w:rsidRPr="005E3B27" w:rsidRDefault="00271E37" w:rsidP="002876C8">
      <w:pPr>
        <w:pStyle w:val="Heading4"/>
        <w:rPr>
          <w:b/>
        </w:rPr>
      </w:pPr>
      <w:r w:rsidRPr="002876C8">
        <w:rPr>
          <w:rFonts w:ascii="Arial" w:hAnsi="Arial" w:cs="Arial"/>
          <w:b/>
          <w:color w:val="auto"/>
          <w:sz w:val="16"/>
          <w:szCs w:val="16"/>
        </w:rPr>
        <w:t>Exposure to credit risk</w:t>
      </w:r>
    </w:p>
    <w:p w14:paraId="13A31C27" w14:textId="77777777" w:rsidR="00271E37" w:rsidRPr="00472C3C" w:rsidRDefault="00271E37" w:rsidP="002E39D4">
      <w:pPr>
        <w:rPr>
          <w:i/>
          <w:iCs/>
        </w:rPr>
      </w:pPr>
    </w:p>
    <w:p w14:paraId="737BD28A" w14:textId="77777777" w:rsidR="00271E37" w:rsidRPr="00D401F6" w:rsidRDefault="00271E37">
      <w:r w:rsidRPr="00D401F6">
        <w:t>The carrying amount of financial assets represents the Group’s maximum exposure to credit risk of £</w:t>
      </w:r>
      <w:r>
        <w:t>75.8 million</w:t>
      </w:r>
      <w:r w:rsidRPr="00D401F6">
        <w:t xml:space="preserve"> (2025: £</w:t>
      </w:r>
      <w:r>
        <w:t>167.0 million</w:t>
      </w:r>
      <w:r w:rsidRPr="00D401F6">
        <w:t>), of which £</w:t>
      </w:r>
      <w:r>
        <w:t>20.9 million</w:t>
      </w:r>
      <w:r w:rsidRPr="00D401F6">
        <w:t xml:space="preserve"> (2025: £</w:t>
      </w:r>
      <w:r>
        <w:t>59.2 million</w:t>
      </w:r>
      <w:r w:rsidRPr="00D401F6">
        <w:t>) relates to trade receivables.</w:t>
      </w:r>
    </w:p>
    <w:p w14:paraId="7048F82F" w14:textId="77777777" w:rsidR="00271E37" w:rsidRDefault="00271E37" w:rsidP="002E39D4"/>
    <w:p w14:paraId="3A660D40" w14:textId="77777777" w:rsidR="00271E37" w:rsidRDefault="00271E37" w:rsidP="002E39D4">
      <w:r>
        <w:t>The ageing of trade receivables at the balance sheet date was:</w:t>
      </w:r>
    </w:p>
    <w:tbl>
      <w:tblPr>
        <w:tblStyle w:val="tableDUL"/>
        <w:tblW w:w="9639" w:type="dxa"/>
        <w:tblLook w:val="04A0" w:firstRow="1" w:lastRow="0" w:firstColumn="1" w:lastColumn="0" w:noHBand="0" w:noVBand="1"/>
      </w:tblPr>
      <w:tblGrid>
        <w:gridCol w:w="2835"/>
        <w:gridCol w:w="1134"/>
        <w:gridCol w:w="1134"/>
        <w:gridCol w:w="1134"/>
        <w:gridCol w:w="1134"/>
        <w:gridCol w:w="1134"/>
        <w:gridCol w:w="1134"/>
      </w:tblGrid>
      <w:tr w:rsidR="00271E37" w:rsidRPr="00472C3C" w14:paraId="00DDA663" w14:textId="77777777" w:rsidTr="008F5634">
        <w:tc>
          <w:tcPr>
            <w:tcW w:w="0" w:type="auto"/>
          </w:tcPr>
          <w:p w14:paraId="7817128F" w14:textId="77777777" w:rsidR="00271E37" w:rsidRPr="00472C3C" w:rsidRDefault="00271E37" w:rsidP="00472C3C">
            <w:pPr>
              <w:jc w:val="left"/>
            </w:pPr>
          </w:p>
        </w:tc>
        <w:tc>
          <w:tcPr>
            <w:tcW w:w="3402" w:type="dxa"/>
            <w:gridSpan w:val="3"/>
            <w:tcBorders>
              <w:bottom w:val="single" w:sz="4" w:space="0" w:color="auto"/>
            </w:tcBorders>
          </w:tcPr>
          <w:p w14:paraId="282FEEA3" w14:textId="77777777" w:rsidR="00271E37" w:rsidRPr="00DD777C" w:rsidRDefault="00271E37" w:rsidP="00472C3C">
            <w:pPr>
              <w:jc w:val="center"/>
              <w:rPr>
                <w:b/>
                <w:bCs/>
              </w:rPr>
            </w:pPr>
            <w:r w:rsidRPr="00DD777C">
              <w:rPr>
                <w:b/>
                <w:bCs/>
              </w:rPr>
              <w:t>202</w:t>
            </w:r>
            <w:r>
              <w:rPr>
                <w:b/>
                <w:bCs/>
              </w:rPr>
              <w:t>6</w:t>
            </w:r>
          </w:p>
        </w:tc>
        <w:tc>
          <w:tcPr>
            <w:tcW w:w="3402" w:type="dxa"/>
            <w:gridSpan w:val="3"/>
            <w:tcBorders>
              <w:bottom w:val="single" w:sz="4" w:space="0" w:color="auto"/>
            </w:tcBorders>
          </w:tcPr>
          <w:p w14:paraId="51E2B243" w14:textId="77777777" w:rsidR="00271E37" w:rsidRPr="00472C3C" w:rsidRDefault="00271E37" w:rsidP="00472C3C">
            <w:pPr>
              <w:jc w:val="center"/>
            </w:pPr>
            <w:r w:rsidRPr="00472C3C">
              <w:t>202</w:t>
            </w:r>
            <w:r>
              <w:t>5</w:t>
            </w:r>
          </w:p>
        </w:tc>
      </w:tr>
      <w:tr w:rsidR="00271E37" w:rsidRPr="00472C3C" w14:paraId="6EFBFCAE" w14:textId="77777777" w:rsidTr="00397C42">
        <w:tc>
          <w:tcPr>
            <w:tcW w:w="0" w:type="auto"/>
          </w:tcPr>
          <w:p w14:paraId="5244C29C" w14:textId="77777777" w:rsidR="00271E37" w:rsidRPr="00472C3C" w:rsidRDefault="00271E37" w:rsidP="00472C3C">
            <w:pPr>
              <w:jc w:val="left"/>
            </w:pPr>
          </w:p>
        </w:tc>
        <w:tc>
          <w:tcPr>
            <w:tcW w:w="1134" w:type="dxa"/>
            <w:tcBorders>
              <w:top w:val="single" w:sz="4" w:space="0" w:color="auto"/>
            </w:tcBorders>
          </w:tcPr>
          <w:p w14:paraId="32EABFAD" w14:textId="77777777" w:rsidR="00271E37" w:rsidRPr="00397C42" w:rsidRDefault="00271E37" w:rsidP="00472C3C">
            <w:pPr>
              <w:rPr>
                <w:b/>
                <w:bCs/>
              </w:rPr>
            </w:pPr>
            <w:r w:rsidRPr="00397C42">
              <w:rPr>
                <w:b/>
                <w:bCs/>
              </w:rPr>
              <w:t xml:space="preserve">Expected </w:t>
            </w:r>
          </w:p>
        </w:tc>
        <w:tc>
          <w:tcPr>
            <w:tcW w:w="1134" w:type="dxa"/>
            <w:tcBorders>
              <w:top w:val="single" w:sz="4" w:space="0" w:color="auto"/>
            </w:tcBorders>
          </w:tcPr>
          <w:p w14:paraId="72C82F74" w14:textId="77777777" w:rsidR="00271E37" w:rsidRPr="00397C42" w:rsidRDefault="00271E37" w:rsidP="00472C3C">
            <w:pPr>
              <w:rPr>
                <w:b/>
                <w:bCs/>
              </w:rPr>
            </w:pPr>
          </w:p>
        </w:tc>
        <w:tc>
          <w:tcPr>
            <w:tcW w:w="1134" w:type="dxa"/>
            <w:tcBorders>
              <w:top w:val="single" w:sz="4" w:space="0" w:color="auto"/>
            </w:tcBorders>
          </w:tcPr>
          <w:p w14:paraId="04D16CA8" w14:textId="77777777" w:rsidR="00271E37" w:rsidRPr="00397C42" w:rsidRDefault="00271E37" w:rsidP="00472C3C">
            <w:pPr>
              <w:rPr>
                <w:b/>
                <w:bCs/>
              </w:rPr>
            </w:pPr>
            <w:r w:rsidRPr="00397C42">
              <w:rPr>
                <w:b/>
                <w:bCs/>
              </w:rPr>
              <w:t>Provisions for</w:t>
            </w:r>
          </w:p>
        </w:tc>
        <w:tc>
          <w:tcPr>
            <w:tcW w:w="1134" w:type="dxa"/>
            <w:tcBorders>
              <w:top w:val="single" w:sz="4" w:space="0" w:color="auto"/>
            </w:tcBorders>
          </w:tcPr>
          <w:p w14:paraId="714211B7" w14:textId="77777777" w:rsidR="00271E37" w:rsidRPr="00472C3C" w:rsidRDefault="00271E37" w:rsidP="00472C3C">
            <w:r w:rsidRPr="00472C3C">
              <w:t xml:space="preserve">Expected </w:t>
            </w:r>
          </w:p>
        </w:tc>
        <w:tc>
          <w:tcPr>
            <w:tcW w:w="1134" w:type="dxa"/>
            <w:tcBorders>
              <w:top w:val="single" w:sz="4" w:space="0" w:color="auto"/>
            </w:tcBorders>
          </w:tcPr>
          <w:p w14:paraId="0EAE8B86" w14:textId="77777777" w:rsidR="00271E37" w:rsidRPr="00472C3C" w:rsidRDefault="00271E37" w:rsidP="00472C3C"/>
        </w:tc>
        <w:tc>
          <w:tcPr>
            <w:tcW w:w="1134" w:type="dxa"/>
            <w:tcBorders>
              <w:top w:val="single" w:sz="4" w:space="0" w:color="auto"/>
            </w:tcBorders>
          </w:tcPr>
          <w:p w14:paraId="592B58D6" w14:textId="77777777" w:rsidR="00271E37" w:rsidRPr="00472C3C" w:rsidRDefault="00271E37" w:rsidP="00472C3C">
            <w:r w:rsidRPr="00472C3C">
              <w:t>Provisions for</w:t>
            </w:r>
          </w:p>
        </w:tc>
      </w:tr>
      <w:tr w:rsidR="00271E37" w:rsidRPr="00472C3C" w14:paraId="48ED138F" w14:textId="77777777" w:rsidTr="00397C42">
        <w:tc>
          <w:tcPr>
            <w:tcW w:w="0" w:type="auto"/>
            <w:tcBorders>
              <w:bottom w:val="nil"/>
            </w:tcBorders>
          </w:tcPr>
          <w:p w14:paraId="5419917A" w14:textId="77777777" w:rsidR="00271E37" w:rsidRPr="00472C3C" w:rsidRDefault="00271E37" w:rsidP="00472C3C">
            <w:pPr>
              <w:jc w:val="left"/>
            </w:pPr>
          </w:p>
        </w:tc>
        <w:tc>
          <w:tcPr>
            <w:tcW w:w="1134" w:type="dxa"/>
            <w:tcBorders>
              <w:bottom w:val="nil"/>
            </w:tcBorders>
          </w:tcPr>
          <w:p w14:paraId="73EECF4E" w14:textId="77777777" w:rsidR="00271E37" w:rsidRPr="00397C42" w:rsidRDefault="00271E37" w:rsidP="00472C3C">
            <w:pPr>
              <w:rPr>
                <w:b/>
                <w:bCs/>
              </w:rPr>
            </w:pPr>
            <w:r w:rsidRPr="00397C42">
              <w:rPr>
                <w:b/>
                <w:bCs/>
              </w:rPr>
              <w:t>loss rate</w:t>
            </w:r>
          </w:p>
        </w:tc>
        <w:tc>
          <w:tcPr>
            <w:tcW w:w="1134" w:type="dxa"/>
            <w:tcBorders>
              <w:bottom w:val="nil"/>
            </w:tcBorders>
          </w:tcPr>
          <w:p w14:paraId="2B93E94F" w14:textId="77777777" w:rsidR="00271E37" w:rsidRPr="00397C42" w:rsidRDefault="00271E37" w:rsidP="00472C3C">
            <w:pPr>
              <w:rPr>
                <w:b/>
                <w:bCs/>
              </w:rPr>
            </w:pPr>
            <w:r w:rsidRPr="00397C42">
              <w:rPr>
                <w:b/>
                <w:bCs/>
              </w:rPr>
              <w:t>Gross</w:t>
            </w:r>
          </w:p>
        </w:tc>
        <w:tc>
          <w:tcPr>
            <w:tcW w:w="1134" w:type="dxa"/>
            <w:tcBorders>
              <w:bottom w:val="nil"/>
            </w:tcBorders>
          </w:tcPr>
          <w:p w14:paraId="646A4CD8" w14:textId="77777777" w:rsidR="00271E37" w:rsidRPr="00397C42" w:rsidRDefault="00271E37" w:rsidP="00472C3C">
            <w:pPr>
              <w:rPr>
                <w:b/>
                <w:bCs/>
              </w:rPr>
            </w:pPr>
            <w:r w:rsidRPr="00397C42">
              <w:rPr>
                <w:b/>
                <w:bCs/>
              </w:rPr>
              <w:t>doubtful debts</w:t>
            </w:r>
          </w:p>
        </w:tc>
        <w:tc>
          <w:tcPr>
            <w:tcW w:w="1134" w:type="dxa"/>
            <w:tcBorders>
              <w:bottom w:val="nil"/>
            </w:tcBorders>
          </w:tcPr>
          <w:p w14:paraId="5D12EFCE" w14:textId="77777777" w:rsidR="00271E37" w:rsidRPr="00472C3C" w:rsidRDefault="00271E37" w:rsidP="00472C3C">
            <w:r w:rsidRPr="00472C3C">
              <w:t xml:space="preserve">loss rate </w:t>
            </w:r>
          </w:p>
        </w:tc>
        <w:tc>
          <w:tcPr>
            <w:tcW w:w="1134" w:type="dxa"/>
            <w:tcBorders>
              <w:bottom w:val="nil"/>
            </w:tcBorders>
          </w:tcPr>
          <w:p w14:paraId="3A869CE9" w14:textId="77777777" w:rsidR="00271E37" w:rsidRPr="00472C3C" w:rsidRDefault="00271E37" w:rsidP="00472C3C">
            <w:r w:rsidRPr="00472C3C">
              <w:t>Gross</w:t>
            </w:r>
          </w:p>
        </w:tc>
        <w:tc>
          <w:tcPr>
            <w:tcW w:w="1134" w:type="dxa"/>
            <w:tcBorders>
              <w:bottom w:val="nil"/>
            </w:tcBorders>
          </w:tcPr>
          <w:p w14:paraId="593E5FC6" w14:textId="77777777" w:rsidR="00271E37" w:rsidRPr="00472C3C" w:rsidRDefault="00271E37" w:rsidP="00472C3C">
            <w:r w:rsidRPr="00472C3C">
              <w:t>doubtful debts</w:t>
            </w:r>
          </w:p>
        </w:tc>
      </w:tr>
      <w:tr w:rsidR="00271E37" w:rsidRPr="00472C3C" w14:paraId="5AC5F174" w14:textId="77777777" w:rsidTr="00397C42">
        <w:tc>
          <w:tcPr>
            <w:tcW w:w="0" w:type="auto"/>
            <w:tcBorders>
              <w:bottom w:val="single" w:sz="4" w:space="0" w:color="auto"/>
            </w:tcBorders>
          </w:tcPr>
          <w:p w14:paraId="4A142C9D" w14:textId="77777777" w:rsidR="00271E37" w:rsidRPr="00472C3C" w:rsidRDefault="00271E37" w:rsidP="00472C3C">
            <w:pPr>
              <w:jc w:val="left"/>
            </w:pPr>
          </w:p>
        </w:tc>
        <w:tc>
          <w:tcPr>
            <w:tcW w:w="1134" w:type="dxa"/>
            <w:tcBorders>
              <w:bottom w:val="single" w:sz="4" w:space="0" w:color="auto"/>
            </w:tcBorders>
          </w:tcPr>
          <w:p w14:paraId="030070CF" w14:textId="77777777" w:rsidR="00271E37" w:rsidRPr="00397C42" w:rsidRDefault="00271E37" w:rsidP="00472C3C">
            <w:pPr>
              <w:rPr>
                <w:b/>
                <w:bCs/>
              </w:rPr>
            </w:pPr>
            <w:r w:rsidRPr="00397C42">
              <w:rPr>
                <w:b/>
                <w:bCs/>
              </w:rPr>
              <w:t xml:space="preserve"> %</w:t>
            </w:r>
          </w:p>
        </w:tc>
        <w:tc>
          <w:tcPr>
            <w:tcW w:w="1134" w:type="dxa"/>
            <w:tcBorders>
              <w:bottom w:val="single" w:sz="4" w:space="0" w:color="auto"/>
            </w:tcBorders>
          </w:tcPr>
          <w:p w14:paraId="42F46CA5" w14:textId="77777777" w:rsidR="00271E37" w:rsidRPr="00397C42" w:rsidRDefault="00271E37" w:rsidP="00472C3C">
            <w:pPr>
              <w:rPr>
                <w:b/>
                <w:bCs/>
              </w:rPr>
            </w:pPr>
            <w:r>
              <w:rPr>
                <w:b/>
                <w:bCs/>
              </w:rPr>
              <w:t>£</w:t>
            </w:r>
            <w:r w:rsidRPr="00397C42">
              <w:rPr>
                <w:b/>
                <w:bCs/>
              </w:rPr>
              <w:t>000</w:t>
            </w:r>
          </w:p>
        </w:tc>
        <w:tc>
          <w:tcPr>
            <w:tcW w:w="1134" w:type="dxa"/>
            <w:tcBorders>
              <w:bottom w:val="single" w:sz="4" w:space="0" w:color="auto"/>
            </w:tcBorders>
          </w:tcPr>
          <w:p w14:paraId="35F8DFAB" w14:textId="77777777" w:rsidR="00271E37" w:rsidRPr="00397C42" w:rsidRDefault="00271E37" w:rsidP="00472C3C">
            <w:pPr>
              <w:rPr>
                <w:b/>
                <w:bCs/>
              </w:rPr>
            </w:pPr>
            <w:r>
              <w:rPr>
                <w:b/>
                <w:bCs/>
              </w:rPr>
              <w:t>£</w:t>
            </w:r>
            <w:r w:rsidRPr="00397C42">
              <w:rPr>
                <w:b/>
                <w:bCs/>
              </w:rPr>
              <w:t>000</w:t>
            </w:r>
          </w:p>
        </w:tc>
        <w:tc>
          <w:tcPr>
            <w:tcW w:w="1134" w:type="dxa"/>
            <w:tcBorders>
              <w:bottom w:val="single" w:sz="4" w:space="0" w:color="auto"/>
            </w:tcBorders>
          </w:tcPr>
          <w:p w14:paraId="27A978EA" w14:textId="77777777" w:rsidR="00271E37" w:rsidRPr="00472C3C" w:rsidRDefault="00271E37" w:rsidP="00472C3C">
            <w:r w:rsidRPr="00472C3C">
              <w:t>%</w:t>
            </w:r>
          </w:p>
        </w:tc>
        <w:tc>
          <w:tcPr>
            <w:tcW w:w="1134" w:type="dxa"/>
            <w:tcBorders>
              <w:bottom w:val="single" w:sz="4" w:space="0" w:color="auto"/>
            </w:tcBorders>
          </w:tcPr>
          <w:p w14:paraId="2B908206" w14:textId="77777777" w:rsidR="00271E37" w:rsidRPr="00472C3C" w:rsidRDefault="00271E37" w:rsidP="00472C3C">
            <w:r>
              <w:t>£</w:t>
            </w:r>
            <w:r w:rsidRPr="00472C3C">
              <w:t>000</w:t>
            </w:r>
          </w:p>
        </w:tc>
        <w:tc>
          <w:tcPr>
            <w:tcW w:w="1134" w:type="dxa"/>
            <w:tcBorders>
              <w:bottom w:val="single" w:sz="4" w:space="0" w:color="auto"/>
            </w:tcBorders>
          </w:tcPr>
          <w:p w14:paraId="61D8F1ED" w14:textId="77777777" w:rsidR="00271E37" w:rsidRPr="00472C3C" w:rsidRDefault="00271E37" w:rsidP="00472C3C">
            <w:r>
              <w:t>£</w:t>
            </w:r>
            <w:r w:rsidRPr="00472C3C">
              <w:t>000</w:t>
            </w:r>
          </w:p>
        </w:tc>
      </w:tr>
      <w:tr w:rsidR="00271E37" w:rsidRPr="00472C3C" w14:paraId="7609679B" w14:textId="77777777">
        <w:tc>
          <w:tcPr>
            <w:tcW w:w="0" w:type="auto"/>
            <w:tcBorders>
              <w:top w:val="single" w:sz="4" w:space="0" w:color="auto"/>
            </w:tcBorders>
          </w:tcPr>
          <w:p w14:paraId="76CCDF9B" w14:textId="77777777" w:rsidR="00271E37" w:rsidRPr="00472C3C" w:rsidRDefault="00271E37">
            <w:pPr>
              <w:jc w:val="left"/>
            </w:pPr>
            <w:r w:rsidRPr="00472C3C">
              <w:t>Not past due</w:t>
            </w:r>
          </w:p>
        </w:tc>
        <w:tc>
          <w:tcPr>
            <w:tcW w:w="1134" w:type="dxa"/>
            <w:tcBorders>
              <w:top w:val="single" w:sz="4" w:space="0" w:color="auto"/>
            </w:tcBorders>
            <w:vAlign w:val="center"/>
          </w:tcPr>
          <w:p w14:paraId="2CAB2FCD" w14:textId="77777777" w:rsidR="00271E37" w:rsidRPr="003D1B20" w:rsidRDefault="00271E37">
            <w:pPr>
              <w:rPr>
                <w:b/>
                <w:bCs/>
              </w:rPr>
            </w:pPr>
            <w:r>
              <w:rPr>
                <w:rFonts w:cs="Arial"/>
                <w:b/>
                <w:bCs/>
                <w:color w:val="000000"/>
                <w:szCs w:val="16"/>
              </w:rPr>
              <w:t xml:space="preserve"> - </w:t>
            </w:r>
          </w:p>
        </w:tc>
        <w:tc>
          <w:tcPr>
            <w:tcW w:w="1134" w:type="dxa"/>
            <w:tcBorders>
              <w:top w:val="single" w:sz="4" w:space="0" w:color="auto"/>
            </w:tcBorders>
            <w:vAlign w:val="center"/>
          </w:tcPr>
          <w:p w14:paraId="3E5593EE" w14:textId="77777777" w:rsidR="00271E37" w:rsidRPr="003D1B20" w:rsidRDefault="00271E37">
            <w:pPr>
              <w:rPr>
                <w:b/>
                <w:bCs/>
              </w:rPr>
            </w:pPr>
            <w:r w:rsidRPr="009D526A">
              <w:rPr>
                <w:rFonts w:cs="Arial"/>
                <w:b/>
                <w:szCs w:val="16"/>
              </w:rPr>
              <w:t xml:space="preserve">17,835 </w:t>
            </w:r>
          </w:p>
        </w:tc>
        <w:tc>
          <w:tcPr>
            <w:tcW w:w="1134" w:type="dxa"/>
            <w:tcBorders>
              <w:top w:val="single" w:sz="4" w:space="0" w:color="auto"/>
            </w:tcBorders>
            <w:vAlign w:val="center"/>
          </w:tcPr>
          <w:p w14:paraId="7418DDBC" w14:textId="77777777" w:rsidR="00271E37" w:rsidRPr="003530B6" w:rsidRDefault="00271E37">
            <w:pPr>
              <w:rPr>
                <w:b/>
                <w:bCs/>
              </w:rPr>
            </w:pPr>
            <w:r w:rsidRPr="003530B6">
              <w:rPr>
                <w:rFonts w:cs="Arial"/>
                <w:b/>
                <w:bCs/>
                <w:szCs w:val="16"/>
              </w:rPr>
              <w:t xml:space="preserve"> - </w:t>
            </w:r>
          </w:p>
        </w:tc>
        <w:tc>
          <w:tcPr>
            <w:tcW w:w="1134" w:type="dxa"/>
            <w:tcBorders>
              <w:top w:val="single" w:sz="4" w:space="0" w:color="auto"/>
            </w:tcBorders>
            <w:vAlign w:val="center"/>
          </w:tcPr>
          <w:p w14:paraId="78FF720D" w14:textId="77777777" w:rsidR="00271E37" w:rsidRPr="003530B6" w:rsidRDefault="00271E37">
            <w:r w:rsidRPr="003530B6">
              <w:rPr>
                <w:rFonts w:cs="Arial"/>
                <w:szCs w:val="16"/>
              </w:rPr>
              <w:t xml:space="preserve">0.8 </w:t>
            </w:r>
          </w:p>
        </w:tc>
        <w:tc>
          <w:tcPr>
            <w:tcW w:w="1134" w:type="dxa"/>
            <w:tcBorders>
              <w:top w:val="single" w:sz="4" w:space="0" w:color="auto"/>
            </w:tcBorders>
            <w:vAlign w:val="center"/>
          </w:tcPr>
          <w:p w14:paraId="7AC74731" w14:textId="77777777" w:rsidR="00271E37" w:rsidRPr="003530B6" w:rsidRDefault="00271E37">
            <w:r w:rsidRPr="003530B6">
              <w:rPr>
                <w:rFonts w:cs="Arial"/>
                <w:szCs w:val="16"/>
              </w:rPr>
              <w:t xml:space="preserve">40,849 </w:t>
            </w:r>
          </w:p>
        </w:tc>
        <w:tc>
          <w:tcPr>
            <w:tcW w:w="1134" w:type="dxa"/>
            <w:tcBorders>
              <w:top w:val="single" w:sz="4" w:space="0" w:color="auto"/>
            </w:tcBorders>
            <w:vAlign w:val="center"/>
          </w:tcPr>
          <w:p w14:paraId="4A032759" w14:textId="77777777" w:rsidR="00271E37" w:rsidRPr="003530B6" w:rsidRDefault="00271E37">
            <w:r w:rsidRPr="003530B6">
              <w:rPr>
                <w:rFonts w:cs="Arial"/>
                <w:szCs w:val="16"/>
              </w:rPr>
              <w:t>(345)</w:t>
            </w:r>
          </w:p>
        </w:tc>
      </w:tr>
      <w:tr w:rsidR="00271E37" w:rsidRPr="00472C3C" w14:paraId="61633D89" w14:textId="77777777">
        <w:tc>
          <w:tcPr>
            <w:tcW w:w="0" w:type="auto"/>
          </w:tcPr>
          <w:p w14:paraId="61D8A330" w14:textId="77777777" w:rsidR="00271E37" w:rsidRPr="00472C3C" w:rsidRDefault="00271E37">
            <w:pPr>
              <w:jc w:val="left"/>
            </w:pPr>
            <w:r w:rsidRPr="00472C3C">
              <w:t>Past due 0-60 days</w:t>
            </w:r>
          </w:p>
        </w:tc>
        <w:tc>
          <w:tcPr>
            <w:tcW w:w="1134" w:type="dxa"/>
            <w:vAlign w:val="center"/>
          </w:tcPr>
          <w:p w14:paraId="4EF94845" w14:textId="77777777" w:rsidR="00271E37" w:rsidRPr="003D1B20" w:rsidRDefault="00271E37">
            <w:pPr>
              <w:rPr>
                <w:b/>
                <w:bCs/>
              </w:rPr>
            </w:pPr>
            <w:r>
              <w:rPr>
                <w:rFonts w:cs="Arial"/>
                <w:b/>
                <w:bCs/>
                <w:color w:val="000000"/>
                <w:szCs w:val="16"/>
              </w:rPr>
              <w:t xml:space="preserve">2.1 </w:t>
            </w:r>
          </w:p>
        </w:tc>
        <w:tc>
          <w:tcPr>
            <w:tcW w:w="1134" w:type="dxa"/>
            <w:vAlign w:val="center"/>
          </w:tcPr>
          <w:p w14:paraId="4C56651E" w14:textId="77777777" w:rsidR="00271E37" w:rsidRPr="003D1B20" w:rsidRDefault="00271E37">
            <w:pPr>
              <w:rPr>
                <w:b/>
                <w:bCs/>
              </w:rPr>
            </w:pPr>
            <w:r>
              <w:rPr>
                <w:rFonts w:cs="Arial"/>
                <w:b/>
                <w:bCs/>
                <w:color w:val="000000"/>
                <w:szCs w:val="16"/>
              </w:rPr>
              <w:t xml:space="preserve">2,142 </w:t>
            </w:r>
          </w:p>
        </w:tc>
        <w:tc>
          <w:tcPr>
            <w:tcW w:w="1134" w:type="dxa"/>
            <w:vAlign w:val="center"/>
          </w:tcPr>
          <w:p w14:paraId="297218E0" w14:textId="77777777" w:rsidR="00271E37" w:rsidRPr="003530B6" w:rsidRDefault="00271E37">
            <w:pPr>
              <w:rPr>
                <w:b/>
                <w:bCs/>
              </w:rPr>
            </w:pPr>
            <w:r w:rsidRPr="003530B6">
              <w:rPr>
                <w:rFonts w:cs="Arial"/>
                <w:b/>
                <w:bCs/>
                <w:szCs w:val="16"/>
              </w:rPr>
              <w:t>(45)</w:t>
            </w:r>
          </w:p>
        </w:tc>
        <w:tc>
          <w:tcPr>
            <w:tcW w:w="1134" w:type="dxa"/>
            <w:vAlign w:val="center"/>
          </w:tcPr>
          <w:p w14:paraId="19310F36" w14:textId="77777777" w:rsidR="00271E37" w:rsidRPr="003530B6" w:rsidRDefault="00271E37">
            <w:r w:rsidRPr="003530B6">
              <w:rPr>
                <w:rFonts w:cs="Arial"/>
                <w:szCs w:val="16"/>
              </w:rPr>
              <w:t xml:space="preserve">0.2 </w:t>
            </w:r>
          </w:p>
        </w:tc>
        <w:tc>
          <w:tcPr>
            <w:tcW w:w="1134" w:type="dxa"/>
            <w:vAlign w:val="center"/>
          </w:tcPr>
          <w:p w14:paraId="0A214930" w14:textId="77777777" w:rsidR="00271E37" w:rsidRPr="003530B6" w:rsidRDefault="00271E37">
            <w:r w:rsidRPr="003530B6">
              <w:rPr>
                <w:rFonts w:cs="Arial"/>
                <w:szCs w:val="16"/>
              </w:rPr>
              <w:t xml:space="preserve">13,274 </w:t>
            </w:r>
          </w:p>
        </w:tc>
        <w:tc>
          <w:tcPr>
            <w:tcW w:w="1134" w:type="dxa"/>
            <w:vAlign w:val="center"/>
          </w:tcPr>
          <w:p w14:paraId="3A015D40" w14:textId="77777777" w:rsidR="00271E37" w:rsidRPr="003530B6" w:rsidRDefault="00271E37">
            <w:r w:rsidRPr="003530B6">
              <w:rPr>
                <w:rFonts w:cs="Arial"/>
                <w:szCs w:val="16"/>
              </w:rPr>
              <w:t>(27)</w:t>
            </w:r>
          </w:p>
        </w:tc>
      </w:tr>
      <w:tr w:rsidR="00271E37" w:rsidRPr="00472C3C" w14:paraId="4225FFBD" w14:textId="77777777">
        <w:tc>
          <w:tcPr>
            <w:tcW w:w="0" w:type="auto"/>
            <w:tcBorders>
              <w:bottom w:val="nil"/>
            </w:tcBorders>
          </w:tcPr>
          <w:p w14:paraId="373C9014" w14:textId="77777777" w:rsidR="00271E37" w:rsidRPr="00472C3C" w:rsidRDefault="00271E37">
            <w:pPr>
              <w:jc w:val="left"/>
            </w:pPr>
            <w:r w:rsidRPr="00472C3C">
              <w:t>61-90 days</w:t>
            </w:r>
          </w:p>
        </w:tc>
        <w:tc>
          <w:tcPr>
            <w:tcW w:w="1134" w:type="dxa"/>
            <w:tcBorders>
              <w:bottom w:val="nil"/>
            </w:tcBorders>
            <w:vAlign w:val="center"/>
          </w:tcPr>
          <w:p w14:paraId="29702AE8" w14:textId="77777777" w:rsidR="00271E37" w:rsidRPr="003D1B20" w:rsidRDefault="00271E37">
            <w:pPr>
              <w:rPr>
                <w:b/>
                <w:bCs/>
              </w:rPr>
            </w:pPr>
            <w:r>
              <w:rPr>
                <w:rFonts w:cs="Arial"/>
                <w:b/>
                <w:bCs/>
                <w:color w:val="000000"/>
                <w:szCs w:val="16"/>
              </w:rPr>
              <w:t xml:space="preserve">7.2 </w:t>
            </w:r>
          </w:p>
        </w:tc>
        <w:tc>
          <w:tcPr>
            <w:tcW w:w="1134" w:type="dxa"/>
            <w:tcBorders>
              <w:bottom w:val="nil"/>
            </w:tcBorders>
            <w:vAlign w:val="center"/>
          </w:tcPr>
          <w:p w14:paraId="4F2ABF60" w14:textId="77777777" w:rsidR="00271E37" w:rsidRPr="003D1B20" w:rsidRDefault="00271E37">
            <w:pPr>
              <w:rPr>
                <w:b/>
                <w:bCs/>
              </w:rPr>
            </w:pPr>
            <w:r>
              <w:rPr>
                <w:rFonts w:cs="Arial"/>
                <w:b/>
                <w:bCs/>
                <w:color w:val="000000"/>
                <w:szCs w:val="16"/>
              </w:rPr>
              <w:t xml:space="preserve">660 </w:t>
            </w:r>
          </w:p>
        </w:tc>
        <w:tc>
          <w:tcPr>
            <w:tcW w:w="1134" w:type="dxa"/>
            <w:tcBorders>
              <w:bottom w:val="nil"/>
            </w:tcBorders>
            <w:vAlign w:val="center"/>
          </w:tcPr>
          <w:p w14:paraId="35FCAF73" w14:textId="77777777" w:rsidR="00271E37" w:rsidRPr="003530B6" w:rsidRDefault="00271E37">
            <w:pPr>
              <w:rPr>
                <w:b/>
                <w:bCs/>
              </w:rPr>
            </w:pPr>
            <w:r w:rsidRPr="003530B6">
              <w:rPr>
                <w:rFonts w:cs="Arial"/>
                <w:b/>
                <w:bCs/>
                <w:szCs w:val="16"/>
              </w:rPr>
              <w:t>(47)</w:t>
            </w:r>
          </w:p>
        </w:tc>
        <w:tc>
          <w:tcPr>
            <w:tcW w:w="1134" w:type="dxa"/>
            <w:tcBorders>
              <w:bottom w:val="nil"/>
            </w:tcBorders>
            <w:vAlign w:val="center"/>
          </w:tcPr>
          <w:p w14:paraId="39E3A5FF" w14:textId="77777777" w:rsidR="00271E37" w:rsidRPr="003530B6" w:rsidRDefault="00271E37">
            <w:r w:rsidRPr="003530B6">
              <w:rPr>
                <w:rFonts w:cs="Arial"/>
                <w:szCs w:val="16"/>
              </w:rPr>
              <w:t xml:space="preserve">22.5 </w:t>
            </w:r>
          </w:p>
        </w:tc>
        <w:tc>
          <w:tcPr>
            <w:tcW w:w="1134" w:type="dxa"/>
            <w:tcBorders>
              <w:bottom w:val="nil"/>
            </w:tcBorders>
            <w:vAlign w:val="center"/>
          </w:tcPr>
          <w:p w14:paraId="6D63EB98" w14:textId="77777777" w:rsidR="00271E37" w:rsidRPr="003530B6" w:rsidRDefault="00271E37">
            <w:r w:rsidRPr="003530B6">
              <w:rPr>
                <w:rFonts w:cs="Arial"/>
                <w:szCs w:val="16"/>
              </w:rPr>
              <w:t xml:space="preserve">2,684 </w:t>
            </w:r>
          </w:p>
        </w:tc>
        <w:tc>
          <w:tcPr>
            <w:tcW w:w="1134" w:type="dxa"/>
            <w:tcBorders>
              <w:bottom w:val="nil"/>
            </w:tcBorders>
            <w:vAlign w:val="center"/>
          </w:tcPr>
          <w:p w14:paraId="2D521CC2" w14:textId="77777777" w:rsidR="00271E37" w:rsidRPr="003530B6" w:rsidRDefault="00271E37">
            <w:r w:rsidRPr="003530B6">
              <w:rPr>
                <w:rFonts w:cs="Arial"/>
                <w:szCs w:val="16"/>
              </w:rPr>
              <w:t>(605)</w:t>
            </w:r>
          </w:p>
        </w:tc>
      </w:tr>
      <w:tr w:rsidR="00271E37" w:rsidRPr="00472C3C" w14:paraId="20BC42F4" w14:textId="77777777">
        <w:tc>
          <w:tcPr>
            <w:tcW w:w="0" w:type="auto"/>
            <w:tcBorders>
              <w:bottom w:val="single" w:sz="4" w:space="0" w:color="auto"/>
            </w:tcBorders>
          </w:tcPr>
          <w:p w14:paraId="46D0D784" w14:textId="77777777" w:rsidR="00271E37" w:rsidRPr="00472C3C" w:rsidRDefault="00271E37">
            <w:pPr>
              <w:jc w:val="left"/>
            </w:pPr>
            <w:r w:rsidRPr="00472C3C">
              <w:t>More than 90 days</w:t>
            </w:r>
          </w:p>
        </w:tc>
        <w:tc>
          <w:tcPr>
            <w:tcW w:w="1134" w:type="dxa"/>
            <w:tcBorders>
              <w:bottom w:val="single" w:sz="4" w:space="0" w:color="auto"/>
            </w:tcBorders>
            <w:vAlign w:val="center"/>
          </w:tcPr>
          <w:p w14:paraId="54E8C555" w14:textId="77777777" w:rsidR="00271E37" w:rsidRPr="003D1B20" w:rsidRDefault="00271E37">
            <w:pPr>
              <w:rPr>
                <w:b/>
                <w:bCs/>
              </w:rPr>
            </w:pPr>
            <w:r>
              <w:rPr>
                <w:rFonts w:cs="Arial"/>
                <w:b/>
                <w:bCs/>
                <w:color w:val="000000"/>
                <w:szCs w:val="16"/>
              </w:rPr>
              <w:t xml:space="preserve">53.2 </w:t>
            </w:r>
          </w:p>
        </w:tc>
        <w:tc>
          <w:tcPr>
            <w:tcW w:w="1134" w:type="dxa"/>
            <w:tcBorders>
              <w:bottom w:val="single" w:sz="4" w:space="0" w:color="auto"/>
            </w:tcBorders>
            <w:vAlign w:val="center"/>
          </w:tcPr>
          <w:p w14:paraId="00E73AAE" w14:textId="77777777" w:rsidR="00271E37" w:rsidRPr="003D1B20" w:rsidRDefault="00271E37">
            <w:pPr>
              <w:rPr>
                <w:b/>
                <w:bCs/>
              </w:rPr>
            </w:pPr>
            <w:r>
              <w:rPr>
                <w:rFonts w:cs="Arial"/>
                <w:b/>
                <w:bCs/>
                <w:color w:val="000000"/>
                <w:szCs w:val="16"/>
              </w:rPr>
              <w:t xml:space="preserve">786 </w:t>
            </w:r>
          </w:p>
        </w:tc>
        <w:tc>
          <w:tcPr>
            <w:tcW w:w="1134" w:type="dxa"/>
            <w:tcBorders>
              <w:bottom w:val="single" w:sz="4" w:space="0" w:color="auto"/>
            </w:tcBorders>
            <w:vAlign w:val="center"/>
          </w:tcPr>
          <w:p w14:paraId="41C2CECC" w14:textId="77777777" w:rsidR="00271E37" w:rsidRPr="003530B6" w:rsidRDefault="00271E37">
            <w:pPr>
              <w:rPr>
                <w:b/>
                <w:bCs/>
              </w:rPr>
            </w:pPr>
            <w:r w:rsidRPr="003530B6">
              <w:rPr>
                <w:rFonts w:cs="Arial"/>
                <w:b/>
                <w:bCs/>
                <w:szCs w:val="16"/>
              </w:rPr>
              <w:t>(418)</w:t>
            </w:r>
          </w:p>
        </w:tc>
        <w:tc>
          <w:tcPr>
            <w:tcW w:w="1134" w:type="dxa"/>
            <w:tcBorders>
              <w:bottom w:val="single" w:sz="4" w:space="0" w:color="auto"/>
            </w:tcBorders>
            <w:vAlign w:val="center"/>
          </w:tcPr>
          <w:p w14:paraId="69843AAE" w14:textId="77777777" w:rsidR="00271E37" w:rsidRPr="003530B6" w:rsidRDefault="00271E37">
            <w:r w:rsidRPr="003530B6">
              <w:rPr>
                <w:rFonts w:cs="Arial"/>
                <w:szCs w:val="16"/>
              </w:rPr>
              <w:t xml:space="preserve">36.7 </w:t>
            </w:r>
          </w:p>
        </w:tc>
        <w:tc>
          <w:tcPr>
            <w:tcW w:w="1134" w:type="dxa"/>
            <w:tcBorders>
              <w:bottom w:val="single" w:sz="4" w:space="0" w:color="auto"/>
            </w:tcBorders>
            <w:vAlign w:val="center"/>
          </w:tcPr>
          <w:p w14:paraId="10CC10F6" w14:textId="77777777" w:rsidR="00271E37" w:rsidRPr="003530B6" w:rsidRDefault="00271E37">
            <w:r w:rsidRPr="003530B6">
              <w:rPr>
                <w:rFonts w:cs="Arial"/>
                <w:szCs w:val="16"/>
              </w:rPr>
              <w:t xml:space="preserve">5,325 </w:t>
            </w:r>
          </w:p>
        </w:tc>
        <w:tc>
          <w:tcPr>
            <w:tcW w:w="1134" w:type="dxa"/>
            <w:tcBorders>
              <w:bottom w:val="single" w:sz="4" w:space="0" w:color="auto"/>
            </w:tcBorders>
            <w:vAlign w:val="center"/>
          </w:tcPr>
          <w:p w14:paraId="7FB3687B" w14:textId="77777777" w:rsidR="00271E37" w:rsidRPr="003530B6" w:rsidRDefault="00271E37">
            <w:r w:rsidRPr="003530B6">
              <w:rPr>
                <w:rFonts w:cs="Arial"/>
                <w:szCs w:val="16"/>
              </w:rPr>
              <w:t>(1,957)</w:t>
            </w:r>
          </w:p>
        </w:tc>
      </w:tr>
      <w:tr w:rsidR="00271E37" w:rsidRPr="00472C3C" w14:paraId="4E757CDB" w14:textId="77777777">
        <w:tc>
          <w:tcPr>
            <w:tcW w:w="0" w:type="auto"/>
            <w:tcBorders>
              <w:top w:val="single" w:sz="4" w:space="0" w:color="auto"/>
            </w:tcBorders>
          </w:tcPr>
          <w:p w14:paraId="71613F50" w14:textId="77777777" w:rsidR="00271E37" w:rsidRPr="00472C3C" w:rsidRDefault="00271E37">
            <w:pPr>
              <w:jc w:val="left"/>
            </w:pPr>
          </w:p>
        </w:tc>
        <w:tc>
          <w:tcPr>
            <w:tcW w:w="1134" w:type="dxa"/>
            <w:tcBorders>
              <w:top w:val="single" w:sz="4" w:space="0" w:color="auto"/>
            </w:tcBorders>
            <w:vAlign w:val="center"/>
          </w:tcPr>
          <w:p w14:paraId="3AC6D480" w14:textId="0A63C2B4" w:rsidR="00271E37" w:rsidRPr="003530B6" w:rsidRDefault="006F0D35">
            <w:pPr>
              <w:rPr>
                <w:b/>
                <w:bCs/>
              </w:rPr>
            </w:pPr>
            <w:r>
              <w:rPr>
                <w:rFonts w:cs="Arial"/>
                <w:b/>
                <w:bCs/>
                <w:color w:val="000000"/>
                <w:szCs w:val="16"/>
              </w:rPr>
              <w:t>2.3</w:t>
            </w:r>
            <w:r w:rsidR="00271E37">
              <w:rPr>
                <w:rFonts w:cs="Arial"/>
                <w:b/>
                <w:bCs/>
                <w:color w:val="000000"/>
                <w:szCs w:val="16"/>
              </w:rPr>
              <w:t xml:space="preserve"> </w:t>
            </w:r>
          </w:p>
        </w:tc>
        <w:tc>
          <w:tcPr>
            <w:tcW w:w="1134" w:type="dxa"/>
            <w:tcBorders>
              <w:top w:val="single" w:sz="4" w:space="0" w:color="auto"/>
            </w:tcBorders>
            <w:vAlign w:val="center"/>
          </w:tcPr>
          <w:p w14:paraId="78D316D3" w14:textId="77777777" w:rsidR="00271E37" w:rsidRPr="003530B6" w:rsidRDefault="00271E37">
            <w:pPr>
              <w:rPr>
                <w:b/>
                <w:bCs/>
              </w:rPr>
            </w:pPr>
            <w:r>
              <w:rPr>
                <w:rFonts w:cs="Arial"/>
                <w:b/>
                <w:bCs/>
                <w:color w:val="000000"/>
                <w:szCs w:val="16"/>
              </w:rPr>
              <w:t xml:space="preserve">21,423 </w:t>
            </w:r>
          </w:p>
        </w:tc>
        <w:tc>
          <w:tcPr>
            <w:tcW w:w="1134" w:type="dxa"/>
            <w:tcBorders>
              <w:top w:val="single" w:sz="4" w:space="0" w:color="auto"/>
            </w:tcBorders>
            <w:vAlign w:val="center"/>
          </w:tcPr>
          <w:p w14:paraId="551FA52C" w14:textId="77777777" w:rsidR="00271E37" w:rsidRPr="003530B6" w:rsidRDefault="00271E37">
            <w:pPr>
              <w:rPr>
                <w:b/>
                <w:bCs/>
              </w:rPr>
            </w:pPr>
            <w:r w:rsidRPr="003530B6">
              <w:rPr>
                <w:rFonts w:cs="Arial"/>
                <w:b/>
                <w:bCs/>
                <w:szCs w:val="16"/>
              </w:rPr>
              <w:t>(510)</w:t>
            </w:r>
          </w:p>
        </w:tc>
        <w:tc>
          <w:tcPr>
            <w:tcW w:w="1134" w:type="dxa"/>
            <w:tcBorders>
              <w:top w:val="single" w:sz="4" w:space="0" w:color="auto"/>
            </w:tcBorders>
            <w:vAlign w:val="center"/>
          </w:tcPr>
          <w:p w14:paraId="3A106107" w14:textId="77777777" w:rsidR="00271E37" w:rsidRPr="003530B6" w:rsidRDefault="00271E37">
            <w:r w:rsidRPr="003530B6">
              <w:rPr>
                <w:rFonts w:cs="Arial"/>
                <w:szCs w:val="16"/>
              </w:rPr>
              <w:t xml:space="preserve">4.7 </w:t>
            </w:r>
          </w:p>
        </w:tc>
        <w:tc>
          <w:tcPr>
            <w:tcW w:w="1134" w:type="dxa"/>
            <w:tcBorders>
              <w:top w:val="single" w:sz="4" w:space="0" w:color="auto"/>
            </w:tcBorders>
            <w:vAlign w:val="center"/>
          </w:tcPr>
          <w:p w14:paraId="21670D6E" w14:textId="77777777" w:rsidR="00271E37" w:rsidRPr="003530B6" w:rsidRDefault="00271E37">
            <w:r w:rsidRPr="003530B6">
              <w:rPr>
                <w:rFonts w:cs="Arial"/>
                <w:szCs w:val="16"/>
              </w:rPr>
              <w:t xml:space="preserve">62,132 </w:t>
            </w:r>
          </w:p>
        </w:tc>
        <w:tc>
          <w:tcPr>
            <w:tcW w:w="1134" w:type="dxa"/>
            <w:tcBorders>
              <w:top w:val="single" w:sz="4" w:space="0" w:color="auto"/>
            </w:tcBorders>
            <w:vAlign w:val="center"/>
          </w:tcPr>
          <w:p w14:paraId="097AFE2B" w14:textId="77777777" w:rsidR="00271E37" w:rsidRPr="003530B6" w:rsidRDefault="00271E37">
            <w:r w:rsidRPr="003530B6">
              <w:rPr>
                <w:rFonts w:cs="Arial"/>
                <w:szCs w:val="16"/>
              </w:rPr>
              <w:t>(2,934)</w:t>
            </w:r>
          </w:p>
        </w:tc>
      </w:tr>
    </w:tbl>
    <w:p w14:paraId="0C43B11B" w14:textId="77777777" w:rsidR="00271E37" w:rsidRDefault="00271E37" w:rsidP="002E39D4"/>
    <w:p w14:paraId="1BEE2098" w14:textId="77777777" w:rsidR="00271E37" w:rsidRDefault="00271E37" w:rsidP="002E39D4">
      <w:r>
        <w:t>The decrease in expected loss rate is reflective of lower</w:t>
      </w:r>
      <w:r w:rsidRPr="0016677F">
        <w:t xml:space="preserve"> credit risk </w:t>
      </w:r>
      <w:r>
        <w:t>associated with the Group’s customers post DG Americas disposal</w:t>
      </w:r>
      <w:r w:rsidRPr="0016677F">
        <w:t>.</w:t>
      </w:r>
    </w:p>
    <w:p w14:paraId="19651B26" w14:textId="77777777" w:rsidR="00271E37" w:rsidRDefault="00271E37" w:rsidP="002E39D4"/>
    <w:p w14:paraId="56CF2F8F" w14:textId="77777777" w:rsidR="00271E37" w:rsidRDefault="00271E37">
      <w:pPr>
        <w:pStyle w:val="LBbullets"/>
        <w:numPr>
          <w:ilvl w:val="0"/>
          <w:numId w:val="0"/>
        </w:numPr>
      </w:pPr>
      <w:r>
        <w:t xml:space="preserve">The Group (continuing operations) has a concentration of credit risk with its largest customers. At 31 March 2026, the Group’s largest customer accounted </w:t>
      </w:r>
      <w:r w:rsidRPr="000B192F">
        <w:t>for 33% (2025: 35%) of</w:t>
      </w:r>
      <w:r>
        <w:t xml:space="preserve"> the total Group trade receivables. </w:t>
      </w:r>
    </w:p>
    <w:p w14:paraId="656067F9" w14:textId="77777777" w:rsidR="00271E37" w:rsidRDefault="00271E37">
      <w:r w:rsidRPr="00607CF1">
        <w:t xml:space="preserve">Revenue from the largest customer represented </w:t>
      </w:r>
      <w:r>
        <w:t>23</w:t>
      </w:r>
      <w:r w:rsidRPr="00607CF1">
        <w:t xml:space="preserve">% (2025: </w:t>
      </w:r>
      <w:r>
        <w:t>23</w:t>
      </w:r>
      <w:r w:rsidRPr="00607CF1">
        <w:t>%) of total Group revenue.</w:t>
      </w:r>
      <w:r>
        <w:t xml:space="preserve"> </w:t>
      </w:r>
      <w:r w:rsidRPr="008A2856">
        <w:rPr>
          <w:rFonts w:eastAsia="Times New Roman" w:cs="Arial"/>
          <w:color w:val="000000"/>
          <w:szCs w:val="16"/>
          <w:lang w:eastAsia="en-GB"/>
        </w:rPr>
        <w:t>In the year ended 31 March 2026, total sales to that customer were £50.8 million (2025: £51.0 million).</w:t>
      </w:r>
      <w:r>
        <w:rPr>
          <w:rFonts w:eastAsia="Times New Roman" w:cs="Arial"/>
          <w:color w:val="000000"/>
          <w:szCs w:val="16"/>
          <w:lang w:eastAsia="en-GB"/>
        </w:rPr>
        <w:t xml:space="preserve"> </w:t>
      </w:r>
      <w:r>
        <w:t xml:space="preserve">Group sells to one more customer that represents 13% (2025: 16%) of total continuing Group revenue. </w:t>
      </w:r>
    </w:p>
    <w:p w14:paraId="3E81B24B" w14:textId="77777777" w:rsidR="00271E37" w:rsidRPr="00CC2988" w:rsidRDefault="00271E37"/>
    <w:p w14:paraId="10A1C43C" w14:textId="77777777" w:rsidR="00271E37" w:rsidRPr="00646AB7" w:rsidRDefault="00271E37">
      <w:r w:rsidRPr="002D28FF">
        <w:t>The Group’s credit exposure is geographically diversified</w:t>
      </w:r>
      <w:r>
        <w:t xml:space="preserve"> </w:t>
      </w:r>
      <w:r w:rsidRPr="00646AB7">
        <w:t>with no single country representing a material proportion of total trade receivables.</w:t>
      </w:r>
    </w:p>
    <w:p w14:paraId="28F1F53C" w14:textId="77777777" w:rsidR="00271E37" w:rsidRDefault="00271E37" w:rsidP="002E39D4"/>
    <w:p w14:paraId="6559C48E" w14:textId="77777777" w:rsidR="00271E37" w:rsidRDefault="00271E37" w:rsidP="002876C8">
      <w:pPr>
        <w:pStyle w:val="Heading4"/>
        <w:rPr>
          <w:b/>
          <w:bCs/>
        </w:rPr>
      </w:pPr>
      <w:r w:rsidRPr="002876C8">
        <w:rPr>
          <w:rFonts w:ascii="Arial" w:hAnsi="Arial" w:cs="Arial"/>
          <w:b/>
          <w:color w:val="auto"/>
          <w:sz w:val="16"/>
          <w:szCs w:val="16"/>
        </w:rPr>
        <w:t>Expected credit loss assessment</w:t>
      </w:r>
    </w:p>
    <w:p w14:paraId="3FD6598C" w14:textId="77777777" w:rsidR="00271E37" w:rsidRDefault="00271E37"/>
    <w:p w14:paraId="1D362129" w14:textId="77777777" w:rsidR="00271E37" w:rsidRPr="00E20FB0" w:rsidRDefault="00271E37">
      <w:r w:rsidRPr="00E20FB0">
        <w:t>Expected credit losses on trade receivables are measured using the simplified approach under IFRS 9, with lifetime expected credit losses recognised for all balances.</w:t>
      </w:r>
      <w:r>
        <w:t xml:space="preserve"> </w:t>
      </w:r>
      <w:r w:rsidRPr="00E20FB0">
        <w:t>The Group applies a provisioning matrix based on historical loss experience, adjusted as necessary to reflect current conditions and forward</w:t>
      </w:r>
      <w:r w:rsidRPr="00E20FB0">
        <w:noBreakHyphen/>
        <w:t>looking macroeconomic factors at the reporting date. The assessment incorporates reasonable and supportable information, including customer credit quality, ageing profiles and relevant external data.</w:t>
      </w:r>
      <w:r>
        <w:t xml:space="preserve"> </w:t>
      </w:r>
      <w:r w:rsidRPr="00E20FB0">
        <w:t>Management exercises judgement in determining expected losses, taking into account factors such as external credit ratings, available financial information and recent trading performance of customers. Given the short-term nature of trade receivables, the measurement of lifetime expected credit losses is not significantly sensitive to the timing of default.</w:t>
      </w:r>
    </w:p>
    <w:p w14:paraId="40A2D871" w14:textId="77777777" w:rsidR="00271E37" w:rsidRDefault="00271E37" w:rsidP="002E39D4"/>
    <w:p w14:paraId="425649E2" w14:textId="77777777" w:rsidR="00271E37" w:rsidRDefault="00271E37" w:rsidP="002E39D4">
      <w:r>
        <w:t>The movement in the allowance for impairment in respect of trade receivables during the year was as follows:</w:t>
      </w:r>
    </w:p>
    <w:tbl>
      <w:tblPr>
        <w:tblStyle w:val="tableDUL"/>
        <w:tblW w:w="9639" w:type="dxa"/>
        <w:tblLook w:val="04A0" w:firstRow="1" w:lastRow="0" w:firstColumn="1" w:lastColumn="0" w:noHBand="0" w:noVBand="1"/>
      </w:tblPr>
      <w:tblGrid>
        <w:gridCol w:w="7371"/>
        <w:gridCol w:w="1134"/>
        <w:gridCol w:w="1134"/>
      </w:tblGrid>
      <w:tr w:rsidR="00271E37" w:rsidRPr="00397C42" w14:paraId="06BFF91F" w14:textId="77777777" w:rsidTr="00397C42">
        <w:tc>
          <w:tcPr>
            <w:tcW w:w="0" w:type="auto"/>
            <w:tcBorders>
              <w:bottom w:val="nil"/>
            </w:tcBorders>
          </w:tcPr>
          <w:p w14:paraId="035D2CFC" w14:textId="77777777" w:rsidR="00271E37" w:rsidRPr="00397C42" w:rsidRDefault="00271E37" w:rsidP="00397C42">
            <w:pPr>
              <w:jc w:val="left"/>
            </w:pPr>
          </w:p>
        </w:tc>
        <w:tc>
          <w:tcPr>
            <w:tcW w:w="1134" w:type="dxa"/>
            <w:tcBorders>
              <w:bottom w:val="nil"/>
            </w:tcBorders>
          </w:tcPr>
          <w:p w14:paraId="289376C5" w14:textId="77777777" w:rsidR="00271E37" w:rsidRPr="00397C42" w:rsidRDefault="00271E37" w:rsidP="000923EA">
            <w:pPr>
              <w:rPr>
                <w:b/>
                <w:bCs/>
              </w:rPr>
            </w:pPr>
            <w:r w:rsidRPr="00397C42">
              <w:rPr>
                <w:b/>
                <w:bCs/>
              </w:rPr>
              <w:t>202</w:t>
            </w:r>
            <w:r>
              <w:rPr>
                <w:b/>
                <w:bCs/>
              </w:rPr>
              <w:t>6</w:t>
            </w:r>
          </w:p>
        </w:tc>
        <w:tc>
          <w:tcPr>
            <w:tcW w:w="1134" w:type="dxa"/>
            <w:tcBorders>
              <w:bottom w:val="nil"/>
            </w:tcBorders>
          </w:tcPr>
          <w:p w14:paraId="3C403863" w14:textId="77777777" w:rsidR="00271E37" w:rsidRPr="00397C42" w:rsidRDefault="00271E37" w:rsidP="000923EA">
            <w:r w:rsidRPr="00397C42">
              <w:t>202</w:t>
            </w:r>
            <w:r>
              <w:t>5</w:t>
            </w:r>
          </w:p>
        </w:tc>
      </w:tr>
      <w:tr w:rsidR="00271E37" w:rsidRPr="00397C42" w14:paraId="03D9AB8F" w14:textId="77777777" w:rsidTr="00397C42">
        <w:tc>
          <w:tcPr>
            <w:tcW w:w="0" w:type="auto"/>
            <w:tcBorders>
              <w:bottom w:val="single" w:sz="4" w:space="0" w:color="auto"/>
            </w:tcBorders>
          </w:tcPr>
          <w:p w14:paraId="0DC4D4DC" w14:textId="77777777" w:rsidR="00271E37" w:rsidRPr="00397C42" w:rsidRDefault="00271E37" w:rsidP="00397C42">
            <w:pPr>
              <w:jc w:val="left"/>
            </w:pPr>
          </w:p>
        </w:tc>
        <w:tc>
          <w:tcPr>
            <w:tcW w:w="1134" w:type="dxa"/>
            <w:tcBorders>
              <w:bottom w:val="single" w:sz="4" w:space="0" w:color="auto"/>
            </w:tcBorders>
          </w:tcPr>
          <w:p w14:paraId="5326B10C" w14:textId="77777777" w:rsidR="00271E37" w:rsidRPr="00397C42" w:rsidRDefault="00271E37" w:rsidP="000923EA">
            <w:pPr>
              <w:rPr>
                <w:b/>
                <w:bCs/>
              </w:rPr>
            </w:pPr>
            <w:r>
              <w:rPr>
                <w:b/>
                <w:bCs/>
              </w:rPr>
              <w:t>£</w:t>
            </w:r>
            <w:r w:rsidRPr="00397C42">
              <w:rPr>
                <w:b/>
                <w:bCs/>
              </w:rPr>
              <w:t>000</w:t>
            </w:r>
          </w:p>
        </w:tc>
        <w:tc>
          <w:tcPr>
            <w:tcW w:w="1134" w:type="dxa"/>
            <w:tcBorders>
              <w:bottom w:val="single" w:sz="4" w:space="0" w:color="auto"/>
            </w:tcBorders>
          </w:tcPr>
          <w:p w14:paraId="0E62EAE2" w14:textId="77777777" w:rsidR="00271E37" w:rsidRPr="00397C42" w:rsidRDefault="00271E37" w:rsidP="000923EA">
            <w:r>
              <w:t>£</w:t>
            </w:r>
            <w:r w:rsidRPr="00397C42">
              <w:t>000</w:t>
            </w:r>
          </w:p>
        </w:tc>
      </w:tr>
      <w:tr w:rsidR="00271E37" w:rsidRPr="00397C42" w14:paraId="34E38C9B" w14:textId="77777777">
        <w:tc>
          <w:tcPr>
            <w:tcW w:w="0" w:type="auto"/>
            <w:tcBorders>
              <w:top w:val="single" w:sz="4" w:space="0" w:color="auto"/>
            </w:tcBorders>
          </w:tcPr>
          <w:p w14:paraId="50973D0D" w14:textId="77777777" w:rsidR="00271E37" w:rsidRPr="00397C42" w:rsidRDefault="00271E37">
            <w:pPr>
              <w:jc w:val="left"/>
            </w:pPr>
            <w:r w:rsidRPr="00397C42">
              <w:t xml:space="preserve">Balance at 1 April </w:t>
            </w:r>
          </w:p>
        </w:tc>
        <w:tc>
          <w:tcPr>
            <w:tcW w:w="1134" w:type="dxa"/>
            <w:tcBorders>
              <w:top w:val="single" w:sz="4" w:space="0" w:color="auto"/>
            </w:tcBorders>
            <w:vAlign w:val="center"/>
          </w:tcPr>
          <w:p w14:paraId="550E0D17" w14:textId="6B8E9221" w:rsidR="00271E37" w:rsidRPr="00B8452B" w:rsidRDefault="00271E37">
            <w:pPr>
              <w:rPr>
                <w:b/>
              </w:rPr>
            </w:pPr>
            <w:r w:rsidRPr="00B8452B">
              <w:rPr>
                <w:rFonts w:cs="Arial"/>
                <w:b/>
                <w:szCs w:val="16"/>
              </w:rPr>
              <w:t>2,93</w:t>
            </w:r>
            <w:r w:rsidR="003A2FA5" w:rsidRPr="00B8452B">
              <w:rPr>
                <w:rFonts w:cs="Arial"/>
                <w:b/>
                <w:szCs w:val="16"/>
              </w:rPr>
              <w:t>4</w:t>
            </w:r>
            <w:r w:rsidRPr="00B8452B">
              <w:rPr>
                <w:rFonts w:cs="Arial"/>
                <w:b/>
                <w:szCs w:val="16"/>
              </w:rPr>
              <w:t xml:space="preserve"> </w:t>
            </w:r>
          </w:p>
        </w:tc>
        <w:tc>
          <w:tcPr>
            <w:tcW w:w="1134" w:type="dxa"/>
            <w:tcBorders>
              <w:top w:val="single" w:sz="4" w:space="0" w:color="auto"/>
            </w:tcBorders>
            <w:vAlign w:val="center"/>
          </w:tcPr>
          <w:p w14:paraId="1718FE61" w14:textId="77777777" w:rsidR="00271E37" w:rsidRPr="00701852" w:rsidRDefault="00271E37">
            <w:r w:rsidRPr="00701852">
              <w:rPr>
                <w:rFonts w:cs="Arial"/>
                <w:szCs w:val="16"/>
              </w:rPr>
              <w:t xml:space="preserve">1,971 </w:t>
            </w:r>
          </w:p>
        </w:tc>
      </w:tr>
      <w:tr w:rsidR="00271E37" w:rsidRPr="00397C42" w14:paraId="1CF8B3CF" w14:textId="77777777">
        <w:tc>
          <w:tcPr>
            <w:tcW w:w="0" w:type="auto"/>
          </w:tcPr>
          <w:p w14:paraId="1895E716" w14:textId="77777777" w:rsidR="00271E37" w:rsidRPr="00397C42" w:rsidRDefault="00271E37">
            <w:pPr>
              <w:jc w:val="left"/>
            </w:pPr>
            <w:r w:rsidRPr="00397C42">
              <w:t>Charge for the year</w:t>
            </w:r>
          </w:p>
        </w:tc>
        <w:tc>
          <w:tcPr>
            <w:tcW w:w="1134" w:type="dxa"/>
            <w:vAlign w:val="center"/>
          </w:tcPr>
          <w:p w14:paraId="49CEE320" w14:textId="77777777" w:rsidR="00271E37" w:rsidRPr="00701852" w:rsidRDefault="00271E37">
            <w:pPr>
              <w:rPr>
                <w:b/>
                <w:bCs/>
              </w:rPr>
            </w:pPr>
            <w:r w:rsidRPr="00701852">
              <w:rPr>
                <w:rFonts w:cs="Arial"/>
                <w:b/>
                <w:bCs/>
                <w:szCs w:val="16"/>
              </w:rPr>
              <w:t xml:space="preserve">10 </w:t>
            </w:r>
          </w:p>
        </w:tc>
        <w:tc>
          <w:tcPr>
            <w:tcW w:w="1134" w:type="dxa"/>
            <w:vAlign w:val="center"/>
          </w:tcPr>
          <w:p w14:paraId="20EC1BF1" w14:textId="77777777" w:rsidR="00271E37" w:rsidRPr="00701852" w:rsidRDefault="00271E37">
            <w:r w:rsidRPr="00701852">
              <w:rPr>
                <w:rFonts w:cs="Arial"/>
                <w:szCs w:val="16"/>
              </w:rPr>
              <w:t xml:space="preserve">2,359 </w:t>
            </w:r>
          </w:p>
        </w:tc>
      </w:tr>
      <w:tr w:rsidR="00271E37" w:rsidRPr="00397C42" w14:paraId="51EFDED4" w14:textId="77777777">
        <w:tc>
          <w:tcPr>
            <w:tcW w:w="0" w:type="auto"/>
          </w:tcPr>
          <w:p w14:paraId="0C16DC14" w14:textId="77777777" w:rsidR="00271E37" w:rsidRPr="00397C42" w:rsidRDefault="00271E37">
            <w:pPr>
              <w:jc w:val="left"/>
            </w:pPr>
            <w:r>
              <w:t>Reversed</w:t>
            </w:r>
          </w:p>
        </w:tc>
        <w:tc>
          <w:tcPr>
            <w:tcW w:w="1134" w:type="dxa"/>
            <w:vAlign w:val="center"/>
          </w:tcPr>
          <w:p w14:paraId="64059081" w14:textId="77777777" w:rsidR="00271E37" w:rsidRPr="00701852" w:rsidRDefault="00271E37">
            <w:pPr>
              <w:rPr>
                <w:b/>
                <w:bCs/>
              </w:rPr>
            </w:pPr>
            <w:r w:rsidRPr="00701852">
              <w:rPr>
                <w:rFonts w:cs="Arial"/>
                <w:b/>
                <w:bCs/>
                <w:szCs w:val="16"/>
              </w:rPr>
              <w:t>(167)</w:t>
            </w:r>
          </w:p>
        </w:tc>
        <w:tc>
          <w:tcPr>
            <w:tcW w:w="1134" w:type="dxa"/>
            <w:vAlign w:val="center"/>
          </w:tcPr>
          <w:p w14:paraId="44858944" w14:textId="77777777" w:rsidR="00271E37" w:rsidRPr="00701852" w:rsidRDefault="00271E37">
            <w:r w:rsidRPr="00701852">
              <w:rPr>
                <w:rFonts w:cs="Arial"/>
                <w:szCs w:val="16"/>
              </w:rPr>
              <w:t>(21)</w:t>
            </w:r>
          </w:p>
        </w:tc>
      </w:tr>
      <w:tr w:rsidR="00271E37" w:rsidRPr="00397C42" w14:paraId="08AC2B54" w14:textId="77777777">
        <w:tc>
          <w:tcPr>
            <w:tcW w:w="0" w:type="auto"/>
            <w:tcBorders>
              <w:bottom w:val="nil"/>
            </w:tcBorders>
          </w:tcPr>
          <w:p w14:paraId="7A443EC8" w14:textId="77777777" w:rsidR="00271E37" w:rsidRPr="00397C42" w:rsidRDefault="00271E37">
            <w:pPr>
              <w:jc w:val="left"/>
            </w:pPr>
            <w:r>
              <w:lastRenderedPageBreak/>
              <w:t>Utilised</w:t>
            </w:r>
          </w:p>
        </w:tc>
        <w:tc>
          <w:tcPr>
            <w:tcW w:w="1134" w:type="dxa"/>
            <w:tcBorders>
              <w:bottom w:val="nil"/>
            </w:tcBorders>
            <w:vAlign w:val="center"/>
          </w:tcPr>
          <w:p w14:paraId="272981B5" w14:textId="77777777" w:rsidR="00271E37" w:rsidRPr="00701852" w:rsidRDefault="00271E37">
            <w:pPr>
              <w:rPr>
                <w:b/>
                <w:bCs/>
              </w:rPr>
            </w:pPr>
            <w:r w:rsidRPr="00701852">
              <w:rPr>
                <w:rFonts w:cs="Arial"/>
                <w:b/>
                <w:bCs/>
                <w:szCs w:val="16"/>
              </w:rPr>
              <w:t>(2,048)</w:t>
            </w:r>
          </w:p>
        </w:tc>
        <w:tc>
          <w:tcPr>
            <w:tcW w:w="1134" w:type="dxa"/>
            <w:tcBorders>
              <w:bottom w:val="nil"/>
            </w:tcBorders>
            <w:vAlign w:val="center"/>
          </w:tcPr>
          <w:p w14:paraId="7E61CAC0" w14:textId="77777777" w:rsidR="00271E37" w:rsidRPr="00701852" w:rsidRDefault="00271E37">
            <w:r w:rsidRPr="00701852">
              <w:rPr>
                <w:rFonts w:cs="Arial"/>
                <w:szCs w:val="16"/>
              </w:rPr>
              <w:t>(1,341)</w:t>
            </w:r>
          </w:p>
        </w:tc>
      </w:tr>
      <w:tr w:rsidR="00271E37" w:rsidRPr="00397C42" w14:paraId="7BB9F481" w14:textId="77777777">
        <w:tc>
          <w:tcPr>
            <w:tcW w:w="0" w:type="auto"/>
            <w:tcBorders>
              <w:bottom w:val="nil"/>
            </w:tcBorders>
          </w:tcPr>
          <w:p w14:paraId="5006E77E" w14:textId="77777777" w:rsidR="00271E37" w:rsidRPr="00397C42" w:rsidRDefault="00271E37">
            <w:pPr>
              <w:jc w:val="left"/>
            </w:pPr>
            <w:r>
              <w:t>Derecognition on disposal of division</w:t>
            </w:r>
          </w:p>
        </w:tc>
        <w:tc>
          <w:tcPr>
            <w:tcW w:w="1134" w:type="dxa"/>
            <w:tcBorders>
              <w:bottom w:val="nil"/>
            </w:tcBorders>
            <w:vAlign w:val="center"/>
          </w:tcPr>
          <w:p w14:paraId="33EBAC88" w14:textId="77777777" w:rsidR="00271E37" w:rsidRPr="00701852" w:rsidRDefault="00271E37">
            <w:pPr>
              <w:rPr>
                <w:rFonts w:cs="Arial"/>
                <w:b/>
                <w:bCs/>
                <w:szCs w:val="16"/>
              </w:rPr>
            </w:pPr>
            <w:r w:rsidRPr="00701852">
              <w:rPr>
                <w:rFonts w:cs="Arial"/>
                <w:b/>
                <w:bCs/>
                <w:szCs w:val="16"/>
              </w:rPr>
              <w:t>(154)</w:t>
            </w:r>
          </w:p>
        </w:tc>
        <w:tc>
          <w:tcPr>
            <w:tcW w:w="1134" w:type="dxa"/>
            <w:tcBorders>
              <w:bottom w:val="nil"/>
            </w:tcBorders>
            <w:vAlign w:val="center"/>
          </w:tcPr>
          <w:p w14:paraId="7346BC7D" w14:textId="77777777" w:rsidR="00271E37" w:rsidRPr="00701852" w:rsidRDefault="00271E37">
            <w:pPr>
              <w:rPr>
                <w:rFonts w:cs="Arial"/>
                <w:szCs w:val="16"/>
              </w:rPr>
            </w:pPr>
            <w:r w:rsidRPr="00701852">
              <w:rPr>
                <w:rFonts w:cs="Arial"/>
                <w:szCs w:val="16"/>
              </w:rPr>
              <w:t xml:space="preserve"> - </w:t>
            </w:r>
          </w:p>
        </w:tc>
      </w:tr>
      <w:tr w:rsidR="00271E37" w:rsidRPr="00397C42" w14:paraId="4A7493AC" w14:textId="77777777">
        <w:tc>
          <w:tcPr>
            <w:tcW w:w="0" w:type="auto"/>
            <w:tcBorders>
              <w:top w:val="nil"/>
              <w:bottom w:val="single" w:sz="4" w:space="0" w:color="auto"/>
            </w:tcBorders>
          </w:tcPr>
          <w:p w14:paraId="27E5E4B0" w14:textId="77777777" w:rsidR="00271E37" w:rsidRPr="00397C42" w:rsidRDefault="00271E37">
            <w:pPr>
              <w:jc w:val="left"/>
            </w:pPr>
            <w:r w:rsidRPr="00397C42">
              <w:t>Effects of movement in foreign exchange</w:t>
            </w:r>
          </w:p>
        </w:tc>
        <w:tc>
          <w:tcPr>
            <w:tcW w:w="1134" w:type="dxa"/>
            <w:tcBorders>
              <w:top w:val="nil"/>
              <w:bottom w:val="single" w:sz="4" w:space="0" w:color="auto"/>
            </w:tcBorders>
            <w:vAlign w:val="center"/>
          </w:tcPr>
          <w:p w14:paraId="3982F61A" w14:textId="5788DB25" w:rsidR="00271E37" w:rsidRPr="00701852" w:rsidRDefault="00271E37">
            <w:pPr>
              <w:rPr>
                <w:b/>
                <w:bCs/>
              </w:rPr>
            </w:pPr>
            <w:r w:rsidRPr="00B8452B">
              <w:rPr>
                <w:rFonts w:cs="Arial"/>
                <w:b/>
                <w:szCs w:val="16"/>
              </w:rPr>
              <w:t>(6</w:t>
            </w:r>
            <w:r w:rsidR="003A2FA5" w:rsidRPr="00B8452B">
              <w:rPr>
                <w:rFonts w:cs="Arial"/>
                <w:b/>
                <w:szCs w:val="16"/>
              </w:rPr>
              <w:t>5</w:t>
            </w:r>
            <w:r w:rsidRPr="00701852">
              <w:rPr>
                <w:rFonts w:cs="Arial"/>
                <w:b/>
                <w:bCs/>
                <w:szCs w:val="16"/>
              </w:rPr>
              <w:t>)</w:t>
            </w:r>
          </w:p>
        </w:tc>
        <w:tc>
          <w:tcPr>
            <w:tcW w:w="1134" w:type="dxa"/>
            <w:tcBorders>
              <w:top w:val="nil"/>
              <w:bottom w:val="single" w:sz="4" w:space="0" w:color="auto"/>
            </w:tcBorders>
            <w:vAlign w:val="center"/>
          </w:tcPr>
          <w:p w14:paraId="702805D4" w14:textId="77777777" w:rsidR="00271E37" w:rsidRPr="00701852" w:rsidRDefault="00271E37">
            <w:r w:rsidRPr="00701852">
              <w:rPr>
                <w:rFonts w:cs="Arial"/>
                <w:szCs w:val="16"/>
              </w:rPr>
              <w:t>(34)</w:t>
            </w:r>
          </w:p>
        </w:tc>
      </w:tr>
      <w:tr w:rsidR="00271E37" w:rsidRPr="00397C42" w14:paraId="16E33014" w14:textId="77777777">
        <w:tc>
          <w:tcPr>
            <w:tcW w:w="0" w:type="auto"/>
            <w:tcBorders>
              <w:top w:val="single" w:sz="4" w:space="0" w:color="auto"/>
            </w:tcBorders>
          </w:tcPr>
          <w:p w14:paraId="7551F87C" w14:textId="77777777" w:rsidR="00271E37" w:rsidRPr="00397C42" w:rsidRDefault="00271E37">
            <w:pPr>
              <w:jc w:val="left"/>
              <w:rPr>
                <w:b/>
                <w:bCs/>
              </w:rPr>
            </w:pPr>
            <w:r w:rsidRPr="00397C42">
              <w:rPr>
                <w:b/>
                <w:bCs/>
              </w:rPr>
              <w:t>Balance at 31 March</w:t>
            </w:r>
          </w:p>
        </w:tc>
        <w:tc>
          <w:tcPr>
            <w:tcW w:w="1134" w:type="dxa"/>
            <w:tcBorders>
              <w:top w:val="single" w:sz="4" w:space="0" w:color="auto"/>
            </w:tcBorders>
            <w:vAlign w:val="center"/>
          </w:tcPr>
          <w:p w14:paraId="64B6A66E" w14:textId="77777777" w:rsidR="00271E37" w:rsidRPr="00701852" w:rsidRDefault="00271E37">
            <w:pPr>
              <w:rPr>
                <w:b/>
                <w:bCs/>
              </w:rPr>
            </w:pPr>
            <w:r w:rsidRPr="00701852">
              <w:rPr>
                <w:rFonts w:cs="Arial"/>
                <w:b/>
                <w:bCs/>
                <w:szCs w:val="16"/>
              </w:rPr>
              <w:t xml:space="preserve">510 </w:t>
            </w:r>
          </w:p>
        </w:tc>
        <w:tc>
          <w:tcPr>
            <w:tcW w:w="1134" w:type="dxa"/>
            <w:tcBorders>
              <w:top w:val="single" w:sz="4" w:space="0" w:color="auto"/>
            </w:tcBorders>
            <w:vAlign w:val="center"/>
          </w:tcPr>
          <w:p w14:paraId="4E1BADB1" w14:textId="77777777" w:rsidR="00271E37" w:rsidRPr="00701852" w:rsidRDefault="00271E37">
            <w:r w:rsidRPr="00701852">
              <w:rPr>
                <w:rFonts w:cs="Arial"/>
                <w:szCs w:val="16"/>
              </w:rPr>
              <w:t xml:space="preserve">2,934 </w:t>
            </w:r>
          </w:p>
        </w:tc>
      </w:tr>
    </w:tbl>
    <w:p w14:paraId="24B81B66" w14:textId="77777777" w:rsidR="00271E37" w:rsidRDefault="00271E37" w:rsidP="002E39D4"/>
    <w:p w14:paraId="45FFF15F" w14:textId="77777777" w:rsidR="00271E37" w:rsidRPr="005E3B27" w:rsidRDefault="00271E37">
      <w:r w:rsidRPr="005E3B27">
        <w:t>The allowance account for trade receivables is used to recognise expected credit losses. Receivables are written off against the allowance balance when the Group concludes that there is no reasonable expectation of recovering the outstanding amount.</w:t>
      </w:r>
    </w:p>
    <w:p w14:paraId="06DB90C6" w14:textId="77777777" w:rsidR="00271E37" w:rsidRPr="00753752" w:rsidRDefault="00271E37">
      <w:pPr>
        <w:pStyle w:val="Heading3"/>
        <w:rPr>
          <w:iCs/>
        </w:rPr>
      </w:pPr>
      <w:r w:rsidRPr="00753752">
        <w:rPr>
          <w:iCs/>
        </w:rPr>
        <w:t>c</w:t>
      </w:r>
      <w:r>
        <w:rPr>
          <w:iCs/>
        </w:rPr>
        <w:t>.</w:t>
      </w:r>
      <w:r w:rsidRPr="00753752">
        <w:rPr>
          <w:iCs/>
        </w:rPr>
        <w:t xml:space="preserve"> Liquidity risk</w:t>
      </w:r>
    </w:p>
    <w:p w14:paraId="304DA571" w14:textId="77777777" w:rsidR="00271E37" w:rsidRDefault="00271E37" w:rsidP="002E39D4">
      <w:r>
        <w:t>Liquidity risk is the risk that the Group, although solvent, will encounter difficulties in meeting obligations associated with the financial liabilities that are settled by delivering cash or another financial asset. The Group’s policy with regard to liquidity ensures adequate access to funds by maintaining an appropriate mix of short-term and longer-term facilities, which are reviewed on a regular basis. The maturity profile and details of debt outstanding at 31 March 2026 are set out in note 15.</w:t>
      </w:r>
    </w:p>
    <w:p w14:paraId="2DD0ABA8" w14:textId="77777777" w:rsidR="00271E37" w:rsidRDefault="00271E37" w:rsidP="002E39D4"/>
    <w:p w14:paraId="39560A13" w14:textId="77777777" w:rsidR="00271E37" w:rsidRDefault="00271E37" w:rsidP="002E39D4">
      <w:r>
        <w:t>The following are the contractual maturities of financial liabilities, including estimated interest payments:</w:t>
      </w:r>
    </w:p>
    <w:p w14:paraId="34CD3DAA" w14:textId="77777777" w:rsidR="00271E37" w:rsidRDefault="00271E37"/>
    <w:tbl>
      <w:tblPr>
        <w:tblStyle w:val="tableDUL"/>
        <w:tblW w:w="9639" w:type="dxa"/>
        <w:tblLook w:val="04A0" w:firstRow="1" w:lastRow="0" w:firstColumn="1" w:lastColumn="0" w:noHBand="0" w:noVBand="1"/>
      </w:tblPr>
      <w:tblGrid>
        <w:gridCol w:w="1701"/>
        <w:gridCol w:w="1134"/>
        <w:gridCol w:w="1134"/>
        <w:gridCol w:w="1134"/>
        <w:gridCol w:w="1134"/>
        <w:gridCol w:w="1134"/>
        <w:gridCol w:w="1134"/>
        <w:gridCol w:w="1134"/>
      </w:tblGrid>
      <w:tr w:rsidR="00271E37" w:rsidRPr="00397C42" w14:paraId="3CE99A04" w14:textId="77777777">
        <w:tc>
          <w:tcPr>
            <w:tcW w:w="1701" w:type="dxa"/>
            <w:tcBorders>
              <w:bottom w:val="nil"/>
            </w:tcBorders>
          </w:tcPr>
          <w:p w14:paraId="40C37687" w14:textId="77777777" w:rsidR="00271E37" w:rsidRPr="00397C42" w:rsidRDefault="00271E37" w:rsidP="000923EA">
            <w:pPr>
              <w:jc w:val="left"/>
            </w:pPr>
          </w:p>
        </w:tc>
        <w:tc>
          <w:tcPr>
            <w:tcW w:w="1134" w:type="dxa"/>
            <w:tcBorders>
              <w:bottom w:val="nil"/>
            </w:tcBorders>
          </w:tcPr>
          <w:p w14:paraId="25A6F5BB" w14:textId="77777777" w:rsidR="00271E37" w:rsidRPr="00397C42" w:rsidRDefault="00271E37" w:rsidP="000923EA"/>
        </w:tc>
        <w:tc>
          <w:tcPr>
            <w:tcW w:w="1134" w:type="dxa"/>
            <w:tcBorders>
              <w:bottom w:val="nil"/>
            </w:tcBorders>
          </w:tcPr>
          <w:p w14:paraId="112DD4DD" w14:textId="77777777" w:rsidR="00271E37" w:rsidRPr="00397C42" w:rsidRDefault="00271E37" w:rsidP="000923EA">
            <w:pPr>
              <w:rPr>
                <w:b/>
                <w:bCs/>
              </w:rPr>
            </w:pPr>
            <w:r w:rsidRPr="00397C42">
              <w:rPr>
                <w:b/>
                <w:bCs/>
              </w:rPr>
              <w:t>Carrying</w:t>
            </w:r>
          </w:p>
        </w:tc>
        <w:tc>
          <w:tcPr>
            <w:tcW w:w="1134" w:type="dxa"/>
            <w:tcBorders>
              <w:bottom w:val="nil"/>
            </w:tcBorders>
          </w:tcPr>
          <w:p w14:paraId="264BD22B" w14:textId="77777777" w:rsidR="00271E37" w:rsidRPr="00397C42" w:rsidRDefault="00271E37" w:rsidP="000923EA">
            <w:pPr>
              <w:rPr>
                <w:b/>
                <w:bCs/>
              </w:rPr>
            </w:pPr>
            <w:r w:rsidRPr="00397C42">
              <w:rPr>
                <w:b/>
                <w:bCs/>
              </w:rPr>
              <w:t>Contractual</w:t>
            </w:r>
          </w:p>
        </w:tc>
        <w:tc>
          <w:tcPr>
            <w:tcW w:w="1134" w:type="dxa"/>
            <w:tcBorders>
              <w:bottom w:val="nil"/>
            </w:tcBorders>
          </w:tcPr>
          <w:p w14:paraId="45CA71B8" w14:textId="77777777" w:rsidR="00271E37" w:rsidRPr="00397C42" w:rsidRDefault="00271E37" w:rsidP="000923EA">
            <w:pPr>
              <w:rPr>
                <w:b/>
                <w:bCs/>
              </w:rPr>
            </w:pPr>
            <w:r w:rsidRPr="00397C42">
              <w:rPr>
                <w:b/>
                <w:bCs/>
              </w:rPr>
              <w:t>One year</w:t>
            </w:r>
          </w:p>
        </w:tc>
        <w:tc>
          <w:tcPr>
            <w:tcW w:w="1134" w:type="dxa"/>
            <w:tcBorders>
              <w:bottom w:val="nil"/>
            </w:tcBorders>
          </w:tcPr>
          <w:p w14:paraId="02797F3B" w14:textId="77777777" w:rsidR="00271E37" w:rsidRPr="00397C42" w:rsidRDefault="00271E37" w:rsidP="000923EA">
            <w:pPr>
              <w:rPr>
                <w:b/>
                <w:bCs/>
              </w:rPr>
            </w:pPr>
            <w:r w:rsidRPr="00397C42">
              <w:rPr>
                <w:b/>
                <w:bCs/>
              </w:rPr>
              <w:t>One to two</w:t>
            </w:r>
          </w:p>
        </w:tc>
        <w:tc>
          <w:tcPr>
            <w:tcW w:w="1134" w:type="dxa"/>
            <w:tcBorders>
              <w:bottom w:val="nil"/>
            </w:tcBorders>
          </w:tcPr>
          <w:p w14:paraId="0A12B6AE" w14:textId="77777777" w:rsidR="00271E37" w:rsidRPr="00397C42" w:rsidRDefault="00271E37" w:rsidP="000923EA">
            <w:pPr>
              <w:rPr>
                <w:b/>
                <w:bCs/>
              </w:rPr>
            </w:pPr>
            <w:r w:rsidRPr="00397C42">
              <w:rPr>
                <w:b/>
                <w:bCs/>
              </w:rPr>
              <w:t>Two to five</w:t>
            </w:r>
          </w:p>
        </w:tc>
        <w:tc>
          <w:tcPr>
            <w:tcW w:w="1134" w:type="dxa"/>
            <w:tcBorders>
              <w:bottom w:val="nil"/>
            </w:tcBorders>
          </w:tcPr>
          <w:p w14:paraId="0AF6E631" w14:textId="77777777" w:rsidR="00271E37" w:rsidRPr="00397C42" w:rsidRDefault="00271E37" w:rsidP="000923EA">
            <w:pPr>
              <w:rPr>
                <w:b/>
                <w:bCs/>
              </w:rPr>
            </w:pPr>
            <w:r w:rsidRPr="00397C42">
              <w:rPr>
                <w:b/>
                <w:bCs/>
              </w:rPr>
              <w:t xml:space="preserve">More than </w:t>
            </w:r>
          </w:p>
        </w:tc>
      </w:tr>
      <w:tr w:rsidR="00271E37" w:rsidRPr="00397C42" w14:paraId="4BDC3192" w14:textId="77777777">
        <w:tc>
          <w:tcPr>
            <w:tcW w:w="1701" w:type="dxa"/>
            <w:tcBorders>
              <w:bottom w:val="nil"/>
            </w:tcBorders>
          </w:tcPr>
          <w:p w14:paraId="68C66D30" w14:textId="77777777" w:rsidR="00271E37" w:rsidRPr="00397C42" w:rsidRDefault="00271E37" w:rsidP="000923EA">
            <w:pPr>
              <w:jc w:val="left"/>
            </w:pPr>
          </w:p>
        </w:tc>
        <w:tc>
          <w:tcPr>
            <w:tcW w:w="1134" w:type="dxa"/>
            <w:tcBorders>
              <w:bottom w:val="nil"/>
            </w:tcBorders>
          </w:tcPr>
          <w:p w14:paraId="1F57A64D" w14:textId="77777777" w:rsidR="00271E37" w:rsidRPr="00397C42" w:rsidRDefault="00271E37" w:rsidP="000923EA"/>
        </w:tc>
        <w:tc>
          <w:tcPr>
            <w:tcW w:w="1134" w:type="dxa"/>
            <w:tcBorders>
              <w:bottom w:val="nil"/>
            </w:tcBorders>
          </w:tcPr>
          <w:p w14:paraId="0093A5FA" w14:textId="77777777" w:rsidR="00271E37" w:rsidRPr="00397C42" w:rsidRDefault="00271E37" w:rsidP="000923EA">
            <w:pPr>
              <w:rPr>
                <w:b/>
                <w:bCs/>
              </w:rPr>
            </w:pPr>
            <w:r w:rsidRPr="00397C42">
              <w:rPr>
                <w:b/>
                <w:bCs/>
              </w:rPr>
              <w:t>amount</w:t>
            </w:r>
          </w:p>
        </w:tc>
        <w:tc>
          <w:tcPr>
            <w:tcW w:w="1134" w:type="dxa"/>
            <w:tcBorders>
              <w:bottom w:val="nil"/>
            </w:tcBorders>
          </w:tcPr>
          <w:p w14:paraId="3B531EAB" w14:textId="77777777" w:rsidR="00271E37" w:rsidRPr="00397C42" w:rsidRDefault="00271E37" w:rsidP="000923EA">
            <w:pPr>
              <w:rPr>
                <w:b/>
                <w:bCs/>
              </w:rPr>
            </w:pPr>
            <w:r w:rsidRPr="00397C42">
              <w:rPr>
                <w:b/>
                <w:bCs/>
              </w:rPr>
              <w:t>cash flows</w:t>
            </w:r>
          </w:p>
        </w:tc>
        <w:tc>
          <w:tcPr>
            <w:tcW w:w="1134" w:type="dxa"/>
            <w:tcBorders>
              <w:bottom w:val="nil"/>
            </w:tcBorders>
          </w:tcPr>
          <w:p w14:paraId="7ECC5E76" w14:textId="77777777" w:rsidR="00271E37" w:rsidRPr="00397C42" w:rsidRDefault="00271E37" w:rsidP="000923EA">
            <w:pPr>
              <w:rPr>
                <w:b/>
                <w:bCs/>
              </w:rPr>
            </w:pPr>
            <w:r w:rsidRPr="00397C42">
              <w:rPr>
                <w:b/>
                <w:bCs/>
              </w:rPr>
              <w:t>or less</w:t>
            </w:r>
          </w:p>
        </w:tc>
        <w:tc>
          <w:tcPr>
            <w:tcW w:w="1134" w:type="dxa"/>
            <w:tcBorders>
              <w:bottom w:val="nil"/>
            </w:tcBorders>
          </w:tcPr>
          <w:p w14:paraId="0150C018" w14:textId="77777777" w:rsidR="00271E37" w:rsidRPr="00397C42" w:rsidRDefault="00271E37" w:rsidP="000923EA">
            <w:pPr>
              <w:rPr>
                <w:b/>
                <w:bCs/>
              </w:rPr>
            </w:pPr>
            <w:r w:rsidRPr="00397C42">
              <w:rPr>
                <w:b/>
                <w:bCs/>
              </w:rPr>
              <w:t>years</w:t>
            </w:r>
          </w:p>
        </w:tc>
        <w:tc>
          <w:tcPr>
            <w:tcW w:w="1134" w:type="dxa"/>
            <w:tcBorders>
              <w:bottom w:val="nil"/>
            </w:tcBorders>
          </w:tcPr>
          <w:p w14:paraId="11E60980" w14:textId="77777777" w:rsidR="00271E37" w:rsidRPr="00397C42" w:rsidRDefault="00271E37" w:rsidP="000923EA">
            <w:pPr>
              <w:rPr>
                <w:b/>
                <w:bCs/>
              </w:rPr>
            </w:pPr>
            <w:r w:rsidRPr="00397C42">
              <w:rPr>
                <w:b/>
                <w:bCs/>
              </w:rPr>
              <w:t>years</w:t>
            </w:r>
          </w:p>
        </w:tc>
        <w:tc>
          <w:tcPr>
            <w:tcW w:w="1134" w:type="dxa"/>
            <w:tcBorders>
              <w:bottom w:val="nil"/>
            </w:tcBorders>
          </w:tcPr>
          <w:p w14:paraId="4107307E" w14:textId="77777777" w:rsidR="00271E37" w:rsidRPr="00397C42" w:rsidRDefault="00271E37" w:rsidP="000923EA">
            <w:pPr>
              <w:rPr>
                <w:b/>
                <w:bCs/>
              </w:rPr>
            </w:pPr>
            <w:r w:rsidRPr="00397C42">
              <w:rPr>
                <w:b/>
                <w:bCs/>
              </w:rPr>
              <w:t xml:space="preserve">five years </w:t>
            </w:r>
          </w:p>
        </w:tc>
      </w:tr>
      <w:tr w:rsidR="00271E37" w:rsidRPr="00397C42" w14:paraId="6BF44B07" w14:textId="77777777">
        <w:tc>
          <w:tcPr>
            <w:tcW w:w="1701" w:type="dxa"/>
            <w:tcBorders>
              <w:top w:val="nil"/>
              <w:bottom w:val="single" w:sz="4" w:space="0" w:color="auto"/>
            </w:tcBorders>
          </w:tcPr>
          <w:p w14:paraId="59667D76" w14:textId="77777777" w:rsidR="00271E37" w:rsidRPr="00397C42" w:rsidRDefault="00271E37" w:rsidP="000923EA">
            <w:pPr>
              <w:jc w:val="left"/>
            </w:pPr>
            <w:r w:rsidRPr="00397C42">
              <w:t>31 March 202</w:t>
            </w:r>
            <w:r>
              <w:t>6</w:t>
            </w:r>
          </w:p>
        </w:tc>
        <w:tc>
          <w:tcPr>
            <w:tcW w:w="1134" w:type="dxa"/>
            <w:tcBorders>
              <w:top w:val="nil"/>
              <w:bottom w:val="single" w:sz="4" w:space="0" w:color="auto"/>
            </w:tcBorders>
          </w:tcPr>
          <w:p w14:paraId="4BE80663" w14:textId="77777777" w:rsidR="00271E37" w:rsidRPr="00397C42" w:rsidRDefault="00271E37" w:rsidP="000923EA">
            <w:r w:rsidRPr="00397C42">
              <w:t>Note</w:t>
            </w:r>
          </w:p>
        </w:tc>
        <w:tc>
          <w:tcPr>
            <w:tcW w:w="1134" w:type="dxa"/>
            <w:tcBorders>
              <w:top w:val="nil"/>
              <w:bottom w:val="single" w:sz="4" w:space="0" w:color="auto"/>
            </w:tcBorders>
          </w:tcPr>
          <w:p w14:paraId="1F49DABC" w14:textId="77777777" w:rsidR="00271E37" w:rsidRPr="00397C42" w:rsidRDefault="00271E37" w:rsidP="000923EA">
            <w:pPr>
              <w:rPr>
                <w:b/>
                <w:bCs/>
              </w:rPr>
            </w:pPr>
            <w:r>
              <w:rPr>
                <w:b/>
                <w:bCs/>
              </w:rPr>
              <w:t>£</w:t>
            </w:r>
            <w:r w:rsidRPr="00397C42">
              <w:rPr>
                <w:b/>
                <w:bCs/>
              </w:rPr>
              <w:t>000</w:t>
            </w:r>
          </w:p>
        </w:tc>
        <w:tc>
          <w:tcPr>
            <w:tcW w:w="1134" w:type="dxa"/>
            <w:tcBorders>
              <w:top w:val="nil"/>
              <w:bottom w:val="single" w:sz="4" w:space="0" w:color="auto"/>
            </w:tcBorders>
          </w:tcPr>
          <w:p w14:paraId="6F591ECF" w14:textId="77777777" w:rsidR="00271E37" w:rsidRPr="00397C42" w:rsidRDefault="00271E37" w:rsidP="000923EA">
            <w:pPr>
              <w:rPr>
                <w:b/>
                <w:bCs/>
              </w:rPr>
            </w:pPr>
            <w:r>
              <w:rPr>
                <w:b/>
                <w:bCs/>
              </w:rPr>
              <w:t>£</w:t>
            </w:r>
            <w:r w:rsidRPr="00397C42">
              <w:rPr>
                <w:b/>
                <w:bCs/>
              </w:rPr>
              <w:t>000</w:t>
            </w:r>
          </w:p>
        </w:tc>
        <w:tc>
          <w:tcPr>
            <w:tcW w:w="1134" w:type="dxa"/>
            <w:tcBorders>
              <w:top w:val="nil"/>
              <w:bottom w:val="single" w:sz="4" w:space="0" w:color="auto"/>
            </w:tcBorders>
          </w:tcPr>
          <w:p w14:paraId="48FFD419" w14:textId="77777777" w:rsidR="00271E37" w:rsidRPr="00397C42" w:rsidRDefault="00271E37" w:rsidP="000923EA">
            <w:pPr>
              <w:rPr>
                <w:b/>
                <w:bCs/>
              </w:rPr>
            </w:pPr>
            <w:r>
              <w:rPr>
                <w:b/>
                <w:bCs/>
              </w:rPr>
              <w:t>£</w:t>
            </w:r>
            <w:r w:rsidRPr="00397C42">
              <w:rPr>
                <w:b/>
                <w:bCs/>
              </w:rPr>
              <w:t>000</w:t>
            </w:r>
          </w:p>
        </w:tc>
        <w:tc>
          <w:tcPr>
            <w:tcW w:w="1134" w:type="dxa"/>
            <w:tcBorders>
              <w:top w:val="nil"/>
              <w:bottom w:val="single" w:sz="4" w:space="0" w:color="auto"/>
            </w:tcBorders>
          </w:tcPr>
          <w:p w14:paraId="1978A850" w14:textId="77777777" w:rsidR="00271E37" w:rsidRPr="00397C42" w:rsidRDefault="00271E37" w:rsidP="000923EA">
            <w:pPr>
              <w:rPr>
                <w:b/>
                <w:bCs/>
              </w:rPr>
            </w:pPr>
            <w:r>
              <w:rPr>
                <w:b/>
                <w:bCs/>
              </w:rPr>
              <w:t>£</w:t>
            </w:r>
            <w:r w:rsidRPr="00397C42">
              <w:rPr>
                <w:b/>
                <w:bCs/>
              </w:rPr>
              <w:t>000</w:t>
            </w:r>
          </w:p>
        </w:tc>
        <w:tc>
          <w:tcPr>
            <w:tcW w:w="1134" w:type="dxa"/>
            <w:tcBorders>
              <w:top w:val="nil"/>
              <w:bottom w:val="single" w:sz="4" w:space="0" w:color="auto"/>
            </w:tcBorders>
          </w:tcPr>
          <w:p w14:paraId="44DDC7C0" w14:textId="77777777" w:rsidR="00271E37" w:rsidRPr="00397C42" w:rsidRDefault="00271E37" w:rsidP="000923EA">
            <w:pPr>
              <w:rPr>
                <w:b/>
                <w:bCs/>
              </w:rPr>
            </w:pPr>
            <w:r>
              <w:rPr>
                <w:b/>
                <w:bCs/>
              </w:rPr>
              <w:t>£</w:t>
            </w:r>
            <w:r w:rsidRPr="00397C42">
              <w:rPr>
                <w:b/>
                <w:bCs/>
              </w:rPr>
              <w:t>000</w:t>
            </w:r>
          </w:p>
        </w:tc>
        <w:tc>
          <w:tcPr>
            <w:tcW w:w="1134" w:type="dxa"/>
            <w:tcBorders>
              <w:top w:val="nil"/>
              <w:bottom w:val="single" w:sz="4" w:space="0" w:color="auto"/>
            </w:tcBorders>
          </w:tcPr>
          <w:p w14:paraId="0B44DD8E" w14:textId="77777777" w:rsidR="00271E37" w:rsidRPr="00397C42" w:rsidRDefault="00271E37" w:rsidP="000923EA">
            <w:pPr>
              <w:rPr>
                <w:b/>
                <w:bCs/>
              </w:rPr>
            </w:pPr>
            <w:r>
              <w:rPr>
                <w:b/>
                <w:bCs/>
              </w:rPr>
              <w:t>£</w:t>
            </w:r>
            <w:r w:rsidRPr="00397C42">
              <w:rPr>
                <w:b/>
                <w:bCs/>
              </w:rPr>
              <w:t>000</w:t>
            </w:r>
          </w:p>
        </w:tc>
      </w:tr>
      <w:tr w:rsidR="00271E37" w:rsidRPr="00397C42" w14:paraId="476605A0" w14:textId="77777777">
        <w:tc>
          <w:tcPr>
            <w:tcW w:w="1701" w:type="dxa"/>
          </w:tcPr>
          <w:p w14:paraId="15EF3F76" w14:textId="77777777" w:rsidR="00271E37" w:rsidRPr="00397C42" w:rsidRDefault="00271E37">
            <w:pPr>
              <w:jc w:val="left"/>
            </w:pPr>
            <w:r w:rsidRPr="00397C42">
              <w:t>Other financial liabilities</w:t>
            </w:r>
          </w:p>
        </w:tc>
        <w:tc>
          <w:tcPr>
            <w:tcW w:w="1134" w:type="dxa"/>
          </w:tcPr>
          <w:p w14:paraId="16624559" w14:textId="77777777" w:rsidR="00271E37" w:rsidRPr="00397C42" w:rsidRDefault="00271E37">
            <w:r w:rsidRPr="00397C42">
              <w:t>18</w:t>
            </w:r>
          </w:p>
        </w:tc>
        <w:tc>
          <w:tcPr>
            <w:tcW w:w="1134" w:type="dxa"/>
            <w:vAlign w:val="center"/>
          </w:tcPr>
          <w:p w14:paraId="530B12A4" w14:textId="77777777" w:rsidR="00271E37" w:rsidRPr="00FC001F" w:rsidRDefault="00271E37">
            <w:pPr>
              <w:rPr>
                <w:b/>
                <w:bCs/>
              </w:rPr>
            </w:pPr>
            <w:r w:rsidRPr="00E00648">
              <w:rPr>
                <w:rFonts w:cs="Arial"/>
                <w:szCs w:val="16"/>
              </w:rPr>
              <w:t xml:space="preserve">11,810 </w:t>
            </w:r>
          </w:p>
        </w:tc>
        <w:tc>
          <w:tcPr>
            <w:tcW w:w="1134" w:type="dxa"/>
            <w:vAlign w:val="center"/>
          </w:tcPr>
          <w:p w14:paraId="6AD6F6F7" w14:textId="77777777" w:rsidR="00271E37" w:rsidRPr="00FC001F" w:rsidRDefault="00271E37">
            <w:pPr>
              <w:rPr>
                <w:b/>
                <w:bCs/>
              </w:rPr>
            </w:pPr>
            <w:r w:rsidRPr="00E00648">
              <w:rPr>
                <w:rFonts w:cs="Arial"/>
                <w:szCs w:val="16"/>
              </w:rPr>
              <w:t>(11,810)</w:t>
            </w:r>
          </w:p>
        </w:tc>
        <w:tc>
          <w:tcPr>
            <w:tcW w:w="1134" w:type="dxa"/>
            <w:vAlign w:val="center"/>
          </w:tcPr>
          <w:p w14:paraId="53CD5651" w14:textId="77777777" w:rsidR="00271E37" w:rsidRPr="00FC001F" w:rsidRDefault="00271E37">
            <w:pPr>
              <w:rPr>
                <w:b/>
                <w:bCs/>
              </w:rPr>
            </w:pPr>
            <w:r w:rsidRPr="009D526A">
              <w:rPr>
                <w:rFonts w:cs="Arial"/>
                <w:szCs w:val="16"/>
              </w:rPr>
              <w:t>(11,581</w:t>
            </w:r>
            <w:r w:rsidRPr="00E00648">
              <w:rPr>
                <w:rFonts w:cs="Arial"/>
                <w:szCs w:val="16"/>
              </w:rPr>
              <w:t>)</w:t>
            </w:r>
          </w:p>
        </w:tc>
        <w:tc>
          <w:tcPr>
            <w:tcW w:w="1134" w:type="dxa"/>
            <w:vAlign w:val="center"/>
          </w:tcPr>
          <w:p w14:paraId="0775538C" w14:textId="77777777" w:rsidR="00271E37" w:rsidRPr="00FC001F" w:rsidRDefault="00271E37">
            <w:pPr>
              <w:rPr>
                <w:b/>
                <w:bCs/>
              </w:rPr>
            </w:pPr>
            <w:r w:rsidRPr="00E00648">
              <w:rPr>
                <w:rFonts w:cs="Arial"/>
                <w:szCs w:val="16"/>
              </w:rPr>
              <w:t>(47)</w:t>
            </w:r>
          </w:p>
        </w:tc>
        <w:tc>
          <w:tcPr>
            <w:tcW w:w="1134" w:type="dxa"/>
            <w:vAlign w:val="center"/>
          </w:tcPr>
          <w:p w14:paraId="3B12C779" w14:textId="77777777" w:rsidR="00271E37" w:rsidRPr="00FC001F" w:rsidRDefault="00271E37">
            <w:pPr>
              <w:rPr>
                <w:b/>
                <w:bCs/>
              </w:rPr>
            </w:pPr>
            <w:r w:rsidRPr="00E00648">
              <w:rPr>
                <w:rFonts w:cs="Arial"/>
                <w:szCs w:val="16"/>
              </w:rPr>
              <w:t>(175)</w:t>
            </w:r>
          </w:p>
        </w:tc>
        <w:tc>
          <w:tcPr>
            <w:tcW w:w="1134" w:type="dxa"/>
            <w:vAlign w:val="center"/>
          </w:tcPr>
          <w:p w14:paraId="5A7B4DD7" w14:textId="77777777" w:rsidR="00271E37" w:rsidRPr="00FC001F" w:rsidRDefault="00271E37">
            <w:pPr>
              <w:rPr>
                <w:b/>
                <w:bCs/>
              </w:rPr>
            </w:pPr>
            <w:r w:rsidRPr="00E00648">
              <w:rPr>
                <w:rFonts w:cs="Arial"/>
                <w:szCs w:val="16"/>
              </w:rPr>
              <w:t>(7)</w:t>
            </w:r>
          </w:p>
        </w:tc>
      </w:tr>
      <w:tr w:rsidR="00271E37" w:rsidRPr="00397C42" w14:paraId="3F6486F5" w14:textId="77777777">
        <w:tc>
          <w:tcPr>
            <w:tcW w:w="1701" w:type="dxa"/>
          </w:tcPr>
          <w:p w14:paraId="2FF2A0C5" w14:textId="77777777" w:rsidR="00271E37" w:rsidRPr="00397C42" w:rsidRDefault="00271E37">
            <w:pPr>
              <w:jc w:val="left"/>
            </w:pPr>
            <w:r w:rsidRPr="00397C42">
              <w:t>Lease liabilities</w:t>
            </w:r>
          </w:p>
        </w:tc>
        <w:tc>
          <w:tcPr>
            <w:tcW w:w="1134" w:type="dxa"/>
          </w:tcPr>
          <w:p w14:paraId="0A0E70A6" w14:textId="77777777" w:rsidR="00271E37" w:rsidRPr="00397C42" w:rsidRDefault="00271E37">
            <w:r w:rsidRPr="00397C42">
              <w:t>10</w:t>
            </w:r>
          </w:p>
        </w:tc>
        <w:tc>
          <w:tcPr>
            <w:tcW w:w="1134" w:type="dxa"/>
            <w:vAlign w:val="center"/>
          </w:tcPr>
          <w:p w14:paraId="670443EE" w14:textId="77777777" w:rsidR="00271E37" w:rsidRPr="00FC001F" w:rsidRDefault="00271E37">
            <w:pPr>
              <w:rPr>
                <w:b/>
                <w:bCs/>
              </w:rPr>
            </w:pPr>
            <w:r w:rsidRPr="00E00648">
              <w:rPr>
                <w:rFonts w:cs="Arial"/>
                <w:szCs w:val="16"/>
              </w:rPr>
              <w:t xml:space="preserve">33,580 </w:t>
            </w:r>
          </w:p>
        </w:tc>
        <w:tc>
          <w:tcPr>
            <w:tcW w:w="1134" w:type="dxa"/>
            <w:vAlign w:val="center"/>
          </w:tcPr>
          <w:p w14:paraId="29AEE112" w14:textId="77777777" w:rsidR="00271E37" w:rsidRPr="00FC001F" w:rsidRDefault="00271E37">
            <w:pPr>
              <w:rPr>
                <w:b/>
                <w:bCs/>
              </w:rPr>
            </w:pPr>
            <w:r w:rsidRPr="00E00648">
              <w:rPr>
                <w:rFonts w:cs="Arial"/>
                <w:szCs w:val="16"/>
              </w:rPr>
              <w:t>(42,056)</w:t>
            </w:r>
          </w:p>
        </w:tc>
        <w:tc>
          <w:tcPr>
            <w:tcW w:w="1134" w:type="dxa"/>
            <w:vAlign w:val="center"/>
          </w:tcPr>
          <w:p w14:paraId="34FD40B0" w14:textId="77777777" w:rsidR="00271E37" w:rsidRPr="00FC001F" w:rsidRDefault="00271E37">
            <w:pPr>
              <w:rPr>
                <w:b/>
                <w:bCs/>
              </w:rPr>
            </w:pPr>
            <w:r w:rsidRPr="00E00648">
              <w:rPr>
                <w:rFonts w:cs="Arial"/>
                <w:szCs w:val="16"/>
              </w:rPr>
              <w:t>(4,765)</w:t>
            </w:r>
          </w:p>
        </w:tc>
        <w:tc>
          <w:tcPr>
            <w:tcW w:w="1134" w:type="dxa"/>
            <w:vAlign w:val="center"/>
          </w:tcPr>
          <w:p w14:paraId="72A76EE9" w14:textId="77777777" w:rsidR="00271E37" w:rsidRPr="00FC001F" w:rsidRDefault="00271E37">
            <w:pPr>
              <w:rPr>
                <w:b/>
                <w:bCs/>
              </w:rPr>
            </w:pPr>
            <w:r w:rsidRPr="00E00648">
              <w:rPr>
                <w:rFonts w:cs="Arial"/>
                <w:szCs w:val="16"/>
              </w:rPr>
              <w:t>(4,743)</w:t>
            </w:r>
          </w:p>
        </w:tc>
        <w:tc>
          <w:tcPr>
            <w:tcW w:w="1134" w:type="dxa"/>
            <w:vAlign w:val="center"/>
          </w:tcPr>
          <w:p w14:paraId="1C56CBB8" w14:textId="77777777" w:rsidR="00271E37" w:rsidRPr="00FC001F" w:rsidRDefault="00271E37">
            <w:pPr>
              <w:rPr>
                <w:b/>
                <w:bCs/>
              </w:rPr>
            </w:pPr>
            <w:r w:rsidRPr="00E00648">
              <w:rPr>
                <w:rFonts w:cs="Arial"/>
                <w:szCs w:val="16"/>
              </w:rPr>
              <w:t>(13,023)</w:t>
            </w:r>
          </w:p>
        </w:tc>
        <w:tc>
          <w:tcPr>
            <w:tcW w:w="1134" w:type="dxa"/>
            <w:vAlign w:val="center"/>
          </w:tcPr>
          <w:p w14:paraId="48D21B0C" w14:textId="77777777" w:rsidR="00271E37" w:rsidRPr="00FC001F" w:rsidRDefault="00271E37">
            <w:pPr>
              <w:rPr>
                <w:b/>
                <w:bCs/>
              </w:rPr>
            </w:pPr>
            <w:r w:rsidRPr="00E00648">
              <w:rPr>
                <w:rFonts w:cs="Arial"/>
                <w:szCs w:val="16"/>
              </w:rPr>
              <w:t>(19,525)</w:t>
            </w:r>
          </w:p>
        </w:tc>
      </w:tr>
      <w:tr w:rsidR="00271E37" w:rsidRPr="00397C42" w14:paraId="3644BD37" w14:textId="77777777">
        <w:tc>
          <w:tcPr>
            <w:tcW w:w="1701" w:type="dxa"/>
          </w:tcPr>
          <w:p w14:paraId="0E9A388D" w14:textId="77777777" w:rsidR="00271E37" w:rsidRPr="00397C42" w:rsidRDefault="00271E37">
            <w:pPr>
              <w:jc w:val="left"/>
            </w:pPr>
            <w:r w:rsidRPr="00397C42">
              <w:t>Trade payables</w:t>
            </w:r>
          </w:p>
        </w:tc>
        <w:tc>
          <w:tcPr>
            <w:tcW w:w="1134" w:type="dxa"/>
          </w:tcPr>
          <w:p w14:paraId="4D784101" w14:textId="77777777" w:rsidR="00271E37" w:rsidRPr="00397C42" w:rsidRDefault="00271E37">
            <w:r w:rsidRPr="00397C42">
              <w:t>19</w:t>
            </w:r>
          </w:p>
        </w:tc>
        <w:tc>
          <w:tcPr>
            <w:tcW w:w="1134" w:type="dxa"/>
            <w:vAlign w:val="center"/>
          </w:tcPr>
          <w:p w14:paraId="19629DA8" w14:textId="77777777" w:rsidR="00271E37" w:rsidRPr="00FC001F" w:rsidRDefault="00271E37">
            <w:pPr>
              <w:rPr>
                <w:b/>
                <w:bCs/>
              </w:rPr>
            </w:pPr>
            <w:r w:rsidRPr="00E00648">
              <w:rPr>
                <w:rFonts w:cs="Arial"/>
                <w:szCs w:val="16"/>
              </w:rPr>
              <w:t xml:space="preserve">22,914 </w:t>
            </w:r>
          </w:p>
        </w:tc>
        <w:tc>
          <w:tcPr>
            <w:tcW w:w="1134" w:type="dxa"/>
            <w:vAlign w:val="center"/>
          </w:tcPr>
          <w:p w14:paraId="7746E4C9" w14:textId="77777777" w:rsidR="00271E37" w:rsidRPr="00FC001F" w:rsidRDefault="00271E37">
            <w:pPr>
              <w:rPr>
                <w:b/>
                <w:bCs/>
              </w:rPr>
            </w:pPr>
            <w:r w:rsidRPr="00E00648">
              <w:rPr>
                <w:rFonts w:cs="Arial"/>
                <w:szCs w:val="16"/>
              </w:rPr>
              <w:t>(22,914)</w:t>
            </w:r>
          </w:p>
        </w:tc>
        <w:tc>
          <w:tcPr>
            <w:tcW w:w="1134" w:type="dxa"/>
            <w:vAlign w:val="center"/>
          </w:tcPr>
          <w:p w14:paraId="75C3DA0B" w14:textId="77777777" w:rsidR="00271E37" w:rsidRPr="00FC001F" w:rsidRDefault="00271E37">
            <w:pPr>
              <w:rPr>
                <w:b/>
                <w:bCs/>
              </w:rPr>
            </w:pPr>
            <w:r w:rsidRPr="00E00648">
              <w:rPr>
                <w:rFonts w:cs="Arial"/>
                <w:szCs w:val="16"/>
              </w:rPr>
              <w:t>(22,914)</w:t>
            </w:r>
          </w:p>
        </w:tc>
        <w:tc>
          <w:tcPr>
            <w:tcW w:w="1134" w:type="dxa"/>
            <w:vAlign w:val="center"/>
          </w:tcPr>
          <w:p w14:paraId="7590CEE8" w14:textId="77777777" w:rsidR="00271E37" w:rsidRPr="00FC001F" w:rsidRDefault="00271E37">
            <w:pPr>
              <w:rPr>
                <w:b/>
                <w:bCs/>
              </w:rPr>
            </w:pPr>
            <w:r w:rsidRPr="00E00648">
              <w:rPr>
                <w:rFonts w:cs="Arial"/>
                <w:szCs w:val="16"/>
              </w:rPr>
              <w:t xml:space="preserve"> - </w:t>
            </w:r>
          </w:p>
        </w:tc>
        <w:tc>
          <w:tcPr>
            <w:tcW w:w="1134" w:type="dxa"/>
            <w:vAlign w:val="center"/>
          </w:tcPr>
          <w:p w14:paraId="4F5E7E4F" w14:textId="77777777" w:rsidR="00271E37" w:rsidRPr="00FC001F" w:rsidRDefault="00271E37">
            <w:pPr>
              <w:rPr>
                <w:b/>
                <w:bCs/>
              </w:rPr>
            </w:pPr>
            <w:r w:rsidRPr="00E00648">
              <w:rPr>
                <w:rFonts w:cs="Arial"/>
                <w:szCs w:val="16"/>
              </w:rPr>
              <w:t xml:space="preserve"> - </w:t>
            </w:r>
          </w:p>
        </w:tc>
        <w:tc>
          <w:tcPr>
            <w:tcW w:w="1134" w:type="dxa"/>
            <w:vAlign w:val="center"/>
          </w:tcPr>
          <w:p w14:paraId="7720896B" w14:textId="77777777" w:rsidR="00271E37" w:rsidRPr="00FC001F" w:rsidRDefault="00271E37">
            <w:pPr>
              <w:rPr>
                <w:b/>
                <w:bCs/>
              </w:rPr>
            </w:pPr>
            <w:r w:rsidRPr="00E00648">
              <w:rPr>
                <w:rFonts w:cs="Arial"/>
                <w:szCs w:val="16"/>
              </w:rPr>
              <w:t xml:space="preserve"> - </w:t>
            </w:r>
          </w:p>
        </w:tc>
      </w:tr>
      <w:tr w:rsidR="00271E37" w:rsidRPr="00397C42" w14:paraId="0F5AFD62" w14:textId="77777777">
        <w:tc>
          <w:tcPr>
            <w:tcW w:w="1701" w:type="dxa"/>
            <w:tcBorders>
              <w:bottom w:val="single" w:sz="4" w:space="0" w:color="auto"/>
            </w:tcBorders>
          </w:tcPr>
          <w:p w14:paraId="061BBDD4" w14:textId="77777777" w:rsidR="00271E37" w:rsidRPr="00397C42" w:rsidRDefault="00271E37">
            <w:pPr>
              <w:jc w:val="left"/>
            </w:pPr>
            <w:r>
              <w:t>Derivative financial liabilities</w:t>
            </w:r>
          </w:p>
        </w:tc>
        <w:tc>
          <w:tcPr>
            <w:tcW w:w="1134" w:type="dxa"/>
            <w:tcBorders>
              <w:bottom w:val="single" w:sz="4" w:space="0" w:color="auto"/>
            </w:tcBorders>
            <w:vAlign w:val="bottom"/>
          </w:tcPr>
          <w:p w14:paraId="714E0F22" w14:textId="77777777" w:rsidR="00271E37" w:rsidRPr="00397C42" w:rsidRDefault="00271E37">
            <w:r w:rsidRPr="00397C42">
              <w:t>18</w:t>
            </w:r>
          </w:p>
        </w:tc>
        <w:tc>
          <w:tcPr>
            <w:tcW w:w="1134" w:type="dxa"/>
            <w:tcBorders>
              <w:bottom w:val="single" w:sz="4" w:space="0" w:color="auto"/>
            </w:tcBorders>
            <w:vAlign w:val="center"/>
          </w:tcPr>
          <w:p w14:paraId="5AA77021" w14:textId="77777777" w:rsidR="00271E37" w:rsidRPr="00FC001F" w:rsidRDefault="00271E37">
            <w:pPr>
              <w:rPr>
                <w:b/>
                <w:bCs/>
              </w:rPr>
            </w:pPr>
            <w:r w:rsidRPr="00E00648">
              <w:rPr>
                <w:rFonts w:cs="Arial"/>
                <w:szCs w:val="16"/>
              </w:rPr>
              <w:t xml:space="preserve">76 </w:t>
            </w:r>
          </w:p>
        </w:tc>
        <w:tc>
          <w:tcPr>
            <w:tcW w:w="1134" w:type="dxa"/>
            <w:tcBorders>
              <w:bottom w:val="single" w:sz="4" w:space="0" w:color="auto"/>
            </w:tcBorders>
            <w:vAlign w:val="center"/>
          </w:tcPr>
          <w:p w14:paraId="648587AA" w14:textId="77777777" w:rsidR="00271E37" w:rsidRPr="00FC001F" w:rsidRDefault="00271E37">
            <w:pPr>
              <w:rPr>
                <w:b/>
                <w:bCs/>
              </w:rPr>
            </w:pPr>
            <w:r w:rsidRPr="009D526A">
              <w:rPr>
                <w:rFonts w:cs="Arial"/>
                <w:szCs w:val="16"/>
              </w:rPr>
              <w:t>(6,414)</w:t>
            </w:r>
          </w:p>
        </w:tc>
        <w:tc>
          <w:tcPr>
            <w:tcW w:w="1134" w:type="dxa"/>
            <w:tcBorders>
              <w:bottom w:val="single" w:sz="4" w:space="0" w:color="auto"/>
            </w:tcBorders>
            <w:vAlign w:val="center"/>
          </w:tcPr>
          <w:p w14:paraId="71B27140" w14:textId="77777777" w:rsidR="00271E37" w:rsidRPr="00FC001F" w:rsidRDefault="00271E37">
            <w:pPr>
              <w:rPr>
                <w:b/>
                <w:bCs/>
              </w:rPr>
            </w:pPr>
            <w:r w:rsidRPr="009D526A">
              <w:rPr>
                <w:rFonts w:cs="Arial"/>
                <w:szCs w:val="16"/>
              </w:rPr>
              <w:t>(6,414)</w:t>
            </w:r>
          </w:p>
        </w:tc>
        <w:tc>
          <w:tcPr>
            <w:tcW w:w="1134" w:type="dxa"/>
            <w:tcBorders>
              <w:bottom w:val="single" w:sz="4" w:space="0" w:color="auto"/>
            </w:tcBorders>
            <w:vAlign w:val="center"/>
          </w:tcPr>
          <w:p w14:paraId="65AFA50D" w14:textId="77777777" w:rsidR="00271E37" w:rsidRPr="00FC001F" w:rsidRDefault="00271E37">
            <w:pPr>
              <w:rPr>
                <w:b/>
                <w:bCs/>
              </w:rPr>
            </w:pPr>
            <w:r w:rsidRPr="00E00648">
              <w:rPr>
                <w:rFonts w:cs="Arial"/>
                <w:szCs w:val="16"/>
              </w:rPr>
              <w:t xml:space="preserve"> - </w:t>
            </w:r>
          </w:p>
        </w:tc>
        <w:tc>
          <w:tcPr>
            <w:tcW w:w="1134" w:type="dxa"/>
            <w:tcBorders>
              <w:bottom w:val="single" w:sz="4" w:space="0" w:color="auto"/>
            </w:tcBorders>
            <w:vAlign w:val="center"/>
          </w:tcPr>
          <w:p w14:paraId="1E5BC6DB" w14:textId="77777777" w:rsidR="00271E37" w:rsidRPr="00FC001F" w:rsidRDefault="00271E37">
            <w:pPr>
              <w:rPr>
                <w:b/>
                <w:bCs/>
              </w:rPr>
            </w:pPr>
            <w:r w:rsidRPr="00E00648">
              <w:rPr>
                <w:rFonts w:cs="Arial"/>
                <w:szCs w:val="16"/>
              </w:rPr>
              <w:t xml:space="preserve"> - </w:t>
            </w:r>
          </w:p>
        </w:tc>
        <w:tc>
          <w:tcPr>
            <w:tcW w:w="1134" w:type="dxa"/>
            <w:tcBorders>
              <w:bottom w:val="single" w:sz="4" w:space="0" w:color="auto"/>
            </w:tcBorders>
            <w:vAlign w:val="center"/>
          </w:tcPr>
          <w:p w14:paraId="41E87EF3" w14:textId="77777777" w:rsidR="00271E37" w:rsidRPr="00FC001F" w:rsidRDefault="00271E37">
            <w:pPr>
              <w:rPr>
                <w:b/>
                <w:bCs/>
              </w:rPr>
            </w:pPr>
            <w:r w:rsidRPr="00E00648">
              <w:rPr>
                <w:rFonts w:cs="Arial"/>
                <w:szCs w:val="16"/>
              </w:rPr>
              <w:t xml:space="preserve"> - </w:t>
            </w:r>
          </w:p>
        </w:tc>
      </w:tr>
      <w:tr w:rsidR="00271E37" w:rsidRPr="00397C42" w14:paraId="124A92CA" w14:textId="77777777">
        <w:tc>
          <w:tcPr>
            <w:tcW w:w="1701" w:type="dxa"/>
            <w:tcBorders>
              <w:top w:val="single" w:sz="4" w:space="0" w:color="auto"/>
            </w:tcBorders>
          </w:tcPr>
          <w:p w14:paraId="30B7488F" w14:textId="77777777" w:rsidR="00271E37" w:rsidRPr="00397C42" w:rsidRDefault="00271E37">
            <w:pPr>
              <w:jc w:val="left"/>
            </w:pPr>
            <w:r w:rsidRPr="00397C42">
              <w:t xml:space="preserve"> </w:t>
            </w:r>
          </w:p>
        </w:tc>
        <w:tc>
          <w:tcPr>
            <w:tcW w:w="1134" w:type="dxa"/>
            <w:tcBorders>
              <w:top w:val="single" w:sz="4" w:space="0" w:color="auto"/>
            </w:tcBorders>
          </w:tcPr>
          <w:p w14:paraId="02675305" w14:textId="77777777" w:rsidR="00271E37" w:rsidRPr="00397C42" w:rsidRDefault="00271E37"/>
        </w:tc>
        <w:tc>
          <w:tcPr>
            <w:tcW w:w="1134" w:type="dxa"/>
            <w:tcBorders>
              <w:top w:val="single" w:sz="4" w:space="0" w:color="auto"/>
            </w:tcBorders>
            <w:vAlign w:val="center"/>
          </w:tcPr>
          <w:p w14:paraId="50E89BB7" w14:textId="77777777" w:rsidR="00271E37" w:rsidRPr="00FC001F" w:rsidRDefault="00271E37">
            <w:pPr>
              <w:rPr>
                <w:b/>
                <w:bCs/>
              </w:rPr>
            </w:pPr>
            <w:r w:rsidRPr="00E00648">
              <w:rPr>
                <w:rFonts w:cs="Arial"/>
                <w:b/>
                <w:szCs w:val="16"/>
              </w:rPr>
              <w:t xml:space="preserve">68,380 </w:t>
            </w:r>
          </w:p>
        </w:tc>
        <w:tc>
          <w:tcPr>
            <w:tcW w:w="1134" w:type="dxa"/>
            <w:tcBorders>
              <w:top w:val="single" w:sz="4" w:space="0" w:color="auto"/>
            </w:tcBorders>
            <w:vAlign w:val="center"/>
          </w:tcPr>
          <w:p w14:paraId="06AA9E78" w14:textId="77777777" w:rsidR="00271E37" w:rsidRPr="00FC001F" w:rsidRDefault="00271E37">
            <w:pPr>
              <w:rPr>
                <w:b/>
                <w:bCs/>
              </w:rPr>
            </w:pPr>
            <w:r w:rsidRPr="009D526A">
              <w:rPr>
                <w:rFonts w:cs="Arial"/>
                <w:b/>
                <w:szCs w:val="16"/>
              </w:rPr>
              <w:t>(83,194</w:t>
            </w:r>
            <w:r w:rsidRPr="00E00648">
              <w:rPr>
                <w:rFonts w:cs="Arial"/>
                <w:b/>
                <w:szCs w:val="16"/>
              </w:rPr>
              <w:t>)</w:t>
            </w:r>
          </w:p>
        </w:tc>
        <w:tc>
          <w:tcPr>
            <w:tcW w:w="1134" w:type="dxa"/>
            <w:tcBorders>
              <w:top w:val="single" w:sz="4" w:space="0" w:color="auto"/>
            </w:tcBorders>
            <w:vAlign w:val="center"/>
          </w:tcPr>
          <w:p w14:paraId="5A8E03AF" w14:textId="77777777" w:rsidR="00271E37" w:rsidRPr="00FC001F" w:rsidRDefault="00271E37">
            <w:pPr>
              <w:rPr>
                <w:b/>
                <w:bCs/>
              </w:rPr>
            </w:pPr>
            <w:r w:rsidRPr="009D526A">
              <w:rPr>
                <w:rFonts w:cs="Arial"/>
                <w:b/>
                <w:szCs w:val="16"/>
              </w:rPr>
              <w:t>(45,674</w:t>
            </w:r>
            <w:r w:rsidRPr="00E00648">
              <w:rPr>
                <w:rFonts w:cs="Arial"/>
                <w:b/>
                <w:szCs w:val="16"/>
              </w:rPr>
              <w:t>)</w:t>
            </w:r>
          </w:p>
        </w:tc>
        <w:tc>
          <w:tcPr>
            <w:tcW w:w="1134" w:type="dxa"/>
            <w:tcBorders>
              <w:top w:val="single" w:sz="4" w:space="0" w:color="auto"/>
            </w:tcBorders>
            <w:vAlign w:val="center"/>
          </w:tcPr>
          <w:p w14:paraId="15304338" w14:textId="77777777" w:rsidR="00271E37" w:rsidRPr="00FC001F" w:rsidRDefault="00271E37">
            <w:pPr>
              <w:rPr>
                <w:b/>
                <w:bCs/>
              </w:rPr>
            </w:pPr>
            <w:r w:rsidRPr="00E00648">
              <w:rPr>
                <w:rFonts w:cs="Arial"/>
                <w:b/>
                <w:szCs w:val="16"/>
              </w:rPr>
              <w:t>(4,790)</w:t>
            </w:r>
          </w:p>
        </w:tc>
        <w:tc>
          <w:tcPr>
            <w:tcW w:w="1134" w:type="dxa"/>
            <w:tcBorders>
              <w:top w:val="single" w:sz="4" w:space="0" w:color="auto"/>
            </w:tcBorders>
            <w:vAlign w:val="center"/>
          </w:tcPr>
          <w:p w14:paraId="778F6B5F" w14:textId="77777777" w:rsidR="00271E37" w:rsidRPr="00FC001F" w:rsidRDefault="00271E37">
            <w:pPr>
              <w:rPr>
                <w:b/>
                <w:bCs/>
              </w:rPr>
            </w:pPr>
            <w:r w:rsidRPr="00E00648">
              <w:rPr>
                <w:rFonts w:cs="Arial"/>
                <w:b/>
                <w:szCs w:val="16"/>
              </w:rPr>
              <w:t>(13,198)</w:t>
            </w:r>
          </w:p>
        </w:tc>
        <w:tc>
          <w:tcPr>
            <w:tcW w:w="1134" w:type="dxa"/>
            <w:tcBorders>
              <w:top w:val="single" w:sz="4" w:space="0" w:color="auto"/>
            </w:tcBorders>
            <w:vAlign w:val="center"/>
          </w:tcPr>
          <w:p w14:paraId="541705E9" w14:textId="77777777" w:rsidR="00271E37" w:rsidRPr="00FC001F" w:rsidRDefault="00271E37">
            <w:pPr>
              <w:rPr>
                <w:b/>
                <w:bCs/>
              </w:rPr>
            </w:pPr>
            <w:r w:rsidRPr="00E00648">
              <w:rPr>
                <w:rFonts w:cs="Arial"/>
                <w:b/>
                <w:szCs w:val="16"/>
              </w:rPr>
              <w:t>(19,532)</w:t>
            </w:r>
          </w:p>
        </w:tc>
      </w:tr>
    </w:tbl>
    <w:p w14:paraId="51EE0C60" w14:textId="77777777" w:rsidR="00271E37" w:rsidRDefault="00271E37"/>
    <w:tbl>
      <w:tblPr>
        <w:tblStyle w:val="tableDUL"/>
        <w:tblW w:w="9639" w:type="dxa"/>
        <w:tblLook w:val="04A0" w:firstRow="1" w:lastRow="0" w:firstColumn="1" w:lastColumn="0" w:noHBand="0" w:noVBand="1"/>
      </w:tblPr>
      <w:tblGrid>
        <w:gridCol w:w="1701"/>
        <w:gridCol w:w="1134"/>
        <w:gridCol w:w="1134"/>
        <w:gridCol w:w="1134"/>
        <w:gridCol w:w="1134"/>
        <w:gridCol w:w="1134"/>
        <w:gridCol w:w="1134"/>
        <w:gridCol w:w="1134"/>
      </w:tblGrid>
      <w:tr w:rsidR="00271E37" w:rsidRPr="00397C42" w14:paraId="0ED31AC1" w14:textId="77777777" w:rsidTr="00397C42">
        <w:tc>
          <w:tcPr>
            <w:tcW w:w="0" w:type="auto"/>
            <w:tcBorders>
              <w:bottom w:val="nil"/>
            </w:tcBorders>
          </w:tcPr>
          <w:p w14:paraId="345D932C" w14:textId="77777777" w:rsidR="00271E37" w:rsidRPr="00397C42" w:rsidRDefault="00271E37" w:rsidP="00397C42">
            <w:pPr>
              <w:jc w:val="left"/>
            </w:pPr>
          </w:p>
        </w:tc>
        <w:tc>
          <w:tcPr>
            <w:tcW w:w="1134" w:type="dxa"/>
            <w:tcBorders>
              <w:bottom w:val="nil"/>
            </w:tcBorders>
          </w:tcPr>
          <w:p w14:paraId="04E3BFBA" w14:textId="77777777" w:rsidR="00271E37" w:rsidRPr="00397C42" w:rsidRDefault="00271E37" w:rsidP="000923EA"/>
        </w:tc>
        <w:tc>
          <w:tcPr>
            <w:tcW w:w="1134" w:type="dxa"/>
            <w:tcBorders>
              <w:bottom w:val="nil"/>
            </w:tcBorders>
          </w:tcPr>
          <w:p w14:paraId="303EF3A6" w14:textId="77777777" w:rsidR="00271E37" w:rsidRPr="00DD777C" w:rsidRDefault="00271E37" w:rsidP="000923EA">
            <w:r w:rsidRPr="00DD777C">
              <w:t>Carrying</w:t>
            </w:r>
          </w:p>
        </w:tc>
        <w:tc>
          <w:tcPr>
            <w:tcW w:w="1134" w:type="dxa"/>
            <w:tcBorders>
              <w:bottom w:val="nil"/>
            </w:tcBorders>
          </w:tcPr>
          <w:p w14:paraId="7A16002B" w14:textId="77777777" w:rsidR="00271E37" w:rsidRPr="00DD777C" w:rsidRDefault="00271E37" w:rsidP="000923EA">
            <w:r w:rsidRPr="00DD777C">
              <w:t>Contractual</w:t>
            </w:r>
          </w:p>
        </w:tc>
        <w:tc>
          <w:tcPr>
            <w:tcW w:w="1134" w:type="dxa"/>
            <w:tcBorders>
              <w:bottom w:val="nil"/>
            </w:tcBorders>
          </w:tcPr>
          <w:p w14:paraId="39115BCC" w14:textId="77777777" w:rsidR="00271E37" w:rsidRPr="00DD777C" w:rsidRDefault="00271E37" w:rsidP="000923EA">
            <w:r w:rsidRPr="00DD777C">
              <w:t>One year</w:t>
            </w:r>
          </w:p>
        </w:tc>
        <w:tc>
          <w:tcPr>
            <w:tcW w:w="1134" w:type="dxa"/>
            <w:tcBorders>
              <w:bottom w:val="nil"/>
            </w:tcBorders>
          </w:tcPr>
          <w:p w14:paraId="69FB636B" w14:textId="77777777" w:rsidR="00271E37" w:rsidRPr="00DD777C" w:rsidRDefault="00271E37" w:rsidP="000923EA">
            <w:r w:rsidRPr="00DD777C">
              <w:t>One to two</w:t>
            </w:r>
          </w:p>
        </w:tc>
        <w:tc>
          <w:tcPr>
            <w:tcW w:w="1134" w:type="dxa"/>
            <w:tcBorders>
              <w:bottom w:val="nil"/>
            </w:tcBorders>
          </w:tcPr>
          <w:p w14:paraId="6C21F68E" w14:textId="77777777" w:rsidR="00271E37" w:rsidRPr="00DD777C" w:rsidRDefault="00271E37" w:rsidP="000923EA">
            <w:r w:rsidRPr="00DD777C">
              <w:t>Two to five</w:t>
            </w:r>
          </w:p>
        </w:tc>
        <w:tc>
          <w:tcPr>
            <w:tcW w:w="1134" w:type="dxa"/>
            <w:tcBorders>
              <w:bottom w:val="nil"/>
            </w:tcBorders>
          </w:tcPr>
          <w:p w14:paraId="6DFC9AFF" w14:textId="77777777" w:rsidR="00271E37" w:rsidRPr="00DD777C" w:rsidRDefault="00271E37" w:rsidP="000923EA">
            <w:r w:rsidRPr="00DD777C">
              <w:t xml:space="preserve">More than </w:t>
            </w:r>
          </w:p>
        </w:tc>
      </w:tr>
      <w:tr w:rsidR="00271E37" w:rsidRPr="00397C42" w14:paraId="4FE8AA14" w14:textId="77777777" w:rsidTr="00397C42">
        <w:tc>
          <w:tcPr>
            <w:tcW w:w="0" w:type="auto"/>
            <w:tcBorders>
              <w:bottom w:val="nil"/>
            </w:tcBorders>
          </w:tcPr>
          <w:p w14:paraId="53B62A2A" w14:textId="77777777" w:rsidR="00271E37" w:rsidRPr="00397C42" w:rsidRDefault="00271E37" w:rsidP="00397C42">
            <w:pPr>
              <w:jc w:val="left"/>
            </w:pPr>
          </w:p>
        </w:tc>
        <w:tc>
          <w:tcPr>
            <w:tcW w:w="1134" w:type="dxa"/>
            <w:tcBorders>
              <w:bottom w:val="nil"/>
            </w:tcBorders>
          </w:tcPr>
          <w:p w14:paraId="0E7C751D" w14:textId="77777777" w:rsidR="00271E37" w:rsidRPr="00397C42" w:rsidRDefault="00271E37" w:rsidP="000923EA"/>
        </w:tc>
        <w:tc>
          <w:tcPr>
            <w:tcW w:w="1134" w:type="dxa"/>
            <w:tcBorders>
              <w:bottom w:val="nil"/>
            </w:tcBorders>
          </w:tcPr>
          <w:p w14:paraId="57A58392" w14:textId="77777777" w:rsidR="00271E37" w:rsidRPr="00DD777C" w:rsidRDefault="00271E37" w:rsidP="000923EA">
            <w:r w:rsidRPr="00DD777C">
              <w:t>amount</w:t>
            </w:r>
          </w:p>
        </w:tc>
        <w:tc>
          <w:tcPr>
            <w:tcW w:w="1134" w:type="dxa"/>
            <w:tcBorders>
              <w:bottom w:val="nil"/>
            </w:tcBorders>
          </w:tcPr>
          <w:p w14:paraId="03B54E10" w14:textId="77777777" w:rsidR="00271E37" w:rsidRPr="00DD777C" w:rsidRDefault="00271E37" w:rsidP="000923EA">
            <w:r w:rsidRPr="00DD777C">
              <w:t>cash flows</w:t>
            </w:r>
          </w:p>
        </w:tc>
        <w:tc>
          <w:tcPr>
            <w:tcW w:w="1134" w:type="dxa"/>
            <w:tcBorders>
              <w:bottom w:val="nil"/>
            </w:tcBorders>
          </w:tcPr>
          <w:p w14:paraId="5D805D01" w14:textId="77777777" w:rsidR="00271E37" w:rsidRPr="00DD777C" w:rsidRDefault="00271E37" w:rsidP="000923EA">
            <w:r w:rsidRPr="00DD777C">
              <w:t>or less</w:t>
            </w:r>
          </w:p>
        </w:tc>
        <w:tc>
          <w:tcPr>
            <w:tcW w:w="1134" w:type="dxa"/>
            <w:tcBorders>
              <w:bottom w:val="nil"/>
            </w:tcBorders>
          </w:tcPr>
          <w:p w14:paraId="207CDB1D" w14:textId="77777777" w:rsidR="00271E37" w:rsidRPr="00DD777C" w:rsidRDefault="00271E37" w:rsidP="000923EA">
            <w:r w:rsidRPr="00DD777C">
              <w:t>years</w:t>
            </w:r>
          </w:p>
        </w:tc>
        <w:tc>
          <w:tcPr>
            <w:tcW w:w="1134" w:type="dxa"/>
            <w:tcBorders>
              <w:bottom w:val="nil"/>
            </w:tcBorders>
          </w:tcPr>
          <w:p w14:paraId="70EEA2A7" w14:textId="77777777" w:rsidR="00271E37" w:rsidRPr="00DD777C" w:rsidRDefault="00271E37" w:rsidP="000923EA">
            <w:r w:rsidRPr="00DD777C">
              <w:t>years</w:t>
            </w:r>
          </w:p>
        </w:tc>
        <w:tc>
          <w:tcPr>
            <w:tcW w:w="1134" w:type="dxa"/>
            <w:tcBorders>
              <w:bottom w:val="nil"/>
            </w:tcBorders>
          </w:tcPr>
          <w:p w14:paraId="0DE2C693" w14:textId="77777777" w:rsidR="00271E37" w:rsidRPr="00DD777C" w:rsidRDefault="00271E37" w:rsidP="000923EA">
            <w:r w:rsidRPr="00DD777C">
              <w:t xml:space="preserve">five years </w:t>
            </w:r>
          </w:p>
        </w:tc>
      </w:tr>
      <w:tr w:rsidR="00271E37" w:rsidRPr="00397C42" w14:paraId="18262A26" w14:textId="77777777" w:rsidTr="00397C42">
        <w:tc>
          <w:tcPr>
            <w:tcW w:w="0" w:type="auto"/>
            <w:tcBorders>
              <w:top w:val="nil"/>
              <w:bottom w:val="single" w:sz="4" w:space="0" w:color="auto"/>
            </w:tcBorders>
          </w:tcPr>
          <w:p w14:paraId="2BD18F58" w14:textId="77777777" w:rsidR="00271E37" w:rsidRPr="00397C42" w:rsidRDefault="00271E37" w:rsidP="00397C42">
            <w:pPr>
              <w:jc w:val="left"/>
            </w:pPr>
            <w:r w:rsidRPr="00397C42">
              <w:t>31 March 202</w:t>
            </w:r>
            <w:r>
              <w:t>5</w:t>
            </w:r>
          </w:p>
        </w:tc>
        <w:tc>
          <w:tcPr>
            <w:tcW w:w="1134" w:type="dxa"/>
            <w:tcBorders>
              <w:top w:val="nil"/>
              <w:bottom w:val="single" w:sz="4" w:space="0" w:color="auto"/>
            </w:tcBorders>
          </w:tcPr>
          <w:p w14:paraId="2174E0C9" w14:textId="77777777" w:rsidR="00271E37" w:rsidRPr="00397C42" w:rsidRDefault="00271E37" w:rsidP="000923EA">
            <w:r w:rsidRPr="00397C42">
              <w:t>Note</w:t>
            </w:r>
          </w:p>
        </w:tc>
        <w:tc>
          <w:tcPr>
            <w:tcW w:w="1134" w:type="dxa"/>
            <w:tcBorders>
              <w:top w:val="nil"/>
              <w:bottom w:val="single" w:sz="4" w:space="0" w:color="auto"/>
            </w:tcBorders>
          </w:tcPr>
          <w:p w14:paraId="1BE0533E" w14:textId="77777777" w:rsidR="00271E37" w:rsidRPr="00DD777C" w:rsidRDefault="00271E37" w:rsidP="000923EA">
            <w:r>
              <w:t>£</w:t>
            </w:r>
            <w:r w:rsidRPr="00DD777C">
              <w:t>000</w:t>
            </w:r>
          </w:p>
        </w:tc>
        <w:tc>
          <w:tcPr>
            <w:tcW w:w="1134" w:type="dxa"/>
            <w:tcBorders>
              <w:top w:val="nil"/>
              <w:bottom w:val="single" w:sz="4" w:space="0" w:color="auto"/>
            </w:tcBorders>
          </w:tcPr>
          <w:p w14:paraId="07E62B4C" w14:textId="77777777" w:rsidR="00271E37" w:rsidRPr="00DD777C" w:rsidRDefault="00271E37" w:rsidP="000923EA">
            <w:r>
              <w:t>£</w:t>
            </w:r>
            <w:r w:rsidRPr="00DD777C">
              <w:t>000</w:t>
            </w:r>
          </w:p>
        </w:tc>
        <w:tc>
          <w:tcPr>
            <w:tcW w:w="1134" w:type="dxa"/>
            <w:tcBorders>
              <w:top w:val="nil"/>
              <w:bottom w:val="single" w:sz="4" w:space="0" w:color="auto"/>
            </w:tcBorders>
          </w:tcPr>
          <w:p w14:paraId="2417B7CF" w14:textId="77777777" w:rsidR="00271E37" w:rsidRPr="00DD777C" w:rsidRDefault="00271E37" w:rsidP="000923EA">
            <w:r>
              <w:t>£</w:t>
            </w:r>
            <w:r w:rsidRPr="00DD777C">
              <w:t>000</w:t>
            </w:r>
          </w:p>
        </w:tc>
        <w:tc>
          <w:tcPr>
            <w:tcW w:w="1134" w:type="dxa"/>
            <w:tcBorders>
              <w:top w:val="nil"/>
              <w:bottom w:val="single" w:sz="4" w:space="0" w:color="auto"/>
            </w:tcBorders>
          </w:tcPr>
          <w:p w14:paraId="3CF358B1" w14:textId="77777777" w:rsidR="00271E37" w:rsidRPr="00DD777C" w:rsidRDefault="00271E37" w:rsidP="000923EA">
            <w:r>
              <w:t>£</w:t>
            </w:r>
            <w:r w:rsidRPr="00DD777C">
              <w:t>000</w:t>
            </w:r>
          </w:p>
        </w:tc>
        <w:tc>
          <w:tcPr>
            <w:tcW w:w="1134" w:type="dxa"/>
            <w:tcBorders>
              <w:top w:val="nil"/>
              <w:bottom w:val="single" w:sz="4" w:space="0" w:color="auto"/>
            </w:tcBorders>
          </w:tcPr>
          <w:p w14:paraId="5E9E45A2" w14:textId="77777777" w:rsidR="00271E37" w:rsidRPr="00DD777C" w:rsidRDefault="00271E37" w:rsidP="000923EA">
            <w:r>
              <w:t>£</w:t>
            </w:r>
            <w:r w:rsidRPr="00DD777C">
              <w:t>000</w:t>
            </w:r>
          </w:p>
        </w:tc>
        <w:tc>
          <w:tcPr>
            <w:tcW w:w="1134" w:type="dxa"/>
            <w:tcBorders>
              <w:top w:val="nil"/>
              <w:bottom w:val="single" w:sz="4" w:space="0" w:color="auto"/>
            </w:tcBorders>
          </w:tcPr>
          <w:p w14:paraId="78E22EB1" w14:textId="77777777" w:rsidR="00271E37" w:rsidRPr="00DD777C" w:rsidRDefault="00271E37" w:rsidP="000923EA">
            <w:r>
              <w:t>£</w:t>
            </w:r>
            <w:r w:rsidRPr="00DD777C">
              <w:t>000</w:t>
            </w:r>
          </w:p>
        </w:tc>
      </w:tr>
      <w:tr w:rsidR="00271E37" w:rsidRPr="00397C42" w14:paraId="1BED6691" w14:textId="77777777">
        <w:tc>
          <w:tcPr>
            <w:tcW w:w="0" w:type="auto"/>
          </w:tcPr>
          <w:p w14:paraId="0B2BB260" w14:textId="77777777" w:rsidR="00271E37" w:rsidRPr="00397C42" w:rsidRDefault="00271E37">
            <w:pPr>
              <w:jc w:val="left"/>
            </w:pPr>
            <w:r w:rsidRPr="00397C42">
              <w:t>Other financial liabilities</w:t>
            </w:r>
          </w:p>
        </w:tc>
        <w:tc>
          <w:tcPr>
            <w:tcW w:w="1134" w:type="dxa"/>
          </w:tcPr>
          <w:p w14:paraId="2666B3B1" w14:textId="77777777" w:rsidR="00271E37" w:rsidRPr="00397C42" w:rsidRDefault="00271E37">
            <w:r w:rsidRPr="00397C42">
              <w:t>18</w:t>
            </w:r>
          </w:p>
        </w:tc>
        <w:tc>
          <w:tcPr>
            <w:tcW w:w="1134" w:type="dxa"/>
            <w:vAlign w:val="center"/>
          </w:tcPr>
          <w:p w14:paraId="4D084439" w14:textId="77777777" w:rsidR="00271E37" w:rsidRPr="007B5813" w:rsidRDefault="00271E37">
            <w:r w:rsidRPr="007B5813">
              <w:rPr>
                <w:rFonts w:cs="Arial"/>
                <w:szCs w:val="16"/>
              </w:rPr>
              <w:t xml:space="preserve">36,996 </w:t>
            </w:r>
          </w:p>
        </w:tc>
        <w:tc>
          <w:tcPr>
            <w:tcW w:w="1134" w:type="dxa"/>
            <w:vAlign w:val="center"/>
          </w:tcPr>
          <w:p w14:paraId="512E1E04" w14:textId="77777777" w:rsidR="00271E37" w:rsidRPr="007B5813" w:rsidRDefault="00271E37">
            <w:r w:rsidRPr="007B5813">
              <w:rPr>
                <w:rFonts w:cs="Arial"/>
                <w:szCs w:val="16"/>
              </w:rPr>
              <w:t>(36,996)</w:t>
            </w:r>
          </w:p>
        </w:tc>
        <w:tc>
          <w:tcPr>
            <w:tcW w:w="1134" w:type="dxa"/>
            <w:vAlign w:val="center"/>
          </w:tcPr>
          <w:p w14:paraId="71425B16" w14:textId="77777777" w:rsidR="00271E37" w:rsidRPr="007B5813" w:rsidRDefault="00271E37">
            <w:r w:rsidRPr="007B5813">
              <w:rPr>
                <w:rFonts w:cs="Arial"/>
                <w:szCs w:val="16"/>
              </w:rPr>
              <w:t>(25,12</w:t>
            </w:r>
            <w:r>
              <w:rPr>
                <w:rFonts w:cs="Arial"/>
                <w:szCs w:val="16"/>
              </w:rPr>
              <w:t>6</w:t>
            </w:r>
            <w:r w:rsidRPr="007B5813">
              <w:rPr>
                <w:rFonts w:cs="Arial"/>
                <w:szCs w:val="16"/>
              </w:rPr>
              <w:t>)</w:t>
            </w:r>
          </w:p>
        </w:tc>
        <w:tc>
          <w:tcPr>
            <w:tcW w:w="1134" w:type="dxa"/>
            <w:vAlign w:val="center"/>
          </w:tcPr>
          <w:p w14:paraId="19AD60D1" w14:textId="77777777" w:rsidR="00271E37" w:rsidRPr="007B5813" w:rsidRDefault="00271E37">
            <w:r w:rsidRPr="007B5813">
              <w:rPr>
                <w:rFonts w:cs="Arial"/>
                <w:szCs w:val="16"/>
              </w:rPr>
              <w:t>(11,</w:t>
            </w:r>
            <w:r>
              <w:rPr>
                <w:rFonts w:cs="Arial"/>
                <w:szCs w:val="16"/>
              </w:rPr>
              <w:t>699</w:t>
            </w:r>
            <w:r w:rsidRPr="007B5813">
              <w:rPr>
                <w:rFonts w:cs="Arial"/>
                <w:szCs w:val="16"/>
              </w:rPr>
              <w:t>)</w:t>
            </w:r>
          </w:p>
        </w:tc>
        <w:tc>
          <w:tcPr>
            <w:tcW w:w="1134" w:type="dxa"/>
            <w:vAlign w:val="center"/>
          </w:tcPr>
          <w:p w14:paraId="2B67F54A" w14:textId="77777777" w:rsidR="00271E37" w:rsidRPr="007B5813" w:rsidRDefault="00271E37">
            <w:r w:rsidRPr="007B5813">
              <w:rPr>
                <w:rFonts w:cs="Arial"/>
                <w:szCs w:val="16"/>
              </w:rPr>
              <w:t>(169)</w:t>
            </w:r>
          </w:p>
        </w:tc>
        <w:tc>
          <w:tcPr>
            <w:tcW w:w="1134" w:type="dxa"/>
            <w:vAlign w:val="center"/>
          </w:tcPr>
          <w:p w14:paraId="4E39D6AC" w14:textId="77777777" w:rsidR="00271E37" w:rsidRPr="007B5813" w:rsidRDefault="00271E37">
            <w:r w:rsidRPr="007B5813">
              <w:rPr>
                <w:rFonts w:cs="Arial"/>
                <w:szCs w:val="16"/>
              </w:rPr>
              <w:t>(2)</w:t>
            </w:r>
          </w:p>
        </w:tc>
      </w:tr>
      <w:tr w:rsidR="00271E37" w:rsidRPr="00397C42" w14:paraId="29CF4417" w14:textId="77777777">
        <w:tc>
          <w:tcPr>
            <w:tcW w:w="0" w:type="auto"/>
          </w:tcPr>
          <w:p w14:paraId="7D849998" w14:textId="77777777" w:rsidR="00271E37" w:rsidRPr="00397C42" w:rsidRDefault="00271E37">
            <w:pPr>
              <w:jc w:val="left"/>
            </w:pPr>
            <w:r w:rsidRPr="00397C42">
              <w:t>Lease liabilities</w:t>
            </w:r>
          </w:p>
        </w:tc>
        <w:tc>
          <w:tcPr>
            <w:tcW w:w="1134" w:type="dxa"/>
          </w:tcPr>
          <w:p w14:paraId="63056303" w14:textId="77777777" w:rsidR="00271E37" w:rsidRPr="00397C42" w:rsidRDefault="00271E37">
            <w:r w:rsidRPr="00397C42">
              <w:t>10</w:t>
            </w:r>
          </w:p>
        </w:tc>
        <w:tc>
          <w:tcPr>
            <w:tcW w:w="1134" w:type="dxa"/>
            <w:vAlign w:val="center"/>
          </w:tcPr>
          <w:p w14:paraId="60B46199" w14:textId="77777777" w:rsidR="00271E37" w:rsidRPr="007B5813" w:rsidRDefault="00271E37">
            <w:r w:rsidRPr="007B5813">
              <w:rPr>
                <w:rFonts w:cs="Arial"/>
                <w:szCs w:val="16"/>
              </w:rPr>
              <w:t xml:space="preserve">56,545 </w:t>
            </w:r>
          </w:p>
        </w:tc>
        <w:tc>
          <w:tcPr>
            <w:tcW w:w="1134" w:type="dxa"/>
            <w:vAlign w:val="center"/>
          </w:tcPr>
          <w:p w14:paraId="03111FEC" w14:textId="77777777" w:rsidR="00271E37" w:rsidRPr="007B5813" w:rsidRDefault="00271E37">
            <w:r w:rsidRPr="007B5813">
              <w:rPr>
                <w:rFonts w:cs="Arial"/>
                <w:szCs w:val="16"/>
              </w:rPr>
              <w:t>(66,</w:t>
            </w:r>
            <w:r>
              <w:rPr>
                <w:rFonts w:cs="Arial"/>
                <w:szCs w:val="16"/>
              </w:rPr>
              <w:t>385</w:t>
            </w:r>
            <w:r w:rsidRPr="007B5813">
              <w:rPr>
                <w:rFonts w:cs="Arial"/>
                <w:szCs w:val="16"/>
              </w:rPr>
              <w:t>)</w:t>
            </w:r>
          </w:p>
        </w:tc>
        <w:tc>
          <w:tcPr>
            <w:tcW w:w="1134" w:type="dxa"/>
            <w:vAlign w:val="center"/>
          </w:tcPr>
          <w:p w14:paraId="43026572" w14:textId="77777777" w:rsidR="00271E37" w:rsidRPr="007B5813" w:rsidRDefault="00271E37">
            <w:r w:rsidRPr="007B5813">
              <w:rPr>
                <w:rFonts w:cs="Arial"/>
                <w:szCs w:val="16"/>
              </w:rPr>
              <w:t>(12,67</w:t>
            </w:r>
            <w:r>
              <w:rPr>
                <w:rFonts w:cs="Arial"/>
                <w:szCs w:val="16"/>
              </w:rPr>
              <w:t>0</w:t>
            </w:r>
            <w:r w:rsidRPr="007B5813">
              <w:rPr>
                <w:rFonts w:cs="Arial"/>
                <w:szCs w:val="16"/>
              </w:rPr>
              <w:t>)</w:t>
            </w:r>
          </w:p>
        </w:tc>
        <w:tc>
          <w:tcPr>
            <w:tcW w:w="1134" w:type="dxa"/>
            <w:vAlign w:val="center"/>
          </w:tcPr>
          <w:p w14:paraId="4DFA8F8C" w14:textId="77777777" w:rsidR="00271E37" w:rsidRPr="007B5813" w:rsidRDefault="00271E37">
            <w:r w:rsidRPr="007B5813">
              <w:rPr>
                <w:rFonts w:cs="Arial"/>
                <w:szCs w:val="16"/>
              </w:rPr>
              <w:t>(11,56</w:t>
            </w:r>
            <w:r>
              <w:rPr>
                <w:rFonts w:cs="Arial"/>
                <w:szCs w:val="16"/>
              </w:rPr>
              <w:t>1</w:t>
            </w:r>
            <w:r w:rsidRPr="007B5813">
              <w:rPr>
                <w:rFonts w:cs="Arial"/>
                <w:szCs w:val="16"/>
              </w:rPr>
              <w:t>)</w:t>
            </w:r>
          </w:p>
        </w:tc>
        <w:tc>
          <w:tcPr>
            <w:tcW w:w="1134" w:type="dxa"/>
            <w:vAlign w:val="center"/>
          </w:tcPr>
          <w:p w14:paraId="2061C321" w14:textId="77777777" w:rsidR="00271E37" w:rsidRPr="007B5813" w:rsidRDefault="00271E37">
            <w:r w:rsidRPr="007B5813">
              <w:rPr>
                <w:rFonts w:cs="Arial"/>
                <w:szCs w:val="16"/>
              </w:rPr>
              <w:t>(21,19</w:t>
            </w:r>
            <w:r>
              <w:rPr>
                <w:rFonts w:cs="Arial"/>
                <w:szCs w:val="16"/>
              </w:rPr>
              <w:t>0</w:t>
            </w:r>
            <w:r w:rsidRPr="007B5813">
              <w:rPr>
                <w:rFonts w:cs="Arial"/>
                <w:szCs w:val="16"/>
              </w:rPr>
              <w:t>)</w:t>
            </w:r>
          </w:p>
        </w:tc>
        <w:tc>
          <w:tcPr>
            <w:tcW w:w="1134" w:type="dxa"/>
            <w:vAlign w:val="center"/>
          </w:tcPr>
          <w:p w14:paraId="61879796" w14:textId="77777777" w:rsidR="00271E37" w:rsidRPr="007B5813" w:rsidRDefault="00271E37">
            <w:r w:rsidRPr="007B5813">
              <w:rPr>
                <w:rFonts w:cs="Arial"/>
                <w:szCs w:val="16"/>
              </w:rPr>
              <w:t>(20,9</w:t>
            </w:r>
            <w:r>
              <w:rPr>
                <w:rFonts w:cs="Arial"/>
                <w:szCs w:val="16"/>
              </w:rPr>
              <w:t>64</w:t>
            </w:r>
            <w:r w:rsidRPr="007B5813">
              <w:rPr>
                <w:rFonts w:cs="Arial"/>
                <w:szCs w:val="16"/>
              </w:rPr>
              <w:t>)</w:t>
            </w:r>
          </w:p>
        </w:tc>
      </w:tr>
      <w:tr w:rsidR="00271E37" w:rsidRPr="00397C42" w14:paraId="27046BC7" w14:textId="77777777">
        <w:tc>
          <w:tcPr>
            <w:tcW w:w="0" w:type="auto"/>
          </w:tcPr>
          <w:p w14:paraId="0F73DDBB" w14:textId="77777777" w:rsidR="00271E37" w:rsidRPr="00397C42" w:rsidRDefault="00271E37">
            <w:pPr>
              <w:jc w:val="left"/>
            </w:pPr>
            <w:r w:rsidRPr="00397C42">
              <w:t>Trade payables</w:t>
            </w:r>
          </w:p>
        </w:tc>
        <w:tc>
          <w:tcPr>
            <w:tcW w:w="1134" w:type="dxa"/>
          </w:tcPr>
          <w:p w14:paraId="6B0E0B53" w14:textId="77777777" w:rsidR="00271E37" w:rsidRPr="00397C42" w:rsidRDefault="00271E37">
            <w:r w:rsidRPr="00397C42">
              <w:t>19</w:t>
            </w:r>
          </w:p>
        </w:tc>
        <w:tc>
          <w:tcPr>
            <w:tcW w:w="1134" w:type="dxa"/>
            <w:vAlign w:val="center"/>
          </w:tcPr>
          <w:p w14:paraId="14D5586E" w14:textId="77777777" w:rsidR="00271E37" w:rsidRPr="007B5813" w:rsidRDefault="00271E37">
            <w:r w:rsidRPr="007B5813">
              <w:rPr>
                <w:rFonts w:cs="Arial"/>
                <w:szCs w:val="16"/>
              </w:rPr>
              <w:t xml:space="preserve">63,152 </w:t>
            </w:r>
          </w:p>
        </w:tc>
        <w:tc>
          <w:tcPr>
            <w:tcW w:w="1134" w:type="dxa"/>
            <w:vAlign w:val="center"/>
          </w:tcPr>
          <w:p w14:paraId="57AE2F61" w14:textId="77777777" w:rsidR="00271E37" w:rsidRPr="007B5813" w:rsidRDefault="00271E37">
            <w:r w:rsidRPr="007B5813">
              <w:rPr>
                <w:rFonts w:cs="Arial"/>
                <w:szCs w:val="16"/>
              </w:rPr>
              <w:t>(63,152)</w:t>
            </w:r>
          </w:p>
        </w:tc>
        <w:tc>
          <w:tcPr>
            <w:tcW w:w="1134" w:type="dxa"/>
            <w:vAlign w:val="center"/>
          </w:tcPr>
          <w:p w14:paraId="505C77A6" w14:textId="77777777" w:rsidR="00271E37" w:rsidRPr="007B5813" w:rsidRDefault="00271E37">
            <w:r w:rsidRPr="007B5813">
              <w:rPr>
                <w:rFonts w:cs="Arial"/>
                <w:szCs w:val="16"/>
              </w:rPr>
              <w:t>(63,152)</w:t>
            </w:r>
          </w:p>
        </w:tc>
        <w:tc>
          <w:tcPr>
            <w:tcW w:w="1134" w:type="dxa"/>
            <w:vAlign w:val="center"/>
          </w:tcPr>
          <w:p w14:paraId="06670C3A" w14:textId="77777777" w:rsidR="00271E37" w:rsidRPr="007B5813" w:rsidRDefault="00271E37">
            <w:r w:rsidRPr="007B5813">
              <w:rPr>
                <w:rFonts w:cs="Arial"/>
                <w:szCs w:val="16"/>
              </w:rPr>
              <w:t xml:space="preserve"> - </w:t>
            </w:r>
          </w:p>
        </w:tc>
        <w:tc>
          <w:tcPr>
            <w:tcW w:w="1134" w:type="dxa"/>
            <w:vAlign w:val="center"/>
          </w:tcPr>
          <w:p w14:paraId="3A4CB648" w14:textId="77777777" w:rsidR="00271E37" w:rsidRPr="007B5813" w:rsidRDefault="00271E37">
            <w:r w:rsidRPr="007B5813">
              <w:rPr>
                <w:rFonts w:cs="Arial"/>
                <w:szCs w:val="16"/>
              </w:rPr>
              <w:t xml:space="preserve"> - </w:t>
            </w:r>
          </w:p>
        </w:tc>
        <w:tc>
          <w:tcPr>
            <w:tcW w:w="1134" w:type="dxa"/>
            <w:vAlign w:val="center"/>
          </w:tcPr>
          <w:p w14:paraId="2BF9BE40" w14:textId="77777777" w:rsidR="00271E37" w:rsidRPr="007B5813" w:rsidRDefault="00271E37">
            <w:r w:rsidRPr="007B5813">
              <w:rPr>
                <w:rFonts w:cs="Arial"/>
                <w:szCs w:val="16"/>
              </w:rPr>
              <w:t xml:space="preserve"> - </w:t>
            </w:r>
          </w:p>
        </w:tc>
      </w:tr>
      <w:tr w:rsidR="00271E37" w:rsidRPr="00397C42" w14:paraId="430F57B5" w14:textId="77777777">
        <w:tc>
          <w:tcPr>
            <w:tcW w:w="0" w:type="auto"/>
            <w:tcBorders>
              <w:bottom w:val="single" w:sz="4" w:space="0" w:color="auto"/>
            </w:tcBorders>
          </w:tcPr>
          <w:p w14:paraId="6FA7728E" w14:textId="77777777" w:rsidR="00271E37" w:rsidRPr="00397C42" w:rsidRDefault="00271E37">
            <w:pPr>
              <w:jc w:val="left"/>
            </w:pPr>
            <w:r>
              <w:t>Derivative financial liabilities</w:t>
            </w:r>
          </w:p>
        </w:tc>
        <w:tc>
          <w:tcPr>
            <w:tcW w:w="1134" w:type="dxa"/>
            <w:tcBorders>
              <w:bottom w:val="single" w:sz="4" w:space="0" w:color="auto"/>
            </w:tcBorders>
            <w:vAlign w:val="bottom"/>
          </w:tcPr>
          <w:p w14:paraId="05E29372" w14:textId="77777777" w:rsidR="00271E37" w:rsidRPr="00397C42" w:rsidRDefault="00271E37">
            <w:r w:rsidRPr="00397C42">
              <w:t>18</w:t>
            </w:r>
          </w:p>
        </w:tc>
        <w:tc>
          <w:tcPr>
            <w:tcW w:w="1134" w:type="dxa"/>
            <w:tcBorders>
              <w:bottom w:val="single" w:sz="4" w:space="0" w:color="auto"/>
            </w:tcBorders>
            <w:vAlign w:val="center"/>
          </w:tcPr>
          <w:p w14:paraId="603F3894" w14:textId="77777777" w:rsidR="00271E37" w:rsidRPr="007B5813" w:rsidRDefault="00271E37">
            <w:r w:rsidRPr="007B5813">
              <w:rPr>
                <w:rFonts w:cs="Arial"/>
                <w:szCs w:val="16"/>
              </w:rPr>
              <w:t xml:space="preserve">413 </w:t>
            </w:r>
          </w:p>
        </w:tc>
        <w:tc>
          <w:tcPr>
            <w:tcW w:w="1134" w:type="dxa"/>
            <w:tcBorders>
              <w:bottom w:val="single" w:sz="4" w:space="0" w:color="auto"/>
            </w:tcBorders>
            <w:vAlign w:val="center"/>
          </w:tcPr>
          <w:p w14:paraId="746A807F" w14:textId="77777777" w:rsidR="00271E37" w:rsidRPr="007B5813" w:rsidRDefault="00271E37">
            <w:r w:rsidRPr="007B5813">
              <w:rPr>
                <w:rFonts w:cs="Arial"/>
                <w:szCs w:val="16"/>
              </w:rPr>
              <w:t>(18,6</w:t>
            </w:r>
            <w:r>
              <w:rPr>
                <w:rFonts w:cs="Arial"/>
                <w:szCs w:val="16"/>
              </w:rPr>
              <w:t>18</w:t>
            </w:r>
            <w:r w:rsidRPr="007B5813">
              <w:rPr>
                <w:rFonts w:cs="Arial"/>
                <w:szCs w:val="16"/>
              </w:rPr>
              <w:t>)</w:t>
            </w:r>
          </w:p>
        </w:tc>
        <w:tc>
          <w:tcPr>
            <w:tcW w:w="1134" w:type="dxa"/>
            <w:tcBorders>
              <w:bottom w:val="single" w:sz="4" w:space="0" w:color="auto"/>
            </w:tcBorders>
            <w:vAlign w:val="center"/>
          </w:tcPr>
          <w:p w14:paraId="34D07635" w14:textId="77777777" w:rsidR="00271E37" w:rsidRPr="007B5813" w:rsidRDefault="00271E37">
            <w:r w:rsidRPr="007B5813">
              <w:rPr>
                <w:rFonts w:cs="Arial"/>
                <w:szCs w:val="16"/>
              </w:rPr>
              <w:t>(18,6</w:t>
            </w:r>
            <w:r>
              <w:rPr>
                <w:rFonts w:cs="Arial"/>
                <w:szCs w:val="16"/>
              </w:rPr>
              <w:t>18</w:t>
            </w:r>
            <w:r w:rsidRPr="007B5813">
              <w:rPr>
                <w:rFonts w:cs="Arial"/>
                <w:szCs w:val="16"/>
              </w:rPr>
              <w:t>)</w:t>
            </w:r>
          </w:p>
        </w:tc>
        <w:tc>
          <w:tcPr>
            <w:tcW w:w="1134" w:type="dxa"/>
            <w:tcBorders>
              <w:bottom w:val="single" w:sz="4" w:space="0" w:color="auto"/>
            </w:tcBorders>
            <w:vAlign w:val="center"/>
          </w:tcPr>
          <w:p w14:paraId="3C53A2A6" w14:textId="77777777" w:rsidR="00271E37" w:rsidRPr="007B5813" w:rsidRDefault="00271E37">
            <w:r w:rsidRPr="007B5813">
              <w:rPr>
                <w:rFonts w:cs="Arial"/>
                <w:szCs w:val="16"/>
              </w:rPr>
              <w:t xml:space="preserve"> - </w:t>
            </w:r>
          </w:p>
        </w:tc>
        <w:tc>
          <w:tcPr>
            <w:tcW w:w="1134" w:type="dxa"/>
            <w:tcBorders>
              <w:bottom w:val="single" w:sz="4" w:space="0" w:color="auto"/>
            </w:tcBorders>
            <w:vAlign w:val="center"/>
          </w:tcPr>
          <w:p w14:paraId="6F939A83" w14:textId="77777777" w:rsidR="00271E37" w:rsidRPr="007B5813" w:rsidRDefault="00271E37">
            <w:r w:rsidRPr="007B5813">
              <w:rPr>
                <w:rFonts w:cs="Arial"/>
                <w:szCs w:val="16"/>
              </w:rPr>
              <w:t xml:space="preserve"> - </w:t>
            </w:r>
          </w:p>
        </w:tc>
        <w:tc>
          <w:tcPr>
            <w:tcW w:w="1134" w:type="dxa"/>
            <w:tcBorders>
              <w:bottom w:val="single" w:sz="4" w:space="0" w:color="auto"/>
            </w:tcBorders>
            <w:vAlign w:val="center"/>
          </w:tcPr>
          <w:p w14:paraId="0C9B7620" w14:textId="77777777" w:rsidR="00271E37" w:rsidRPr="007B5813" w:rsidRDefault="00271E37">
            <w:r w:rsidRPr="007B5813">
              <w:rPr>
                <w:rFonts w:cs="Arial"/>
                <w:szCs w:val="16"/>
              </w:rPr>
              <w:t xml:space="preserve"> - </w:t>
            </w:r>
          </w:p>
        </w:tc>
      </w:tr>
      <w:tr w:rsidR="00271E37" w:rsidRPr="00397C42" w14:paraId="13B2B825" w14:textId="77777777">
        <w:tc>
          <w:tcPr>
            <w:tcW w:w="0" w:type="auto"/>
            <w:tcBorders>
              <w:top w:val="single" w:sz="4" w:space="0" w:color="auto"/>
            </w:tcBorders>
          </w:tcPr>
          <w:p w14:paraId="3EA4896E" w14:textId="77777777" w:rsidR="00271E37" w:rsidRPr="00397C42" w:rsidRDefault="00271E37">
            <w:pPr>
              <w:jc w:val="left"/>
            </w:pPr>
            <w:r w:rsidRPr="00397C42">
              <w:t xml:space="preserve"> </w:t>
            </w:r>
          </w:p>
        </w:tc>
        <w:tc>
          <w:tcPr>
            <w:tcW w:w="1134" w:type="dxa"/>
            <w:tcBorders>
              <w:top w:val="single" w:sz="4" w:space="0" w:color="auto"/>
            </w:tcBorders>
          </w:tcPr>
          <w:p w14:paraId="49391029" w14:textId="77777777" w:rsidR="00271E37" w:rsidRPr="00397C42" w:rsidRDefault="00271E37"/>
        </w:tc>
        <w:tc>
          <w:tcPr>
            <w:tcW w:w="1134" w:type="dxa"/>
            <w:tcBorders>
              <w:top w:val="single" w:sz="4" w:space="0" w:color="auto"/>
            </w:tcBorders>
            <w:vAlign w:val="center"/>
          </w:tcPr>
          <w:p w14:paraId="2D2DCE83" w14:textId="77777777" w:rsidR="00271E37" w:rsidRPr="007B5813" w:rsidRDefault="00271E37">
            <w:r w:rsidRPr="007B5813">
              <w:rPr>
                <w:rFonts w:cs="Arial"/>
                <w:szCs w:val="16"/>
              </w:rPr>
              <w:t xml:space="preserve">157,106 </w:t>
            </w:r>
          </w:p>
        </w:tc>
        <w:tc>
          <w:tcPr>
            <w:tcW w:w="1134" w:type="dxa"/>
            <w:tcBorders>
              <w:top w:val="single" w:sz="4" w:space="0" w:color="auto"/>
            </w:tcBorders>
            <w:vAlign w:val="center"/>
          </w:tcPr>
          <w:p w14:paraId="5158345B" w14:textId="77777777" w:rsidR="00271E37" w:rsidRPr="007B5813" w:rsidRDefault="00271E37">
            <w:r w:rsidRPr="007B5813">
              <w:rPr>
                <w:rFonts w:cs="Arial"/>
                <w:szCs w:val="16"/>
              </w:rPr>
              <w:t>(185,1</w:t>
            </w:r>
            <w:r>
              <w:rPr>
                <w:rFonts w:cs="Arial"/>
                <w:szCs w:val="16"/>
              </w:rPr>
              <w:t>51</w:t>
            </w:r>
            <w:r w:rsidRPr="007B5813">
              <w:rPr>
                <w:rFonts w:cs="Arial"/>
                <w:szCs w:val="16"/>
              </w:rPr>
              <w:t>)</w:t>
            </w:r>
          </w:p>
        </w:tc>
        <w:tc>
          <w:tcPr>
            <w:tcW w:w="1134" w:type="dxa"/>
            <w:tcBorders>
              <w:top w:val="single" w:sz="4" w:space="0" w:color="auto"/>
            </w:tcBorders>
            <w:vAlign w:val="center"/>
          </w:tcPr>
          <w:p w14:paraId="3FDD6CD0" w14:textId="77777777" w:rsidR="00271E37" w:rsidRPr="007B5813" w:rsidRDefault="00271E37">
            <w:r w:rsidRPr="007B5813">
              <w:rPr>
                <w:rFonts w:cs="Arial"/>
                <w:szCs w:val="16"/>
              </w:rPr>
              <w:t>(119,</w:t>
            </w:r>
            <w:r>
              <w:rPr>
                <w:rFonts w:cs="Arial"/>
                <w:szCs w:val="16"/>
              </w:rPr>
              <w:t>566</w:t>
            </w:r>
            <w:r w:rsidRPr="007B5813">
              <w:rPr>
                <w:rFonts w:cs="Arial"/>
                <w:szCs w:val="16"/>
              </w:rPr>
              <w:t>)</w:t>
            </w:r>
          </w:p>
        </w:tc>
        <w:tc>
          <w:tcPr>
            <w:tcW w:w="1134" w:type="dxa"/>
            <w:tcBorders>
              <w:top w:val="single" w:sz="4" w:space="0" w:color="auto"/>
            </w:tcBorders>
            <w:vAlign w:val="center"/>
          </w:tcPr>
          <w:p w14:paraId="2CA434AA" w14:textId="77777777" w:rsidR="00271E37" w:rsidRPr="007B5813" w:rsidRDefault="00271E37">
            <w:r w:rsidRPr="007B5813">
              <w:rPr>
                <w:rFonts w:cs="Arial"/>
                <w:szCs w:val="16"/>
              </w:rPr>
              <w:t>(23,26</w:t>
            </w:r>
            <w:r>
              <w:rPr>
                <w:rFonts w:cs="Arial"/>
                <w:szCs w:val="16"/>
              </w:rPr>
              <w:t>0</w:t>
            </w:r>
            <w:r w:rsidRPr="007B5813">
              <w:rPr>
                <w:rFonts w:cs="Arial"/>
                <w:szCs w:val="16"/>
              </w:rPr>
              <w:t>)</w:t>
            </w:r>
          </w:p>
        </w:tc>
        <w:tc>
          <w:tcPr>
            <w:tcW w:w="1134" w:type="dxa"/>
            <w:tcBorders>
              <w:top w:val="single" w:sz="4" w:space="0" w:color="auto"/>
            </w:tcBorders>
            <w:vAlign w:val="center"/>
          </w:tcPr>
          <w:p w14:paraId="32853414" w14:textId="384C0EA8" w:rsidR="00271E37" w:rsidRPr="00B8452B" w:rsidRDefault="00271E37">
            <w:r w:rsidRPr="00B8452B">
              <w:rPr>
                <w:rFonts w:cs="Arial"/>
                <w:szCs w:val="16"/>
              </w:rPr>
              <w:t>(21,3</w:t>
            </w:r>
            <w:r w:rsidR="007B0FEB" w:rsidRPr="00B8452B">
              <w:rPr>
                <w:rFonts w:cs="Arial"/>
                <w:szCs w:val="16"/>
              </w:rPr>
              <w:t>5</w:t>
            </w:r>
            <w:r w:rsidRPr="00B8452B">
              <w:rPr>
                <w:rFonts w:cs="Arial"/>
                <w:szCs w:val="16"/>
              </w:rPr>
              <w:t>9)</w:t>
            </w:r>
          </w:p>
        </w:tc>
        <w:tc>
          <w:tcPr>
            <w:tcW w:w="1134" w:type="dxa"/>
            <w:tcBorders>
              <w:top w:val="single" w:sz="4" w:space="0" w:color="auto"/>
            </w:tcBorders>
            <w:vAlign w:val="center"/>
          </w:tcPr>
          <w:p w14:paraId="3B2BA055" w14:textId="77777777" w:rsidR="00271E37" w:rsidRPr="007B5813" w:rsidRDefault="00271E37">
            <w:r w:rsidRPr="007B5813">
              <w:rPr>
                <w:rFonts w:cs="Arial"/>
                <w:szCs w:val="16"/>
              </w:rPr>
              <w:t>(20,9</w:t>
            </w:r>
            <w:r>
              <w:rPr>
                <w:rFonts w:cs="Arial"/>
                <w:szCs w:val="16"/>
              </w:rPr>
              <w:t>66</w:t>
            </w:r>
            <w:r w:rsidRPr="007B5813">
              <w:rPr>
                <w:rFonts w:cs="Arial"/>
                <w:szCs w:val="16"/>
              </w:rPr>
              <w:t>)</w:t>
            </w:r>
          </w:p>
        </w:tc>
      </w:tr>
    </w:tbl>
    <w:p w14:paraId="4A4F200F" w14:textId="77777777" w:rsidR="00271E37" w:rsidRDefault="00271E37" w:rsidP="002E39D4"/>
    <w:p w14:paraId="588DB744" w14:textId="58DB124E" w:rsidR="00271E37" w:rsidRPr="00380B4B" w:rsidRDefault="00271E37">
      <w:pPr>
        <w:rPr>
          <w:rFonts w:eastAsia="Times New Roman" w:cs="Arial"/>
          <w:color w:val="000000"/>
          <w:szCs w:val="16"/>
          <w:lang w:eastAsia="en-GB"/>
        </w:rPr>
      </w:pPr>
      <w:r w:rsidRPr="00D359B2">
        <w:t xml:space="preserve">The availability of the </w:t>
      </w:r>
      <w:r w:rsidR="005967A1">
        <w:t>Receivable</w:t>
      </w:r>
      <w:r w:rsidR="00F37448">
        <w:t>s</w:t>
      </w:r>
      <w:r w:rsidR="005967A1">
        <w:t xml:space="preserve"> Finance</w:t>
      </w:r>
      <w:r w:rsidRPr="00D359B2">
        <w:t xml:space="preserve"> facility varied through the year, depending on the level of eligible receivables. </w:t>
      </w:r>
      <w:r w:rsidRPr="00380B4B">
        <w:rPr>
          <w:rFonts w:eastAsia="Times New Roman" w:cs="Arial"/>
          <w:color w:val="000000"/>
          <w:szCs w:val="16"/>
          <w:lang w:eastAsia="en-GB"/>
        </w:rPr>
        <w:t>The maximum availability was £40.0</w:t>
      </w:r>
      <w:r>
        <w:rPr>
          <w:rFonts w:eastAsia="Times New Roman" w:cs="Arial"/>
          <w:color w:val="000000"/>
          <w:szCs w:val="16"/>
          <w:lang w:eastAsia="en-GB"/>
        </w:rPr>
        <w:t xml:space="preserve"> </w:t>
      </w:r>
      <w:r w:rsidRPr="00380B4B">
        <w:rPr>
          <w:rFonts w:eastAsia="Times New Roman" w:cs="Arial"/>
          <w:color w:val="000000"/>
          <w:szCs w:val="16"/>
          <w:lang w:eastAsia="en-GB"/>
        </w:rPr>
        <w:t>m</w:t>
      </w:r>
      <w:r>
        <w:rPr>
          <w:rFonts w:eastAsia="Times New Roman" w:cs="Arial"/>
          <w:color w:val="000000"/>
          <w:szCs w:val="16"/>
          <w:lang w:eastAsia="en-GB"/>
        </w:rPr>
        <w:t>illion and a</w:t>
      </w:r>
      <w:r w:rsidRPr="00380B4B">
        <w:rPr>
          <w:rFonts w:eastAsia="Times New Roman" w:cs="Arial"/>
          <w:color w:val="000000"/>
          <w:szCs w:val="16"/>
          <w:lang w:eastAsia="en-GB"/>
        </w:rPr>
        <w:t>s at 31 March 2026, the availability amounted to £18.6 million.</w:t>
      </w:r>
      <w:r>
        <w:rPr>
          <w:rFonts w:eastAsia="Times New Roman" w:cs="Arial"/>
          <w:color w:val="000000"/>
          <w:szCs w:val="16"/>
          <w:lang w:eastAsia="en-GB"/>
        </w:rPr>
        <w:t xml:space="preserve">  </w:t>
      </w:r>
      <w:r w:rsidR="00D90FDB">
        <w:rPr>
          <w:rFonts w:eastAsia="Times New Roman" w:cs="Arial"/>
          <w:color w:val="000000"/>
          <w:szCs w:val="16"/>
          <w:lang w:eastAsia="en-GB"/>
        </w:rPr>
        <w:t>During</w:t>
      </w:r>
      <w:r w:rsidRPr="00380B4B">
        <w:rPr>
          <w:rFonts w:eastAsia="Times New Roman" w:cs="Arial"/>
          <w:color w:val="000000"/>
          <w:szCs w:val="16"/>
          <w:lang w:eastAsia="en-GB"/>
        </w:rPr>
        <w:t xml:space="preserve"> </w:t>
      </w:r>
      <w:r w:rsidR="002F19F3">
        <w:rPr>
          <w:rFonts w:eastAsia="Times New Roman" w:cs="Arial"/>
          <w:color w:val="000000"/>
          <w:szCs w:val="16"/>
          <w:lang w:eastAsia="en-GB"/>
        </w:rPr>
        <w:t>FY</w:t>
      </w:r>
      <w:r w:rsidRPr="00380B4B">
        <w:rPr>
          <w:rFonts w:eastAsia="Times New Roman" w:cs="Arial"/>
          <w:color w:val="000000"/>
          <w:szCs w:val="16"/>
          <w:lang w:eastAsia="en-GB"/>
        </w:rPr>
        <w:t xml:space="preserve">2025, the Group used the </w:t>
      </w:r>
      <w:r w:rsidR="00E71891">
        <w:rPr>
          <w:rFonts w:eastAsia="Times New Roman" w:cs="Arial"/>
          <w:color w:val="000000"/>
          <w:szCs w:val="16"/>
          <w:lang w:eastAsia="en-GB"/>
        </w:rPr>
        <w:t xml:space="preserve">Asset Backed Lending </w:t>
      </w:r>
      <w:r w:rsidR="001B32A2">
        <w:rPr>
          <w:rFonts w:eastAsia="Times New Roman" w:cs="Arial"/>
          <w:color w:val="000000"/>
          <w:szCs w:val="16"/>
          <w:lang w:eastAsia="en-GB"/>
        </w:rPr>
        <w:t>(</w:t>
      </w:r>
      <w:r w:rsidRPr="00380B4B">
        <w:rPr>
          <w:rFonts w:eastAsia="Times New Roman" w:cs="Arial"/>
          <w:color w:val="000000"/>
          <w:szCs w:val="16"/>
          <w:lang w:eastAsia="en-GB"/>
        </w:rPr>
        <w:t>ABL</w:t>
      </w:r>
      <w:r w:rsidR="001B32A2">
        <w:rPr>
          <w:rFonts w:eastAsia="Times New Roman" w:cs="Arial"/>
          <w:color w:val="000000"/>
          <w:szCs w:val="16"/>
          <w:lang w:eastAsia="en-GB"/>
        </w:rPr>
        <w:t>)</w:t>
      </w:r>
      <w:r w:rsidRPr="00380B4B">
        <w:rPr>
          <w:rFonts w:eastAsia="Times New Roman" w:cs="Arial"/>
          <w:color w:val="000000"/>
          <w:szCs w:val="16"/>
          <w:lang w:eastAsia="en-GB"/>
        </w:rPr>
        <w:t xml:space="preserve"> facility with the maximum limit of </w:t>
      </w:r>
      <w:r w:rsidRPr="00B8452B">
        <w:rPr>
          <w:rFonts w:eastAsia="Times New Roman" w:cs="Arial"/>
          <w:color w:val="000000"/>
          <w:szCs w:val="16"/>
          <w:lang w:eastAsia="en-GB"/>
        </w:rPr>
        <w:t>£96.</w:t>
      </w:r>
      <w:r w:rsidR="00C27438" w:rsidRPr="00B8452B">
        <w:rPr>
          <w:rFonts w:eastAsia="Times New Roman" w:cs="Arial"/>
          <w:color w:val="000000"/>
          <w:szCs w:val="16"/>
          <w:lang w:eastAsia="en-GB"/>
        </w:rPr>
        <w:t>6</w:t>
      </w:r>
      <w:r>
        <w:rPr>
          <w:rFonts w:eastAsia="Times New Roman" w:cs="Arial"/>
          <w:color w:val="000000"/>
          <w:szCs w:val="16"/>
          <w:lang w:eastAsia="en-GB"/>
        </w:rPr>
        <w:t xml:space="preserve"> million</w:t>
      </w:r>
      <w:r w:rsidRPr="00380B4B">
        <w:rPr>
          <w:rFonts w:eastAsia="Times New Roman" w:cs="Arial"/>
          <w:color w:val="000000"/>
          <w:szCs w:val="16"/>
          <w:lang w:eastAsia="en-GB"/>
        </w:rPr>
        <w:t xml:space="preserve"> ($125 million) and availability at </w:t>
      </w:r>
      <w:r w:rsidR="000645C9">
        <w:rPr>
          <w:rFonts w:eastAsia="Times New Roman" w:cs="Arial"/>
          <w:color w:val="000000"/>
          <w:szCs w:val="16"/>
          <w:lang w:eastAsia="en-GB"/>
        </w:rPr>
        <w:t>31 March 2025</w:t>
      </w:r>
      <w:r w:rsidRPr="00380B4B">
        <w:rPr>
          <w:rFonts w:eastAsia="Times New Roman" w:cs="Arial"/>
          <w:color w:val="000000"/>
          <w:szCs w:val="16"/>
          <w:lang w:eastAsia="en-GB"/>
        </w:rPr>
        <w:t xml:space="preserve"> of £11</w:t>
      </w:r>
      <w:r>
        <w:rPr>
          <w:rFonts w:eastAsia="Times New Roman" w:cs="Arial"/>
          <w:color w:val="000000"/>
          <w:szCs w:val="16"/>
          <w:lang w:eastAsia="en-GB"/>
        </w:rPr>
        <w:t>.9 million</w:t>
      </w:r>
      <w:r w:rsidRPr="00380B4B">
        <w:rPr>
          <w:rFonts w:eastAsia="Times New Roman" w:cs="Arial"/>
          <w:color w:val="000000"/>
          <w:szCs w:val="16"/>
          <w:lang w:eastAsia="en-GB"/>
        </w:rPr>
        <w:t>.</w:t>
      </w:r>
      <w:r>
        <w:rPr>
          <w:rFonts w:eastAsia="Times New Roman" w:cs="Arial"/>
          <w:color w:val="000000"/>
          <w:szCs w:val="16"/>
          <w:lang w:eastAsia="en-GB"/>
        </w:rPr>
        <w:t xml:space="preserve">  Neither of these facilities were used as at the end of </w:t>
      </w:r>
      <w:r w:rsidR="0073586A">
        <w:rPr>
          <w:rFonts w:eastAsia="Times New Roman" w:cs="Arial"/>
          <w:color w:val="000000"/>
          <w:szCs w:val="16"/>
          <w:lang w:eastAsia="en-GB"/>
        </w:rPr>
        <w:t xml:space="preserve">the </w:t>
      </w:r>
      <w:r>
        <w:rPr>
          <w:rFonts w:eastAsia="Times New Roman" w:cs="Arial"/>
          <w:color w:val="000000"/>
          <w:szCs w:val="16"/>
          <w:lang w:eastAsia="en-GB"/>
        </w:rPr>
        <w:t xml:space="preserve">financial years. </w:t>
      </w:r>
    </w:p>
    <w:p w14:paraId="4FBC810C" w14:textId="77777777" w:rsidR="00271E37" w:rsidRDefault="00271E37" w:rsidP="002E39D4"/>
    <w:p w14:paraId="0DAF7EEE" w14:textId="77777777" w:rsidR="00271E37" w:rsidRDefault="00271E37" w:rsidP="002E39D4">
      <w:r w:rsidRPr="009A392E">
        <w:t xml:space="preserve">The </w:t>
      </w:r>
      <w:r>
        <w:t xml:space="preserve">following </w:t>
      </w:r>
      <w:r w:rsidRPr="009A392E">
        <w:t xml:space="preserve">guarantees and trade finance facilities across several jurisdictions </w:t>
      </w:r>
      <w:r>
        <w:t xml:space="preserve">are recognised </w:t>
      </w:r>
      <w:r w:rsidRPr="009A392E">
        <w:t>as contingent liabilities. These items are disclosed as contingent liabilities as they represent potential obligations dependent on future events not wholly within the Group’s control, and no outflows of economic benefits are currently expected.</w:t>
      </w:r>
    </w:p>
    <w:tbl>
      <w:tblPr>
        <w:tblStyle w:val="tableDUL"/>
        <w:tblW w:w="9639" w:type="dxa"/>
        <w:tblLook w:val="04A0" w:firstRow="1" w:lastRow="0" w:firstColumn="1" w:lastColumn="0" w:noHBand="0" w:noVBand="1"/>
      </w:tblPr>
      <w:tblGrid>
        <w:gridCol w:w="5103"/>
        <w:gridCol w:w="1134"/>
        <w:gridCol w:w="1134"/>
        <w:gridCol w:w="1134"/>
        <w:gridCol w:w="1134"/>
      </w:tblGrid>
      <w:tr w:rsidR="00271E37" w:rsidRPr="00222108" w14:paraId="70B6E94F" w14:textId="77777777">
        <w:trPr>
          <w:trHeight w:hRule="exact" w:val="20"/>
        </w:trPr>
        <w:tc>
          <w:tcPr>
            <w:tcW w:w="5103" w:type="dxa"/>
            <w:tcBorders>
              <w:top w:val="nil"/>
              <w:left w:val="nil"/>
              <w:bottom w:val="nil"/>
              <w:right w:val="nil"/>
            </w:tcBorders>
          </w:tcPr>
          <w:p w14:paraId="20A53493" w14:textId="77777777" w:rsidR="00271E37" w:rsidRDefault="00271E37">
            <w:pPr>
              <w:rPr>
                <w:sz w:val="2"/>
              </w:rPr>
            </w:pPr>
            <w:bookmarkStart w:id="51" w:name="_d421218f_2151_45ab_8c94_3594380a28e4"/>
            <w:bookmarkStart w:id="52" w:name="_ec4875c2_b9c4_47f6_a71c_274fd6c9d037"/>
            <w:bookmarkEnd w:id="51"/>
          </w:p>
        </w:tc>
        <w:tc>
          <w:tcPr>
            <w:tcW w:w="1134" w:type="dxa"/>
            <w:tcBorders>
              <w:top w:val="nil"/>
              <w:left w:val="nil"/>
              <w:bottom w:val="nil"/>
              <w:right w:val="nil"/>
            </w:tcBorders>
          </w:tcPr>
          <w:p w14:paraId="7CDEA325" w14:textId="77777777" w:rsidR="00271E37" w:rsidRDefault="00271E37">
            <w:pPr>
              <w:rPr>
                <w:sz w:val="2"/>
              </w:rPr>
            </w:pPr>
          </w:p>
        </w:tc>
        <w:tc>
          <w:tcPr>
            <w:tcW w:w="1134" w:type="dxa"/>
            <w:tcBorders>
              <w:top w:val="nil"/>
              <w:left w:val="nil"/>
              <w:bottom w:val="nil"/>
              <w:right w:val="nil"/>
            </w:tcBorders>
          </w:tcPr>
          <w:p w14:paraId="0425C80B" w14:textId="77777777" w:rsidR="00271E37" w:rsidRDefault="00271E37">
            <w:pPr>
              <w:rPr>
                <w:sz w:val="2"/>
              </w:rPr>
            </w:pPr>
          </w:p>
        </w:tc>
        <w:tc>
          <w:tcPr>
            <w:tcW w:w="1134" w:type="dxa"/>
            <w:tcBorders>
              <w:top w:val="nil"/>
              <w:left w:val="nil"/>
              <w:bottom w:val="nil"/>
              <w:right w:val="nil"/>
            </w:tcBorders>
          </w:tcPr>
          <w:p w14:paraId="3877FC61" w14:textId="77777777" w:rsidR="00271E37" w:rsidRDefault="00271E37">
            <w:pPr>
              <w:rPr>
                <w:sz w:val="2"/>
              </w:rPr>
            </w:pPr>
          </w:p>
        </w:tc>
        <w:tc>
          <w:tcPr>
            <w:tcW w:w="1134" w:type="dxa"/>
            <w:tcBorders>
              <w:top w:val="nil"/>
              <w:left w:val="nil"/>
              <w:bottom w:val="nil"/>
              <w:right w:val="nil"/>
            </w:tcBorders>
          </w:tcPr>
          <w:p w14:paraId="6E19D96C" w14:textId="77777777" w:rsidR="00271E37" w:rsidRDefault="00271E37">
            <w:pPr>
              <w:rPr>
                <w:sz w:val="2"/>
              </w:rPr>
            </w:pPr>
          </w:p>
        </w:tc>
      </w:tr>
      <w:tr w:rsidR="00271E37" w:rsidRPr="00222108" w14:paraId="20AA2CA8" w14:textId="77777777">
        <w:tc>
          <w:tcPr>
            <w:tcW w:w="5103" w:type="dxa"/>
          </w:tcPr>
          <w:p w14:paraId="34217D40" w14:textId="77777777" w:rsidR="00271E37" w:rsidRPr="00222108" w:rsidRDefault="00271E37">
            <w:pPr>
              <w:jc w:val="left"/>
            </w:pPr>
          </w:p>
        </w:tc>
        <w:tc>
          <w:tcPr>
            <w:tcW w:w="2268" w:type="dxa"/>
            <w:gridSpan w:val="2"/>
            <w:tcBorders>
              <w:bottom w:val="single" w:sz="4" w:space="0" w:color="auto"/>
            </w:tcBorders>
          </w:tcPr>
          <w:p w14:paraId="03CEDC57" w14:textId="77777777" w:rsidR="00271E37" w:rsidRPr="00222108" w:rsidRDefault="00271E37">
            <w:pPr>
              <w:jc w:val="center"/>
              <w:rPr>
                <w:b/>
                <w:bCs/>
              </w:rPr>
            </w:pPr>
            <w:r w:rsidRPr="00222108">
              <w:rPr>
                <w:b/>
                <w:bCs/>
              </w:rPr>
              <w:t>31 March 202</w:t>
            </w:r>
            <w:r>
              <w:rPr>
                <w:b/>
                <w:bCs/>
              </w:rPr>
              <w:t>6</w:t>
            </w:r>
          </w:p>
        </w:tc>
        <w:tc>
          <w:tcPr>
            <w:tcW w:w="2268" w:type="dxa"/>
            <w:gridSpan w:val="2"/>
            <w:tcBorders>
              <w:bottom w:val="single" w:sz="4" w:space="0" w:color="auto"/>
            </w:tcBorders>
          </w:tcPr>
          <w:p w14:paraId="31E7B226" w14:textId="77777777" w:rsidR="00271E37" w:rsidRPr="00222108" w:rsidRDefault="00271E37">
            <w:pPr>
              <w:jc w:val="center"/>
            </w:pPr>
            <w:r w:rsidRPr="00222108">
              <w:t>31 March 202</w:t>
            </w:r>
            <w:r>
              <w:t>5</w:t>
            </w:r>
          </w:p>
        </w:tc>
      </w:tr>
      <w:tr w:rsidR="00271E37" w:rsidRPr="00222108" w14:paraId="510742D3" w14:textId="77777777">
        <w:tc>
          <w:tcPr>
            <w:tcW w:w="5103" w:type="dxa"/>
            <w:tcBorders>
              <w:bottom w:val="nil"/>
            </w:tcBorders>
          </w:tcPr>
          <w:p w14:paraId="3B7FDC22" w14:textId="77777777" w:rsidR="00271E37" w:rsidRPr="00222108" w:rsidRDefault="00271E37">
            <w:pPr>
              <w:jc w:val="left"/>
            </w:pPr>
          </w:p>
        </w:tc>
        <w:tc>
          <w:tcPr>
            <w:tcW w:w="1134" w:type="dxa"/>
            <w:tcBorders>
              <w:top w:val="single" w:sz="4" w:space="0" w:color="auto"/>
              <w:bottom w:val="nil"/>
            </w:tcBorders>
          </w:tcPr>
          <w:p w14:paraId="332CD98C" w14:textId="77777777" w:rsidR="00271E37" w:rsidRPr="00222108" w:rsidRDefault="00271E37">
            <w:pPr>
              <w:rPr>
                <w:b/>
                <w:bCs/>
              </w:rPr>
            </w:pPr>
            <w:r w:rsidRPr="00222108">
              <w:rPr>
                <w:b/>
                <w:bCs/>
              </w:rPr>
              <w:t>Facility</w:t>
            </w:r>
          </w:p>
        </w:tc>
        <w:tc>
          <w:tcPr>
            <w:tcW w:w="1134" w:type="dxa"/>
            <w:tcBorders>
              <w:top w:val="single" w:sz="4" w:space="0" w:color="auto"/>
              <w:bottom w:val="nil"/>
            </w:tcBorders>
          </w:tcPr>
          <w:p w14:paraId="5AA2977D" w14:textId="77777777" w:rsidR="00271E37" w:rsidRPr="00222108" w:rsidRDefault="00271E37">
            <w:pPr>
              <w:rPr>
                <w:b/>
                <w:bCs/>
              </w:rPr>
            </w:pPr>
            <w:r w:rsidRPr="00222108">
              <w:rPr>
                <w:b/>
                <w:bCs/>
              </w:rPr>
              <w:t>Utilised</w:t>
            </w:r>
          </w:p>
        </w:tc>
        <w:tc>
          <w:tcPr>
            <w:tcW w:w="1134" w:type="dxa"/>
            <w:tcBorders>
              <w:top w:val="single" w:sz="4" w:space="0" w:color="auto"/>
              <w:bottom w:val="nil"/>
            </w:tcBorders>
          </w:tcPr>
          <w:p w14:paraId="2A9A8921" w14:textId="77777777" w:rsidR="00271E37" w:rsidRPr="00222108" w:rsidRDefault="00271E37">
            <w:r w:rsidRPr="00222108">
              <w:t>Facility</w:t>
            </w:r>
          </w:p>
        </w:tc>
        <w:tc>
          <w:tcPr>
            <w:tcW w:w="1134" w:type="dxa"/>
            <w:tcBorders>
              <w:top w:val="single" w:sz="4" w:space="0" w:color="auto"/>
              <w:bottom w:val="nil"/>
            </w:tcBorders>
          </w:tcPr>
          <w:p w14:paraId="058B6DFD" w14:textId="77777777" w:rsidR="00271E37" w:rsidRPr="00222108" w:rsidRDefault="00271E37">
            <w:r w:rsidRPr="00222108">
              <w:t>Utilised</w:t>
            </w:r>
          </w:p>
        </w:tc>
      </w:tr>
      <w:tr w:rsidR="00271E37" w:rsidRPr="00222108" w14:paraId="669B618D" w14:textId="77777777">
        <w:tc>
          <w:tcPr>
            <w:tcW w:w="5103" w:type="dxa"/>
            <w:tcBorders>
              <w:bottom w:val="single" w:sz="4" w:space="0" w:color="auto"/>
            </w:tcBorders>
          </w:tcPr>
          <w:p w14:paraId="1E9B702C" w14:textId="77777777" w:rsidR="00271E37" w:rsidRPr="00222108" w:rsidRDefault="00271E37">
            <w:pPr>
              <w:jc w:val="left"/>
            </w:pPr>
          </w:p>
        </w:tc>
        <w:tc>
          <w:tcPr>
            <w:tcW w:w="1134" w:type="dxa"/>
            <w:tcBorders>
              <w:bottom w:val="single" w:sz="4" w:space="0" w:color="auto"/>
            </w:tcBorders>
          </w:tcPr>
          <w:p w14:paraId="4C2B0174" w14:textId="77777777" w:rsidR="00271E37" w:rsidRPr="00222108" w:rsidRDefault="00271E37">
            <w:pPr>
              <w:rPr>
                <w:b/>
                <w:bCs/>
              </w:rPr>
            </w:pPr>
            <w:r>
              <w:rPr>
                <w:b/>
                <w:bCs/>
              </w:rPr>
              <w:t>£</w:t>
            </w:r>
            <w:r w:rsidRPr="00222108">
              <w:rPr>
                <w:b/>
                <w:bCs/>
              </w:rPr>
              <w:t>000</w:t>
            </w:r>
          </w:p>
        </w:tc>
        <w:tc>
          <w:tcPr>
            <w:tcW w:w="1134" w:type="dxa"/>
            <w:tcBorders>
              <w:bottom w:val="single" w:sz="4" w:space="0" w:color="auto"/>
            </w:tcBorders>
          </w:tcPr>
          <w:p w14:paraId="28E3A532" w14:textId="77777777" w:rsidR="00271E37" w:rsidRPr="00222108" w:rsidRDefault="00271E37">
            <w:pPr>
              <w:rPr>
                <w:b/>
                <w:bCs/>
              </w:rPr>
            </w:pPr>
            <w:r>
              <w:rPr>
                <w:b/>
                <w:bCs/>
              </w:rPr>
              <w:t>£</w:t>
            </w:r>
            <w:r w:rsidRPr="00222108">
              <w:rPr>
                <w:b/>
                <w:bCs/>
              </w:rPr>
              <w:t>000</w:t>
            </w:r>
          </w:p>
        </w:tc>
        <w:tc>
          <w:tcPr>
            <w:tcW w:w="1134" w:type="dxa"/>
            <w:tcBorders>
              <w:bottom w:val="single" w:sz="4" w:space="0" w:color="auto"/>
            </w:tcBorders>
          </w:tcPr>
          <w:p w14:paraId="404531C7" w14:textId="77777777" w:rsidR="00271E37" w:rsidRPr="00222108" w:rsidRDefault="00271E37">
            <w:r>
              <w:t>£</w:t>
            </w:r>
            <w:r w:rsidRPr="00222108">
              <w:t>000</w:t>
            </w:r>
          </w:p>
        </w:tc>
        <w:tc>
          <w:tcPr>
            <w:tcW w:w="1134" w:type="dxa"/>
            <w:tcBorders>
              <w:bottom w:val="single" w:sz="4" w:space="0" w:color="auto"/>
            </w:tcBorders>
          </w:tcPr>
          <w:p w14:paraId="39936520" w14:textId="77777777" w:rsidR="00271E37" w:rsidRPr="00222108" w:rsidRDefault="00271E37">
            <w:r>
              <w:t>£</w:t>
            </w:r>
            <w:r w:rsidRPr="00222108">
              <w:t>000</w:t>
            </w:r>
          </w:p>
        </w:tc>
      </w:tr>
      <w:tr w:rsidR="00271E37" w:rsidRPr="00222108" w14:paraId="525D9101" w14:textId="77777777">
        <w:tc>
          <w:tcPr>
            <w:tcW w:w="5103" w:type="dxa"/>
            <w:tcBorders>
              <w:top w:val="single" w:sz="4" w:space="0" w:color="auto"/>
            </w:tcBorders>
          </w:tcPr>
          <w:p w14:paraId="71FA51C2" w14:textId="77777777" w:rsidR="00271E37" w:rsidRPr="00222108" w:rsidRDefault="00271E37">
            <w:pPr>
              <w:jc w:val="left"/>
            </w:pPr>
            <w:r w:rsidRPr="00222108">
              <w:t>UK Guarantee</w:t>
            </w:r>
          </w:p>
        </w:tc>
        <w:tc>
          <w:tcPr>
            <w:tcW w:w="1134" w:type="dxa"/>
            <w:tcBorders>
              <w:top w:val="single" w:sz="4" w:space="0" w:color="auto"/>
            </w:tcBorders>
            <w:vAlign w:val="center"/>
          </w:tcPr>
          <w:p w14:paraId="2B1F8321" w14:textId="77777777" w:rsidR="00271E37" w:rsidRPr="00730DF8" w:rsidRDefault="00271E37">
            <w:pPr>
              <w:rPr>
                <w:b/>
                <w:bCs/>
              </w:rPr>
            </w:pPr>
            <w:r>
              <w:rPr>
                <w:rFonts w:cs="Arial"/>
                <w:b/>
                <w:bCs/>
                <w:color w:val="000000"/>
                <w:szCs w:val="16"/>
              </w:rPr>
              <w:t xml:space="preserve">2,500 </w:t>
            </w:r>
          </w:p>
        </w:tc>
        <w:tc>
          <w:tcPr>
            <w:tcW w:w="1134" w:type="dxa"/>
            <w:tcBorders>
              <w:top w:val="single" w:sz="4" w:space="0" w:color="auto"/>
            </w:tcBorders>
            <w:vAlign w:val="bottom"/>
          </w:tcPr>
          <w:p w14:paraId="72F64202" w14:textId="69484232" w:rsidR="00271E37" w:rsidRPr="009007C5" w:rsidRDefault="00271E37">
            <w:pPr>
              <w:rPr>
                <w:b/>
              </w:rPr>
            </w:pPr>
            <w:r w:rsidRPr="009007C5">
              <w:rPr>
                <w:b/>
              </w:rPr>
              <w:t>1,</w:t>
            </w:r>
            <w:r w:rsidR="00FF3278">
              <w:rPr>
                <w:b/>
              </w:rPr>
              <w:t>520</w:t>
            </w:r>
          </w:p>
        </w:tc>
        <w:tc>
          <w:tcPr>
            <w:tcW w:w="1134" w:type="dxa"/>
            <w:tcBorders>
              <w:top w:val="single" w:sz="4" w:space="0" w:color="auto"/>
            </w:tcBorders>
          </w:tcPr>
          <w:p w14:paraId="6C4F2954" w14:textId="77777777" w:rsidR="00271E37" w:rsidRPr="00730DF8" w:rsidRDefault="00271E37">
            <w:r w:rsidRPr="00E11E95">
              <w:t xml:space="preserve">2,750 </w:t>
            </w:r>
          </w:p>
        </w:tc>
        <w:tc>
          <w:tcPr>
            <w:tcW w:w="1134" w:type="dxa"/>
            <w:tcBorders>
              <w:top w:val="single" w:sz="4" w:space="0" w:color="auto"/>
            </w:tcBorders>
          </w:tcPr>
          <w:p w14:paraId="33F17D38" w14:textId="77777777" w:rsidR="00271E37" w:rsidRPr="00730DF8" w:rsidRDefault="00271E37">
            <w:r w:rsidRPr="00E11E95">
              <w:t xml:space="preserve">1,520 </w:t>
            </w:r>
          </w:p>
        </w:tc>
      </w:tr>
      <w:tr w:rsidR="00196D4B" w:rsidRPr="007D2597" w14:paraId="560F4097" w14:textId="77777777">
        <w:tc>
          <w:tcPr>
            <w:tcW w:w="5103" w:type="dxa"/>
          </w:tcPr>
          <w:p w14:paraId="44A75DE6" w14:textId="3F5A04EE" w:rsidR="00196D4B" w:rsidRPr="007D2597" w:rsidRDefault="00D86EFB" w:rsidP="00F026F9">
            <w:pPr>
              <w:jc w:val="left"/>
            </w:pPr>
            <w:r w:rsidRPr="007D2597">
              <w:t>Australia lease guarantee</w:t>
            </w:r>
          </w:p>
        </w:tc>
        <w:tc>
          <w:tcPr>
            <w:tcW w:w="1134" w:type="dxa"/>
            <w:vAlign w:val="center"/>
          </w:tcPr>
          <w:p w14:paraId="63CA0EB4" w14:textId="568BBFC9" w:rsidR="00196D4B" w:rsidRPr="007D2597" w:rsidRDefault="00D86EFB">
            <w:pPr>
              <w:rPr>
                <w:rFonts w:cs="Arial"/>
                <w:b/>
                <w:bCs/>
                <w:color w:val="000000"/>
                <w:szCs w:val="16"/>
              </w:rPr>
            </w:pPr>
            <w:r w:rsidRPr="007D2597">
              <w:rPr>
                <w:rFonts w:cs="Arial"/>
                <w:b/>
                <w:bCs/>
                <w:color w:val="000000"/>
                <w:szCs w:val="16"/>
              </w:rPr>
              <w:t>2,444</w:t>
            </w:r>
          </w:p>
        </w:tc>
        <w:tc>
          <w:tcPr>
            <w:tcW w:w="1134" w:type="dxa"/>
            <w:vAlign w:val="bottom"/>
          </w:tcPr>
          <w:p w14:paraId="59A2FA89" w14:textId="3B72DA96" w:rsidR="00196D4B" w:rsidRPr="007D2597" w:rsidRDefault="00D86EFB">
            <w:pPr>
              <w:rPr>
                <w:b/>
              </w:rPr>
            </w:pPr>
            <w:r w:rsidRPr="007D2597">
              <w:rPr>
                <w:b/>
              </w:rPr>
              <w:t>2,444</w:t>
            </w:r>
          </w:p>
        </w:tc>
        <w:tc>
          <w:tcPr>
            <w:tcW w:w="1134" w:type="dxa"/>
          </w:tcPr>
          <w:p w14:paraId="5C72503B" w14:textId="138ACE11" w:rsidR="00196D4B" w:rsidRPr="007D2597" w:rsidRDefault="00A37834">
            <w:r w:rsidRPr="001C2122">
              <w:t>2,</w:t>
            </w:r>
            <w:r w:rsidRPr="00F026F9">
              <w:t>274</w:t>
            </w:r>
          </w:p>
        </w:tc>
        <w:tc>
          <w:tcPr>
            <w:tcW w:w="1134" w:type="dxa"/>
          </w:tcPr>
          <w:p w14:paraId="287CC7F1" w14:textId="675A1AEB" w:rsidR="00196D4B" w:rsidRPr="007D2597" w:rsidRDefault="00A37834">
            <w:r w:rsidRPr="001C2122">
              <w:t>2,</w:t>
            </w:r>
            <w:r w:rsidRPr="00F026F9">
              <w:t>274</w:t>
            </w:r>
          </w:p>
        </w:tc>
      </w:tr>
      <w:tr w:rsidR="00271E37" w:rsidRPr="007D2597" w14:paraId="4E3B5E1E" w14:textId="77777777">
        <w:tc>
          <w:tcPr>
            <w:tcW w:w="5103" w:type="dxa"/>
          </w:tcPr>
          <w:p w14:paraId="6A90AE06" w14:textId="77777777" w:rsidR="00271E37" w:rsidRPr="007D2597" w:rsidRDefault="00271E37">
            <w:pPr>
              <w:jc w:val="left"/>
            </w:pPr>
            <w:r w:rsidRPr="007D2597">
              <w:t>UK Import line</w:t>
            </w:r>
          </w:p>
        </w:tc>
        <w:tc>
          <w:tcPr>
            <w:tcW w:w="1134" w:type="dxa"/>
            <w:vAlign w:val="center"/>
          </w:tcPr>
          <w:p w14:paraId="4B711424" w14:textId="77777777" w:rsidR="00271E37" w:rsidRPr="007D2597" w:rsidRDefault="00271E37">
            <w:pPr>
              <w:rPr>
                <w:b/>
                <w:bCs/>
              </w:rPr>
            </w:pPr>
            <w:r w:rsidRPr="007D2597">
              <w:rPr>
                <w:rFonts w:cs="Arial"/>
                <w:b/>
                <w:bCs/>
                <w:color w:val="000000"/>
                <w:szCs w:val="16"/>
              </w:rPr>
              <w:t xml:space="preserve">1,000 </w:t>
            </w:r>
          </w:p>
        </w:tc>
        <w:tc>
          <w:tcPr>
            <w:tcW w:w="1134" w:type="dxa"/>
            <w:vAlign w:val="bottom"/>
          </w:tcPr>
          <w:p w14:paraId="4C1E7B80" w14:textId="77777777" w:rsidR="00271E37" w:rsidRPr="007D2597" w:rsidRDefault="00271E37">
            <w:pPr>
              <w:rPr>
                <w:b/>
              </w:rPr>
            </w:pPr>
            <w:r w:rsidRPr="007D2597">
              <w:rPr>
                <w:b/>
              </w:rPr>
              <w:t>-</w:t>
            </w:r>
          </w:p>
        </w:tc>
        <w:tc>
          <w:tcPr>
            <w:tcW w:w="1134" w:type="dxa"/>
          </w:tcPr>
          <w:p w14:paraId="4874AFD9" w14:textId="77777777" w:rsidR="00271E37" w:rsidRPr="007D2597" w:rsidRDefault="00271E37">
            <w:r w:rsidRPr="007D2597">
              <w:t xml:space="preserve">1,000 </w:t>
            </w:r>
          </w:p>
        </w:tc>
        <w:tc>
          <w:tcPr>
            <w:tcW w:w="1134" w:type="dxa"/>
          </w:tcPr>
          <w:p w14:paraId="3F8AE336" w14:textId="77777777" w:rsidR="00271E37" w:rsidRPr="007D2597" w:rsidRDefault="00271E37">
            <w:r w:rsidRPr="007D2597">
              <w:t xml:space="preserve"> - </w:t>
            </w:r>
          </w:p>
        </w:tc>
      </w:tr>
      <w:tr w:rsidR="00271E37" w:rsidRPr="007D2597" w14:paraId="3C18B65B" w14:textId="77777777">
        <w:tc>
          <w:tcPr>
            <w:tcW w:w="5103" w:type="dxa"/>
            <w:tcBorders>
              <w:bottom w:val="nil"/>
            </w:tcBorders>
          </w:tcPr>
          <w:p w14:paraId="56967406" w14:textId="77777777" w:rsidR="00271E37" w:rsidRPr="007D2597" w:rsidRDefault="00271E37">
            <w:pPr>
              <w:jc w:val="left"/>
            </w:pPr>
            <w:r w:rsidRPr="007D2597">
              <w:t>USA Guarantee</w:t>
            </w:r>
          </w:p>
        </w:tc>
        <w:tc>
          <w:tcPr>
            <w:tcW w:w="1134" w:type="dxa"/>
            <w:tcBorders>
              <w:bottom w:val="nil"/>
            </w:tcBorders>
            <w:vAlign w:val="center"/>
          </w:tcPr>
          <w:p w14:paraId="64EDDCD3" w14:textId="77777777" w:rsidR="00271E37" w:rsidRPr="007D2597" w:rsidRDefault="00271E37">
            <w:pPr>
              <w:rPr>
                <w:b/>
                <w:bCs/>
              </w:rPr>
            </w:pPr>
            <w:r w:rsidRPr="007D2597">
              <w:rPr>
                <w:rFonts w:cs="Arial"/>
                <w:b/>
                <w:bCs/>
                <w:color w:val="000000"/>
                <w:szCs w:val="16"/>
              </w:rPr>
              <w:t>-</w:t>
            </w:r>
          </w:p>
        </w:tc>
        <w:tc>
          <w:tcPr>
            <w:tcW w:w="1134" w:type="dxa"/>
            <w:tcBorders>
              <w:bottom w:val="nil"/>
            </w:tcBorders>
            <w:vAlign w:val="bottom"/>
          </w:tcPr>
          <w:p w14:paraId="143D71E8" w14:textId="77777777" w:rsidR="00271E37" w:rsidRPr="007D2597" w:rsidRDefault="00271E37">
            <w:pPr>
              <w:rPr>
                <w:b/>
              </w:rPr>
            </w:pPr>
            <w:r w:rsidRPr="007D2597">
              <w:rPr>
                <w:b/>
              </w:rPr>
              <w:t>-</w:t>
            </w:r>
          </w:p>
        </w:tc>
        <w:tc>
          <w:tcPr>
            <w:tcW w:w="1134" w:type="dxa"/>
            <w:tcBorders>
              <w:bottom w:val="nil"/>
            </w:tcBorders>
          </w:tcPr>
          <w:p w14:paraId="1447904D" w14:textId="77777777" w:rsidR="00271E37" w:rsidRPr="007D2597" w:rsidRDefault="00271E37">
            <w:r w:rsidRPr="007D2597">
              <w:t xml:space="preserve">4,252 </w:t>
            </w:r>
          </w:p>
        </w:tc>
        <w:tc>
          <w:tcPr>
            <w:tcW w:w="1134" w:type="dxa"/>
            <w:tcBorders>
              <w:bottom w:val="nil"/>
            </w:tcBorders>
          </w:tcPr>
          <w:p w14:paraId="1877843C" w14:textId="77777777" w:rsidR="00271E37" w:rsidRPr="007D2597" w:rsidRDefault="00271E37">
            <w:r w:rsidRPr="007D2597">
              <w:t xml:space="preserve">2,304 </w:t>
            </w:r>
          </w:p>
        </w:tc>
      </w:tr>
      <w:tr w:rsidR="00271E37" w:rsidRPr="007D2597" w14:paraId="545D2F4C" w14:textId="77777777">
        <w:tc>
          <w:tcPr>
            <w:tcW w:w="5103" w:type="dxa"/>
            <w:tcBorders>
              <w:bottom w:val="single" w:sz="4" w:space="0" w:color="auto"/>
            </w:tcBorders>
          </w:tcPr>
          <w:p w14:paraId="1B18A29E" w14:textId="77777777" w:rsidR="00271E37" w:rsidRPr="007D2597" w:rsidRDefault="00271E37">
            <w:pPr>
              <w:jc w:val="left"/>
            </w:pPr>
            <w:r w:rsidRPr="007D2597">
              <w:t>Netherlands Guarantee (Trade and Import line)</w:t>
            </w:r>
          </w:p>
        </w:tc>
        <w:tc>
          <w:tcPr>
            <w:tcW w:w="1134" w:type="dxa"/>
            <w:tcBorders>
              <w:bottom w:val="single" w:sz="4" w:space="0" w:color="auto"/>
            </w:tcBorders>
            <w:vAlign w:val="center"/>
          </w:tcPr>
          <w:p w14:paraId="1B234DE9" w14:textId="77777777" w:rsidR="00271E37" w:rsidRPr="007D2597" w:rsidRDefault="00271E37">
            <w:pPr>
              <w:rPr>
                <w:b/>
                <w:bCs/>
              </w:rPr>
            </w:pPr>
            <w:r w:rsidRPr="007D2597">
              <w:rPr>
                <w:rFonts w:cs="Arial"/>
                <w:b/>
                <w:bCs/>
                <w:color w:val="000000"/>
                <w:szCs w:val="16"/>
              </w:rPr>
              <w:t xml:space="preserve">566 </w:t>
            </w:r>
          </w:p>
        </w:tc>
        <w:tc>
          <w:tcPr>
            <w:tcW w:w="1134" w:type="dxa"/>
            <w:tcBorders>
              <w:bottom w:val="single" w:sz="4" w:space="0" w:color="auto"/>
            </w:tcBorders>
            <w:vAlign w:val="bottom"/>
          </w:tcPr>
          <w:p w14:paraId="34709433" w14:textId="14206C4E" w:rsidR="00271E37" w:rsidRPr="007D2597" w:rsidRDefault="00FF3278">
            <w:pPr>
              <w:rPr>
                <w:b/>
              </w:rPr>
            </w:pPr>
            <w:r w:rsidRPr="007D2597">
              <w:rPr>
                <w:b/>
                <w:bCs/>
              </w:rPr>
              <w:t>456</w:t>
            </w:r>
          </w:p>
        </w:tc>
        <w:tc>
          <w:tcPr>
            <w:tcW w:w="1134" w:type="dxa"/>
            <w:tcBorders>
              <w:bottom w:val="single" w:sz="4" w:space="0" w:color="auto"/>
            </w:tcBorders>
          </w:tcPr>
          <w:p w14:paraId="5DF236FA" w14:textId="77777777" w:rsidR="00271E37" w:rsidRPr="007D2597" w:rsidRDefault="00271E37">
            <w:r w:rsidRPr="007D2597">
              <w:t xml:space="preserve">544 </w:t>
            </w:r>
          </w:p>
        </w:tc>
        <w:tc>
          <w:tcPr>
            <w:tcW w:w="1134" w:type="dxa"/>
            <w:tcBorders>
              <w:bottom w:val="single" w:sz="4" w:space="0" w:color="auto"/>
            </w:tcBorders>
          </w:tcPr>
          <w:p w14:paraId="3033F57B" w14:textId="77777777" w:rsidR="00271E37" w:rsidRPr="007D2597" w:rsidRDefault="00271E37">
            <w:r w:rsidRPr="007D2597">
              <w:t xml:space="preserve">191 </w:t>
            </w:r>
          </w:p>
        </w:tc>
      </w:tr>
      <w:tr w:rsidR="00271E37" w:rsidRPr="007D2597" w14:paraId="68EB6045" w14:textId="77777777">
        <w:tc>
          <w:tcPr>
            <w:tcW w:w="5103" w:type="dxa"/>
            <w:tcBorders>
              <w:top w:val="single" w:sz="4" w:space="0" w:color="auto"/>
            </w:tcBorders>
          </w:tcPr>
          <w:p w14:paraId="15EC589E" w14:textId="77777777" w:rsidR="00271E37" w:rsidRPr="007D2597" w:rsidRDefault="00271E37">
            <w:pPr>
              <w:jc w:val="left"/>
            </w:pPr>
          </w:p>
        </w:tc>
        <w:tc>
          <w:tcPr>
            <w:tcW w:w="1134" w:type="dxa"/>
            <w:tcBorders>
              <w:top w:val="single" w:sz="4" w:space="0" w:color="auto"/>
            </w:tcBorders>
            <w:vAlign w:val="center"/>
          </w:tcPr>
          <w:p w14:paraId="27106F5B" w14:textId="06C78862" w:rsidR="00271E37" w:rsidRPr="00B8452B" w:rsidRDefault="00C87817">
            <w:pPr>
              <w:rPr>
                <w:b/>
              </w:rPr>
            </w:pPr>
            <w:r w:rsidRPr="00B8452B">
              <w:rPr>
                <w:rFonts w:cs="Arial"/>
                <w:b/>
                <w:color w:val="000000"/>
                <w:szCs w:val="16"/>
              </w:rPr>
              <w:t>6,510</w:t>
            </w:r>
            <w:r w:rsidR="00271E37" w:rsidRPr="00B8452B">
              <w:rPr>
                <w:rFonts w:cs="Arial"/>
                <w:b/>
                <w:color w:val="000000"/>
                <w:szCs w:val="16"/>
              </w:rPr>
              <w:t xml:space="preserve"> </w:t>
            </w:r>
          </w:p>
        </w:tc>
        <w:tc>
          <w:tcPr>
            <w:tcW w:w="1134" w:type="dxa"/>
            <w:tcBorders>
              <w:top w:val="single" w:sz="4" w:space="0" w:color="auto"/>
            </w:tcBorders>
            <w:vAlign w:val="bottom"/>
          </w:tcPr>
          <w:p w14:paraId="3C8CB440" w14:textId="2FC7D75E" w:rsidR="00271E37" w:rsidRPr="00B8452B" w:rsidRDefault="00C87817">
            <w:pPr>
              <w:rPr>
                <w:b/>
              </w:rPr>
            </w:pPr>
            <w:r w:rsidRPr="00B8452B">
              <w:rPr>
                <w:b/>
              </w:rPr>
              <w:t>4,420</w:t>
            </w:r>
          </w:p>
        </w:tc>
        <w:tc>
          <w:tcPr>
            <w:tcW w:w="1134" w:type="dxa"/>
            <w:tcBorders>
              <w:top w:val="single" w:sz="4" w:space="0" w:color="auto"/>
            </w:tcBorders>
          </w:tcPr>
          <w:p w14:paraId="7CEBCBF2" w14:textId="209DFABB" w:rsidR="00271E37" w:rsidRPr="007D2597" w:rsidRDefault="00EC3A11">
            <w:r w:rsidRPr="007D2597">
              <w:t>10,820</w:t>
            </w:r>
          </w:p>
        </w:tc>
        <w:tc>
          <w:tcPr>
            <w:tcW w:w="1134" w:type="dxa"/>
            <w:tcBorders>
              <w:top w:val="single" w:sz="4" w:space="0" w:color="auto"/>
            </w:tcBorders>
          </w:tcPr>
          <w:p w14:paraId="7CFBF4CD" w14:textId="67A899A5" w:rsidR="00271E37" w:rsidRPr="007D2597" w:rsidRDefault="00EC3A11">
            <w:r w:rsidRPr="007D2597">
              <w:t>6,289</w:t>
            </w:r>
          </w:p>
        </w:tc>
      </w:tr>
      <w:bookmarkEnd w:id="52"/>
    </w:tbl>
    <w:p w14:paraId="7B72C63E" w14:textId="761D1441" w:rsidR="008F6AB5" w:rsidRPr="007D2597" w:rsidRDefault="008F6AB5"/>
    <w:p w14:paraId="67CF802A" w14:textId="16FBD09A" w:rsidR="00887062" w:rsidDel="008F6AB5" w:rsidRDefault="00887062">
      <w:r w:rsidRPr="007D2597">
        <w:lastRenderedPageBreak/>
        <w:t>The Group has provided a bank guarantee of approximately A$4.7 million in Australia in favour of the landlord of its primary distribution facility, representing up to 12 months’ rent and outgoings. The guarantee is only callable on default, and no material loss is expected.</w:t>
      </w:r>
    </w:p>
    <w:p w14:paraId="2D55C454" w14:textId="77777777" w:rsidR="00271E37" w:rsidRPr="00753752" w:rsidRDefault="00271E37">
      <w:pPr>
        <w:pStyle w:val="Heading3"/>
      </w:pPr>
      <w:r>
        <w:t>d.</w:t>
      </w:r>
      <w:r w:rsidRPr="00753752">
        <w:t xml:space="preserve"> Cash flow hedges</w:t>
      </w:r>
    </w:p>
    <w:p w14:paraId="4E59A69A" w14:textId="77777777" w:rsidR="00271E37" w:rsidRDefault="00271E37" w:rsidP="002E39D4">
      <w:r>
        <w:t>The following derivative financial instruments were designated as cash flow hedges:</w:t>
      </w:r>
    </w:p>
    <w:tbl>
      <w:tblPr>
        <w:tblStyle w:val="tableDUL"/>
        <w:tblW w:w="9639" w:type="dxa"/>
        <w:tblLook w:val="04A0" w:firstRow="1" w:lastRow="0" w:firstColumn="1" w:lastColumn="0" w:noHBand="0" w:noVBand="1"/>
      </w:tblPr>
      <w:tblGrid>
        <w:gridCol w:w="7371"/>
        <w:gridCol w:w="1134"/>
        <w:gridCol w:w="1134"/>
      </w:tblGrid>
      <w:tr w:rsidR="00271E37" w:rsidRPr="00222108" w14:paraId="305D5710" w14:textId="77777777">
        <w:trPr>
          <w:trHeight w:hRule="exact" w:val="20"/>
        </w:trPr>
        <w:tc>
          <w:tcPr>
            <w:tcW w:w="7371" w:type="dxa"/>
            <w:tcBorders>
              <w:top w:val="nil"/>
              <w:left w:val="nil"/>
              <w:bottom w:val="nil"/>
              <w:right w:val="nil"/>
            </w:tcBorders>
          </w:tcPr>
          <w:p w14:paraId="605944D9" w14:textId="77777777" w:rsidR="00271E37" w:rsidRDefault="00271E37">
            <w:pPr>
              <w:rPr>
                <w:sz w:val="2"/>
              </w:rPr>
            </w:pPr>
            <w:bookmarkStart w:id="53" w:name="_9ffa8ce4_1e9f_49fd_89ef_2e428b15b3e5"/>
            <w:bookmarkStart w:id="54" w:name="_3e6c455c_b1cc_414b_b6ff_8f01a07cd0e1"/>
            <w:bookmarkEnd w:id="53"/>
            <w:r w:rsidRPr="002A6AD8">
              <w:rPr>
                <w:sz w:val="2"/>
              </w:rPr>
              <w:t>(76)</w:t>
            </w:r>
            <w:r w:rsidRPr="002A6AD8">
              <w:rPr>
                <w:sz w:val="2"/>
              </w:rPr>
              <w:tab/>
              <w:t>(413)</w:t>
            </w:r>
          </w:p>
        </w:tc>
        <w:tc>
          <w:tcPr>
            <w:tcW w:w="1134" w:type="dxa"/>
            <w:tcBorders>
              <w:top w:val="nil"/>
              <w:left w:val="nil"/>
              <w:bottom w:val="nil"/>
              <w:right w:val="nil"/>
            </w:tcBorders>
          </w:tcPr>
          <w:p w14:paraId="5BB3300B" w14:textId="77777777" w:rsidR="00271E37" w:rsidRDefault="00271E37">
            <w:pPr>
              <w:rPr>
                <w:sz w:val="2"/>
              </w:rPr>
            </w:pPr>
          </w:p>
        </w:tc>
        <w:tc>
          <w:tcPr>
            <w:tcW w:w="1134" w:type="dxa"/>
            <w:tcBorders>
              <w:top w:val="nil"/>
              <w:left w:val="nil"/>
              <w:bottom w:val="nil"/>
              <w:right w:val="nil"/>
            </w:tcBorders>
          </w:tcPr>
          <w:p w14:paraId="0446EF77" w14:textId="77777777" w:rsidR="00271E37" w:rsidRDefault="00271E37">
            <w:pPr>
              <w:rPr>
                <w:sz w:val="2"/>
              </w:rPr>
            </w:pPr>
          </w:p>
        </w:tc>
      </w:tr>
      <w:tr w:rsidR="00271E37" w:rsidRPr="00222108" w14:paraId="5A9DD7BD" w14:textId="77777777">
        <w:tc>
          <w:tcPr>
            <w:tcW w:w="7371" w:type="dxa"/>
            <w:tcBorders>
              <w:bottom w:val="nil"/>
            </w:tcBorders>
          </w:tcPr>
          <w:p w14:paraId="07E1C873" w14:textId="77777777" w:rsidR="00271E37" w:rsidRPr="00222108" w:rsidRDefault="00271E37">
            <w:pPr>
              <w:jc w:val="left"/>
            </w:pPr>
          </w:p>
        </w:tc>
        <w:tc>
          <w:tcPr>
            <w:tcW w:w="1134" w:type="dxa"/>
            <w:tcBorders>
              <w:bottom w:val="nil"/>
            </w:tcBorders>
          </w:tcPr>
          <w:p w14:paraId="7BD389C3" w14:textId="77777777" w:rsidR="00271E37" w:rsidRPr="00222108" w:rsidRDefault="00271E37">
            <w:pPr>
              <w:rPr>
                <w:b/>
                <w:bCs/>
              </w:rPr>
            </w:pPr>
            <w:r w:rsidRPr="00222108">
              <w:rPr>
                <w:b/>
                <w:bCs/>
              </w:rPr>
              <w:t>202</w:t>
            </w:r>
            <w:r>
              <w:rPr>
                <w:b/>
                <w:bCs/>
              </w:rPr>
              <w:t>6</w:t>
            </w:r>
          </w:p>
        </w:tc>
        <w:tc>
          <w:tcPr>
            <w:tcW w:w="1134" w:type="dxa"/>
            <w:tcBorders>
              <w:bottom w:val="nil"/>
            </w:tcBorders>
          </w:tcPr>
          <w:p w14:paraId="7D59018F" w14:textId="77777777" w:rsidR="00271E37" w:rsidRPr="00222108" w:rsidRDefault="00271E37">
            <w:r w:rsidRPr="00222108">
              <w:t>202</w:t>
            </w:r>
            <w:r>
              <w:t>5</w:t>
            </w:r>
          </w:p>
        </w:tc>
      </w:tr>
      <w:tr w:rsidR="00271E37" w:rsidRPr="00222108" w14:paraId="1523407A" w14:textId="77777777">
        <w:trPr>
          <w:trHeight w:val="73"/>
        </w:trPr>
        <w:tc>
          <w:tcPr>
            <w:tcW w:w="7371" w:type="dxa"/>
            <w:tcBorders>
              <w:bottom w:val="single" w:sz="4" w:space="0" w:color="auto"/>
            </w:tcBorders>
          </w:tcPr>
          <w:p w14:paraId="746A532F" w14:textId="77777777" w:rsidR="00271E37" w:rsidRPr="00222108" w:rsidRDefault="00271E37">
            <w:pPr>
              <w:jc w:val="left"/>
            </w:pPr>
            <w:r w:rsidRPr="00222108">
              <w:t>Forward exchange contracts carrying amount</w:t>
            </w:r>
          </w:p>
        </w:tc>
        <w:tc>
          <w:tcPr>
            <w:tcW w:w="1134" w:type="dxa"/>
            <w:tcBorders>
              <w:bottom w:val="single" w:sz="4" w:space="0" w:color="auto"/>
            </w:tcBorders>
          </w:tcPr>
          <w:p w14:paraId="2E063700" w14:textId="77777777" w:rsidR="00271E37" w:rsidRPr="00222108" w:rsidRDefault="00271E37">
            <w:pPr>
              <w:rPr>
                <w:b/>
                <w:bCs/>
              </w:rPr>
            </w:pPr>
            <w:r>
              <w:rPr>
                <w:b/>
                <w:bCs/>
              </w:rPr>
              <w:t>£</w:t>
            </w:r>
            <w:r w:rsidRPr="00222108">
              <w:rPr>
                <w:b/>
                <w:bCs/>
              </w:rPr>
              <w:t>000</w:t>
            </w:r>
          </w:p>
        </w:tc>
        <w:tc>
          <w:tcPr>
            <w:tcW w:w="1134" w:type="dxa"/>
            <w:tcBorders>
              <w:bottom w:val="single" w:sz="4" w:space="0" w:color="auto"/>
            </w:tcBorders>
          </w:tcPr>
          <w:p w14:paraId="3F78B778" w14:textId="77777777" w:rsidR="00271E37" w:rsidRPr="00222108" w:rsidRDefault="00271E37">
            <w:r>
              <w:t>£</w:t>
            </w:r>
            <w:r w:rsidRPr="00222108">
              <w:t>000</w:t>
            </w:r>
          </w:p>
        </w:tc>
      </w:tr>
      <w:tr w:rsidR="00271E37" w:rsidRPr="00222108" w14:paraId="411270CC" w14:textId="77777777">
        <w:tc>
          <w:tcPr>
            <w:tcW w:w="7371" w:type="dxa"/>
            <w:tcBorders>
              <w:top w:val="single" w:sz="4" w:space="0" w:color="auto"/>
            </w:tcBorders>
          </w:tcPr>
          <w:p w14:paraId="046D3F8C" w14:textId="77777777" w:rsidR="00271E37" w:rsidRPr="00222108" w:rsidRDefault="00271E37">
            <w:pPr>
              <w:jc w:val="left"/>
            </w:pPr>
            <w:r w:rsidRPr="00222108">
              <w:t>Derivative financial assets</w:t>
            </w:r>
          </w:p>
        </w:tc>
        <w:tc>
          <w:tcPr>
            <w:tcW w:w="1134" w:type="dxa"/>
            <w:tcBorders>
              <w:top w:val="single" w:sz="4" w:space="0" w:color="auto"/>
            </w:tcBorders>
            <w:vAlign w:val="bottom"/>
          </w:tcPr>
          <w:p w14:paraId="6E2B8C50" w14:textId="77777777" w:rsidR="00271E37" w:rsidRPr="00730DF8" w:rsidRDefault="00271E37">
            <w:pPr>
              <w:rPr>
                <w:b/>
                <w:bCs/>
              </w:rPr>
            </w:pPr>
            <w:r>
              <w:rPr>
                <w:b/>
                <w:bCs/>
              </w:rPr>
              <w:t>243</w:t>
            </w:r>
          </w:p>
        </w:tc>
        <w:tc>
          <w:tcPr>
            <w:tcW w:w="1134" w:type="dxa"/>
            <w:tcBorders>
              <w:top w:val="single" w:sz="4" w:space="0" w:color="auto"/>
            </w:tcBorders>
          </w:tcPr>
          <w:p w14:paraId="17B2CA95" w14:textId="77777777" w:rsidR="00271E37" w:rsidRPr="00730DF8" w:rsidRDefault="00271E37">
            <w:r>
              <w:t>1</w:t>
            </w:r>
          </w:p>
        </w:tc>
      </w:tr>
      <w:tr w:rsidR="00271E37" w:rsidRPr="00222108" w14:paraId="2E0D8689" w14:textId="77777777">
        <w:tc>
          <w:tcPr>
            <w:tcW w:w="7371" w:type="dxa"/>
          </w:tcPr>
          <w:p w14:paraId="7B7E2490" w14:textId="77777777" w:rsidR="00271E37" w:rsidRPr="00222108" w:rsidRDefault="00271E37">
            <w:pPr>
              <w:jc w:val="left"/>
            </w:pPr>
            <w:r w:rsidRPr="00222108">
              <w:t>Derivative financial liabilities</w:t>
            </w:r>
          </w:p>
        </w:tc>
        <w:tc>
          <w:tcPr>
            <w:tcW w:w="1134" w:type="dxa"/>
            <w:vAlign w:val="bottom"/>
          </w:tcPr>
          <w:p w14:paraId="314D9C14" w14:textId="77777777" w:rsidR="00271E37" w:rsidRPr="00730DF8" w:rsidRDefault="00271E37">
            <w:pPr>
              <w:rPr>
                <w:b/>
                <w:bCs/>
              </w:rPr>
            </w:pPr>
            <w:r>
              <w:rPr>
                <w:b/>
                <w:bCs/>
              </w:rPr>
              <w:t>(76)</w:t>
            </w:r>
          </w:p>
        </w:tc>
        <w:tc>
          <w:tcPr>
            <w:tcW w:w="1134" w:type="dxa"/>
          </w:tcPr>
          <w:p w14:paraId="0969772C" w14:textId="77777777" w:rsidR="00271E37" w:rsidRPr="00730DF8" w:rsidRDefault="00271E37">
            <w:r>
              <w:t>(413)</w:t>
            </w:r>
          </w:p>
        </w:tc>
      </w:tr>
      <w:bookmarkEnd w:id="54"/>
    </w:tbl>
    <w:p w14:paraId="57EF0E69" w14:textId="77777777" w:rsidR="00271E37" w:rsidRDefault="00271E37"/>
    <w:p w14:paraId="0908A76B" w14:textId="77777777" w:rsidR="00271E37" w:rsidRDefault="00271E37" w:rsidP="002E39D4">
      <w:r>
        <w:t>The Group has forward currency hedging contracts outstanding at 31 March 2026 designated as hedges of expected future purchases in US dollars for which the Group has firm commitments, as the derivatives are based on forecasts and an economic relationship exists at the time the derivative contracts are taken out. The terms of the forward currency hedging contracts have been negotiated to match the terms of the commitments.</w:t>
      </w:r>
    </w:p>
    <w:p w14:paraId="2C0B5C1C" w14:textId="77777777" w:rsidR="00271E37" w:rsidRDefault="00271E37" w:rsidP="002E39D4"/>
    <w:p w14:paraId="4AD96667" w14:textId="43C70F9A" w:rsidR="00271E37" w:rsidRDefault="00271E37" w:rsidP="002E39D4">
      <w:r>
        <w:t xml:space="preserve">All contracts outstanding at the </w:t>
      </w:r>
      <w:r w:rsidDel="006A1C93">
        <w:t>year</w:t>
      </w:r>
      <w:r w:rsidR="006A1C93">
        <w:t>-end</w:t>
      </w:r>
      <w:r>
        <w:t xml:space="preserve"> crystallise within </w:t>
      </w:r>
      <w:r w:rsidR="00D439E2">
        <w:t>twelve</w:t>
      </w:r>
      <w:r>
        <w:t xml:space="preserve"> months of the balance sheet date at average prices of </w:t>
      </w:r>
      <w:r w:rsidRPr="00766FF8">
        <w:t>1.18</w:t>
      </w:r>
      <w:r>
        <w:t> for US dollar to euro contracts (2025: 1.06</w:t>
      </w:r>
      <w:r w:rsidRPr="007A504E">
        <w:t>)</w:t>
      </w:r>
      <w:r>
        <w:t xml:space="preserve"> and </w:t>
      </w:r>
      <w:r w:rsidRPr="00766FF8">
        <w:t>1.34</w:t>
      </w:r>
      <w:r>
        <w:t xml:space="preserve"> for US dollar to GBP contracts (2025: 1.30</w:t>
      </w:r>
      <w:r w:rsidRPr="007A504E">
        <w:t>).</w:t>
      </w:r>
      <w:r>
        <w:t xml:space="preserve"> At the year end</w:t>
      </w:r>
      <w:r w:rsidR="001D675A">
        <w:t>,</w:t>
      </w:r>
      <w:r>
        <w:t xml:space="preserve"> the Group held £10.1 million for US dollar to euro contracts (2025: £11.6 million</w:t>
      </w:r>
      <w:r w:rsidRPr="007A504E">
        <w:t>)</w:t>
      </w:r>
      <w:r>
        <w:t xml:space="preserve"> and</w:t>
      </w:r>
      <w:r w:rsidRPr="007A504E">
        <w:t xml:space="preserve"> </w:t>
      </w:r>
      <w:r>
        <w:t>£3.5 million for US dollar to GBP contracts (2025: £7.7 million) in hedge relationships.</w:t>
      </w:r>
    </w:p>
    <w:p w14:paraId="113A5B28" w14:textId="77777777" w:rsidR="00271E37" w:rsidRDefault="00271E37" w:rsidP="002E39D4"/>
    <w:p w14:paraId="06C7C9ED" w14:textId="77777777" w:rsidR="00271E37" w:rsidRDefault="00271E37" w:rsidP="002E39D4">
      <w:r w:rsidRPr="00121C48">
        <w:t>When assessing the effectiveness of derivative contracts, the Group considers potential sources of ineffectiveness, including changes in the volume or timing of the hedged cash flows.</w:t>
      </w:r>
      <w:r>
        <w:t xml:space="preserve"> The cash flow hedges of the expected future purchases in the year were assessed to be highly effective and as at 31 March 2026, a </w:t>
      </w:r>
      <w:r w:rsidRPr="001E7EDF">
        <w:t>net unrealised profit of £1,070,000</w:t>
      </w:r>
      <w:r>
        <w:t xml:space="preserve"> (2025: £136,000</w:t>
      </w:r>
      <w:r w:rsidDel="00A34939">
        <w:t xml:space="preserve"> </w:t>
      </w:r>
      <w:r>
        <w:t>loss) with related deferred tax credit of £nil (2025: £nil) was included in other comprehensive income in respect of these hedging contracts. Amounts relating to ineffectiveness recorded in the income statement in the year were £nil (2025: £nil).</w:t>
      </w:r>
    </w:p>
    <w:p w14:paraId="399A4C02" w14:textId="77777777" w:rsidR="00271E37" w:rsidRPr="00D8632A" w:rsidRDefault="00271E37">
      <w:pPr>
        <w:pStyle w:val="Heading3"/>
      </w:pPr>
      <w:r w:rsidRPr="00D8632A">
        <w:t>e</w:t>
      </w:r>
      <w:r>
        <w:t>.</w:t>
      </w:r>
      <w:r w:rsidRPr="00D8632A">
        <w:t xml:space="preserve"> Market risk</w:t>
      </w:r>
    </w:p>
    <w:p w14:paraId="6F62CA6E" w14:textId="77777777" w:rsidR="00271E37" w:rsidRPr="005E3B27" w:rsidRDefault="00271E37" w:rsidP="002876C8">
      <w:pPr>
        <w:pStyle w:val="Heading4"/>
        <w:rPr>
          <w:b/>
        </w:rPr>
      </w:pPr>
      <w:r w:rsidRPr="002876C8">
        <w:rPr>
          <w:rFonts w:ascii="Arial" w:hAnsi="Arial" w:cs="Arial"/>
          <w:b/>
          <w:color w:val="auto"/>
          <w:sz w:val="16"/>
          <w:szCs w:val="16"/>
        </w:rPr>
        <w:t xml:space="preserve">Financial risk management </w:t>
      </w:r>
    </w:p>
    <w:p w14:paraId="3BFCD8C5" w14:textId="2BE343C3" w:rsidR="00271E37" w:rsidRDefault="00271E37">
      <w:r w:rsidRPr="005E3B27">
        <w:t>Market risk</w:t>
      </w:r>
      <w:r w:rsidRPr="00F93104">
        <w:t xml:space="preserve"> is the risk that changes in market prices</w:t>
      </w:r>
      <w:r w:rsidR="00AD203D">
        <w:t>,</w:t>
      </w:r>
      <w:r w:rsidRPr="00F93104" w:rsidDel="00AD203D">
        <w:t xml:space="preserve"> </w:t>
      </w:r>
      <w:r w:rsidRPr="00F93104">
        <w:t>including foreign exchange rates, interest rates and, where relevant, equity prices</w:t>
      </w:r>
      <w:r w:rsidR="005F30B2">
        <w:t>,</w:t>
      </w:r>
      <w:r w:rsidRPr="00F93104" w:rsidDel="005F30B2">
        <w:t xml:space="preserve"> </w:t>
      </w:r>
      <w:r w:rsidRPr="00F93104">
        <w:t>will adversely affect the Group’s income or the value of its financial instruments.</w:t>
      </w:r>
      <w:r>
        <w:t xml:space="preserve"> </w:t>
      </w:r>
      <w:r w:rsidRPr="00F93104">
        <w:t>The Group manages foreign currency risk by hedging a proportion of its forecast sales and purchases denominated in foreign currencies, as considered appropriate by management. Hedging is primarily undertaken through foreign exchange forward contracts, which typically have maturities of less than one year.</w:t>
      </w:r>
      <w:r>
        <w:t xml:space="preserve"> </w:t>
      </w:r>
      <w:r w:rsidRPr="00F93104">
        <w:t>The Group also holds loans denominated in the functional currencies of certain overseas subsidiaries, which reduces exposure to foreign exchange movements on those borrowings.</w:t>
      </w:r>
    </w:p>
    <w:p w14:paraId="6E14CC50" w14:textId="77777777" w:rsidR="00271E37" w:rsidRPr="00F93104" w:rsidRDefault="00271E37"/>
    <w:p w14:paraId="2EEF1598" w14:textId="77777777" w:rsidR="00271E37" w:rsidRPr="00F93104" w:rsidRDefault="00271E37">
      <w:r w:rsidRPr="00F93104">
        <w:t xml:space="preserve">The Group’s exposure to foreign currency risk is set out below. Exposure is presented based on the </w:t>
      </w:r>
      <w:r w:rsidRPr="005E3B27">
        <w:t>carrying amounts of monetary financial assets and liabilities</w:t>
      </w:r>
      <w:r w:rsidRPr="00F93104">
        <w:t xml:space="preserve">, with the exception of derivatives, which are disclosed based on their </w:t>
      </w:r>
      <w:r w:rsidRPr="005E3B27">
        <w:t>notional amounts</w:t>
      </w:r>
      <w:r w:rsidRPr="00F93104">
        <w:t>.</w:t>
      </w:r>
    </w:p>
    <w:p w14:paraId="251C3DDD" w14:textId="77777777" w:rsidR="00271E37" w:rsidRDefault="00271E37"/>
    <w:tbl>
      <w:tblPr>
        <w:tblStyle w:val="tableDUL"/>
        <w:tblW w:w="9639" w:type="dxa"/>
        <w:tblLook w:val="04A0" w:firstRow="1" w:lastRow="0" w:firstColumn="1" w:lastColumn="0" w:noHBand="0" w:noVBand="1"/>
      </w:tblPr>
      <w:tblGrid>
        <w:gridCol w:w="2835"/>
        <w:gridCol w:w="1134"/>
        <w:gridCol w:w="1134"/>
        <w:gridCol w:w="1134"/>
        <w:gridCol w:w="1134"/>
        <w:gridCol w:w="1134"/>
        <w:gridCol w:w="1134"/>
      </w:tblGrid>
      <w:tr w:rsidR="00271E37" w:rsidRPr="00222108" w14:paraId="3BABF5E8" w14:textId="77777777">
        <w:trPr>
          <w:trHeight w:hRule="exact" w:val="20"/>
        </w:trPr>
        <w:tc>
          <w:tcPr>
            <w:tcW w:w="2835" w:type="dxa"/>
            <w:tcBorders>
              <w:top w:val="nil"/>
              <w:left w:val="nil"/>
              <w:bottom w:val="nil"/>
              <w:right w:val="nil"/>
            </w:tcBorders>
          </w:tcPr>
          <w:p w14:paraId="477E125D" w14:textId="77777777" w:rsidR="00271E37" w:rsidRPr="00244F5F" w:rsidRDefault="00271E37">
            <w:pPr>
              <w:rPr>
                <w:sz w:val="2"/>
              </w:rPr>
            </w:pPr>
            <w:bookmarkStart w:id="55" w:name="_f5e32360_809e_4a98_9c41_72603fa62bb1"/>
            <w:bookmarkStart w:id="56" w:name="_e83aa344_b77b_4b4e_a974_a7263e22606d"/>
            <w:bookmarkEnd w:id="55"/>
            <w:r w:rsidRPr="00244F5F">
              <w:rPr>
                <w:sz w:val="2"/>
              </w:rPr>
              <w:t xml:space="preserve">- </w:t>
            </w:r>
            <w:r w:rsidRPr="00244F5F">
              <w:rPr>
                <w:sz w:val="2"/>
              </w:rPr>
              <w:tab/>
              <w:t xml:space="preserve"> - </w:t>
            </w:r>
            <w:r w:rsidRPr="00244F5F">
              <w:rPr>
                <w:sz w:val="2"/>
              </w:rPr>
              <w:tab/>
              <w:t xml:space="preserve"> - </w:t>
            </w:r>
            <w:r w:rsidRPr="00244F5F">
              <w:rPr>
                <w:sz w:val="2"/>
              </w:rPr>
              <w:tab/>
              <w:t xml:space="preserve"> - </w:t>
            </w:r>
          </w:p>
          <w:p w14:paraId="4A9353C6" w14:textId="77777777" w:rsidR="00271E37" w:rsidRPr="00244F5F" w:rsidRDefault="00271E37">
            <w:pPr>
              <w:rPr>
                <w:sz w:val="2"/>
              </w:rPr>
            </w:pPr>
            <w:r w:rsidRPr="00244F5F">
              <w:rPr>
                <w:sz w:val="2"/>
              </w:rPr>
              <w:t xml:space="preserve">26,988 </w:t>
            </w:r>
            <w:r w:rsidRPr="00244F5F">
              <w:rPr>
                <w:sz w:val="2"/>
              </w:rPr>
              <w:tab/>
              <w:t xml:space="preserve">14,326 </w:t>
            </w:r>
            <w:r w:rsidRPr="00244F5F">
              <w:rPr>
                <w:sz w:val="2"/>
              </w:rPr>
              <w:tab/>
              <w:t xml:space="preserve">8,703 </w:t>
            </w:r>
            <w:r w:rsidRPr="00244F5F">
              <w:rPr>
                <w:sz w:val="2"/>
              </w:rPr>
              <w:tab/>
              <w:t xml:space="preserve">4,661 </w:t>
            </w:r>
          </w:p>
          <w:p w14:paraId="1101B28B" w14:textId="77777777" w:rsidR="00271E37" w:rsidRPr="00244F5F" w:rsidRDefault="00271E37">
            <w:pPr>
              <w:rPr>
                <w:sz w:val="2"/>
              </w:rPr>
            </w:pPr>
            <w:r w:rsidRPr="00244F5F">
              <w:rPr>
                <w:sz w:val="2"/>
              </w:rPr>
              <w:t xml:space="preserve">6,524 </w:t>
            </w:r>
            <w:r w:rsidRPr="00244F5F">
              <w:rPr>
                <w:sz w:val="2"/>
              </w:rPr>
              <w:tab/>
              <w:t xml:space="preserve">10,183 </w:t>
            </w:r>
            <w:r w:rsidRPr="00244F5F">
              <w:rPr>
                <w:sz w:val="2"/>
              </w:rPr>
              <w:tab/>
              <w:t xml:space="preserve">1,329 </w:t>
            </w:r>
            <w:r w:rsidRPr="00244F5F">
              <w:rPr>
                <w:sz w:val="2"/>
              </w:rPr>
              <w:tab/>
              <w:t xml:space="preserve">2,877 </w:t>
            </w:r>
          </w:p>
          <w:p w14:paraId="092B2949" w14:textId="77777777" w:rsidR="00271E37" w:rsidRPr="00244F5F" w:rsidRDefault="00271E37">
            <w:pPr>
              <w:rPr>
                <w:sz w:val="2"/>
              </w:rPr>
            </w:pPr>
            <w:r w:rsidRPr="00244F5F">
              <w:rPr>
                <w:sz w:val="2"/>
              </w:rPr>
              <w:t xml:space="preserve">230 </w:t>
            </w:r>
            <w:r w:rsidRPr="00244F5F">
              <w:rPr>
                <w:sz w:val="2"/>
              </w:rPr>
              <w:tab/>
              <w:t xml:space="preserve"> - </w:t>
            </w:r>
            <w:r w:rsidRPr="00244F5F">
              <w:rPr>
                <w:sz w:val="2"/>
              </w:rPr>
              <w:tab/>
              <w:t xml:space="preserve"> - </w:t>
            </w:r>
            <w:r w:rsidRPr="00244F5F">
              <w:rPr>
                <w:sz w:val="2"/>
              </w:rPr>
              <w:tab/>
              <w:t>#REF!</w:t>
            </w:r>
          </w:p>
          <w:p w14:paraId="57DB7E21" w14:textId="77777777" w:rsidR="00271E37" w:rsidRPr="00244F5F" w:rsidRDefault="00271E37">
            <w:pPr>
              <w:rPr>
                <w:sz w:val="2"/>
              </w:rPr>
            </w:pPr>
            <w:r w:rsidRPr="00244F5F">
              <w:rPr>
                <w:sz w:val="2"/>
              </w:rPr>
              <w:t xml:space="preserve"> - </w:t>
            </w:r>
            <w:r w:rsidRPr="00244F5F">
              <w:rPr>
                <w:sz w:val="2"/>
              </w:rPr>
              <w:tab/>
              <w:t>(481)</w:t>
            </w:r>
            <w:r w:rsidRPr="00244F5F">
              <w:rPr>
                <w:sz w:val="2"/>
              </w:rPr>
              <w:tab/>
              <w:t xml:space="preserve"> - </w:t>
            </w:r>
            <w:r w:rsidRPr="00244F5F">
              <w:rPr>
                <w:sz w:val="2"/>
              </w:rPr>
              <w:tab/>
              <w:t xml:space="preserve"> - </w:t>
            </w:r>
          </w:p>
          <w:p w14:paraId="1A82A310" w14:textId="77777777" w:rsidR="00271E37" w:rsidRPr="00244F5F" w:rsidRDefault="00271E37">
            <w:pPr>
              <w:rPr>
                <w:sz w:val="2"/>
              </w:rPr>
            </w:pPr>
            <w:r w:rsidRPr="00244F5F">
              <w:rPr>
                <w:sz w:val="2"/>
              </w:rPr>
              <w:t xml:space="preserve">420 </w:t>
            </w:r>
            <w:r w:rsidRPr="00244F5F">
              <w:rPr>
                <w:sz w:val="2"/>
              </w:rPr>
              <w:tab/>
              <w:t xml:space="preserve"> - </w:t>
            </w:r>
            <w:r w:rsidRPr="00244F5F">
              <w:rPr>
                <w:sz w:val="2"/>
              </w:rPr>
              <w:tab/>
              <w:t xml:space="preserve"> - </w:t>
            </w:r>
            <w:r w:rsidRPr="00244F5F">
              <w:rPr>
                <w:sz w:val="2"/>
              </w:rPr>
              <w:tab/>
              <w:t xml:space="preserve"> - </w:t>
            </w:r>
          </w:p>
          <w:p w14:paraId="20B665F2" w14:textId="77777777" w:rsidR="00271E37" w:rsidRPr="00244F5F" w:rsidRDefault="00271E37">
            <w:pPr>
              <w:rPr>
                <w:sz w:val="2"/>
              </w:rPr>
            </w:pPr>
            <w:r w:rsidRPr="00244F5F">
              <w:rPr>
                <w:sz w:val="2"/>
              </w:rPr>
              <w:t>(9,285)</w:t>
            </w:r>
            <w:r w:rsidRPr="00244F5F">
              <w:rPr>
                <w:sz w:val="2"/>
              </w:rPr>
              <w:tab/>
              <w:t>(6,897)</w:t>
            </w:r>
            <w:r w:rsidRPr="00244F5F">
              <w:rPr>
                <w:sz w:val="2"/>
              </w:rPr>
              <w:tab/>
              <w:t>(6,006)</w:t>
            </w:r>
            <w:r w:rsidRPr="00244F5F">
              <w:rPr>
                <w:sz w:val="2"/>
              </w:rPr>
              <w:tab/>
              <w:t>(726)</w:t>
            </w:r>
          </w:p>
          <w:p w14:paraId="1071B32F" w14:textId="77777777" w:rsidR="00271E37" w:rsidRDefault="00271E37">
            <w:pPr>
              <w:rPr>
                <w:sz w:val="2"/>
              </w:rPr>
            </w:pPr>
            <w:r w:rsidRPr="00244F5F">
              <w:rPr>
                <w:sz w:val="2"/>
              </w:rPr>
              <w:t>(1)</w:t>
            </w:r>
            <w:r w:rsidRPr="00244F5F">
              <w:rPr>
                <w:sz w:val="2"/>
              </w:rPr>
              <w:tab/>
              <w:t xml:space="preserve"> - </w:t>
            </w:r>
            <w:r w:rsidRPr="00244F5F">
              <w:rPr>
                <w:sz w:val="2"/>
              </w:rPr>
              <w:tab/>
              <w:t xml:space="preserve"> - </w:t>
            </w:r>
            <w:r w:rsidRPr="00244F5F">
              <w:rPr>
                <w:sz w:val="2"/>
              </w:rPr>
              <w:tab/>
              <w:t xml:space="preserve"> -</w:t>
            </w:r>
          </w:p>
        </w:tc>
        <w:tc>
          <w:tcPr>
            <w:tcW w:w="1134" w:type="dxa"/>
            <w:tcBorders>
              <w:top w:val="nil"/>
              <w:left w:val="nil"/>
              <w:bottom w:val="nil"/>
              <w:right w:val="nil"/>
            </w:tcBorders>
          </w:tcPr>
          <w:p w14:paraId="74F3C360" w14:textId="77777777" w:rsidR="00271E37" w:rsidRDefault="00271E37">
            <w:pPr>
              <w:rPr>
                <w:sz w:val="2"/>
              </w:rPr>
            </w:pPr>
          </w:p>
        </w:tc>
        <w:tc>
          <w:tcPr>
            <w:tcW w:w="1134" w:type="dxa"/>
            <w:tcBorders>
              <w:top w:val="nil"/>
              <w:left w:val="nil"/>
              <w:bottom w:val="nil"/>
              <w:right w:val="nil"/>
            </w:tcBorders>
          </w:tcPr>
          <w:p w14:paraId="469B27A5" w14:textId="77777777" w:rsidR="00271E37" w:rsidRDefault="00271E37">
            <w:pPr>
              <w:rPr>
                <w:sz w:val="2"/>
              </w:rPr>
            </w:pPr>
          </w:p>
        </w:tc>
        <w:tc>
          <w:tcPr>
            <w:tcW w:w="1134" w:type="dxa"/>
            <w:tcBorders>
              <w:top w:val="nil"/>
              <w:left w:val="nil"/>
              <w:bottom w:val="nil"/>
              <w:right w:val="nil"/>
            </w:tcBorders>
          </w:tcPr>
          <w:p w14:paraId="494CC2D4" w14:textId="77777777" w:rsidR="00271E37" w:rsidRDefault="00271E37">
            <w:pPr>
              <w:rPr>
                <w:sz w:val="2"/>
              </w:rPr>
            </w:pPr>
          </w:p>
        </w:tc>
        <w:tc>
          <w:tcPr>
            <w:tcW w:w="1134" w:type="dxa"/>
            <w:tcBorders>
              <w:top w:val="nil"/>
              <w:left w:val="nil"/>
              <w:bottom w:val="nil"/>
              <w:right w:val="nil"/>
            </w:tcBorders>
          </w:tcPr>
          <w:p w14:paraId="20DB0959" w14:textId="77777777" w:rsidR="00271E37" w:rsidRDefault="00271E37">
            <w:pPr>
              <w:rPr>
                <w:sz w:val="2"/>
              </w:rPr>
            </w:pPr>
          </w:p>
        </w:tc>
        <w:tc>
          <w:tcPr>
            <w:tcW w:w="1134" w:type="dxa"/>
            <w:tcBorders>
              <w:top w:val="nil"/>
              <w:left w:val="nil"/>
              <w:bottom w:val="nil"/>
              <w:right w:val="nil"/>
            </w:tcBorders>
          </w:tcPr>
          <w:p w14:paraId="0E025601" w14:textId="77777777" w:rsidR="00271E37" w:rsidRDefault="00271E37">
            <w:pPr>
              <w:rPr>
                <w:sz w:val="2"/>
              </w:rPr>
            </w:pPr>
          </w:p>
        </w:tc>
        <w:tc>
          <w:tcPr>
            <w:tcW w:w="1134" w:type="dxa"/>
            <w:tcBorders>
              <w:top w:val="nil"/>
              <w:left w:val="nil"/>
              <w:bottom w:val="nil"/>
              <w:right w:val="nil"/>
            </w:tcBorders>
          </w:tcPr>
          <w:p w14:paraId="0AAA2076" w14:textId="77777777" w:rsidR="00271E37" w:rsidRDefault="00271E37">
            <w:pPr>
              <w:rPr>
                <w:sz w:val="2"/>
              </w:rPr>
            </w:pPr>
          </w:p>
        </w:tc>
      </w:tr>
      <w:tr w:rsidR="00271E37" w:rsidRPr="00222108" w14:paraId="43905B33" w14:textId="77777777">
        <w:tc>
          <w:tcPr>
            <w:tcW w:w="2835" w:type="dxa"/>
            <w:tcBorders>
              <w:bottom w:val="nil"/>
            </w:tcBorders>
          </w:tcPr>
          <w:p w14:paraId="4F05911C" w14:textId="77777777" w:rsidR="00271E37" w:rsidRPr="00222108" w:rsidRDefault="00271E37">
            <w:pPr>
              <w:jc w:val="left"/>
            </w:pPr>
          </w:p>
        </w:tc>
        <w:tc>
          <w:tcPr>
            <w:tcW w:w="1134" w:type="dxa"/>
            <w:tcBorders>
              <w:bottom w:val="nil"/>
            </w:tcBorders>
          </w:tcPr>
          <w:p w14:paraId="239CB21F" w14:textId="77777777" w:rsidR="00271E37" w:rsidRPr="00222108" w:rsidRDefault="00271E37"/>
        </w:tc>
        <w:tc>
          <w:tcPr>
            <w:tcW w:w="1134" w:type="dxa"/>
            <w:tcBorders>
              <w:bottom w:val="nil"/>
            </w:tcBorders>
          </w:tcPr>
          <w:p w14:paraId="4D6A05A9" w14:textId="48AB4CC2" w:rsidR="00271E37" w:rsidRPr="00222108" w:rsidRDefault="00C40C58">
            <w:pPr>
              <w:rPr>
                <w:b/>
                <w:bCs/>
              </w:rPr>
            </w:pPr>
            <w:r>
              <w:rPr>
                <w:b/>
                <w:bCs/>
              </w:rPr>
              <w:t>Pound s</w:t>
            </w:r>
            <w:r w:rsidR="00271E37">
              <w:rPr>
                <w:b/>
                <w:bCs/>
              </w:rPr>
              <w:t>terling</w:t>
            </w:r>
          </w:p>
        </w:tc>
        <w:tc>
          <w:tcPr>
            <w:tcW w:w="1134" w:type="dxa"/>
            <w:tcBorders>
              <w:bottom w:val="nil"/>
            </w:tcBorders>
          </w:tcPr>
          <w:p w14:paraId="7767F949" w14:textId="77777777" w:rsidR="00271E37" w:rsidRPr="00222108" w:rsidRDefault="00271E37">
            <w:pPr>
              <w:rPr>
                <w:b/>
                <w:bCs/>
              </w:rPr>
            </w:pPr>
            <w:r>
              <w:rPr>
                <w:b/>
                <w:bCs/>
              </w:rPr>
              <w:t>Euro</w:t>
            </w:r>
          </w:p>
        </w:tc>
        <w:tc>
          <w:tcPr>
            <w:tcW w:w="1134" w:type="dxa"/>
            <w:tcBorders>
              <w:bottom w:val="nil"/>
            </w:tcBorders>
          </w:tcPr>
          <w:p w14:paraId="6AD35E00" w14:textId="77777777" w:rsidR="00271E37" w:rsidRPr="00222108" w:rsidRDefault="00271E37">
            <w:pPr>
              <w:rPr>
                <w:b/>
                <w:bCs/>
              </w:rPr>
            </w:pPr>
            <w:r>
              <w:rPr>
                <w:b/>
                <w:bCs/>
              </w:rPr>
              <w:t>US dollar</w:t>
            </w:r>
          </w:p>
        </w:tc>
        <w:tc>
          <w:tcPr>
            <w:tcW w:w="1134" w:type="dxa"/>
            <w:tcBorders>
              <w:bottom w:val="nil"/>
            </w:tcBorders>
          </w:tcPr>
          <w:p w14:paraId="49CA2933" w14:textId="77777777" w:rsidR="00271E37" w:rsidRPr="00222108" w:rsidRDefault="00271E37">
            <w:pPr>
              <w:rPr>
                <w:b/>
                <w:bCs/>
              </w:rPr>
            </w:pPr>
            <w:r w:rsidRPr="00222108">
              <w:rPr>
                <w:b/>
                <w:bCs/>
              </w:rPr>
              <w:t>Other</w:t>
            </w:r>
          </w:p>
        </w:tc>
        <w:tc>
          <w:tcPr>
            <w:tcW w:w="1134" w:type="dxa"/>
            <w:tcBorders>
              <w:bottom w:val="nil"/>
            </w:tcBorders>
          </w:tcPr>
          <w:p w14:paraId="6B9B6576" w14:textId="77777777" w:rsidR="00271E37" w:rsidRPr="00222108" w:rsidRDefault="00271E37">
            <w:pPr>
              <w:rPr>
                <w:b/>
                <w:bCs/>
              </w:rPr>
            </w:pPr>
            <w:r w:rsidRPr="00222108">
              <w:rPr>
                <w:b/>
                <w:bCs/>
              </w:rPr>
              <w:t>Total</w:t>
            </w:r>
          </w:p>
        </w:tc>
      </w:tr>
      <w:tr w:rsidR="00271E37" w:rsidRPr="00222108" w14:paraId="56E8F8F5" w14:textId="77777777">
        <w:tc>
          <w:tcPr>
            <w:tcW w:w="2835" w:type="dxa"/>
            <w:tcBorders>
              <w:bottom w:val="nil"/>
            </w:tcBorders>
          </w:tcPr>
          <w:p w14:paraId="14078CC5" w14:textId="77777777" w:rsidR="00271E37" w:rsidRPr="00222108" w:rsidRDefault="00271E37">
            <w:pPr>
              <w:jc w:val="left"/>
            </w:pPr>
            <w:r w:rsidRPr="00222108">
              <w:t>31 March 202</w:t>
            </w:r>
            <w:r>
              <w:t>6</w:t>
            </w:r>
          </w:p>
        </w:tc>
        <w:tc>
          <w:tcPr>
            <w:tcW w:w="1134" w:type="dxa"/>
            <w:tcBorders>
              <w:bottom w:val="nil"/>
            </w:tcBorders>
          </w:tcPr>
          <w:p w14:paraId="00B021DC" w14:textId="77777777" w:rsidR="00271E37" w:rsidRPr="00222108" w:rsidRDefault="00271E37">
            <w:r w:rsidRPr="00222108">
              <w:t>Note</w:t>
            </w:r>
          </w:p>
        </w:tc>
        <w:tc>
          <w:tcPr>
            <w:tcW w:w="1134" w:type="dxa"/>
            <w:tcBorders>
              <w:bottom w:val="nil"/>
            </w:tcBorders>
          </w:tcPr>
          <w:p w14:paraId="000FA28F" w14:textId="77777777" w:rsidR="00271E37" w:rsidRPr="00222108" w:rsidRDefault="00271E37">
            <w:pPr>
              <w:rPr>
                <w:b/>
                <w:bCs/>
              </w:rPr>
            </w:pPr>
            <w:r>
              <w:rPr>
                <w:b/>
                <w:bCs/>
              </w:rPr>
              <w:t>£</w:t>
            </w:r>
            <w:r w:rsidRPr="00222108">
              <w:rPr>
                <w:b/>
                <w:bCs/>
              </w:rPr>
              <w:t>000</w:t>
            </w:r>
          </w:p>
        </w:tc>
        <w:tc>
          <w:tcPr>
            <w:tcW w:w="1134" w:type="dxa"/>
            <w:tcBorders>
              <w:bottom w:val="nil"/>
            </w:tcBorders>
          </w:tcPr>
          <w:p w14:paraId="72DBECD0" w14:textId="77777777" w:rsidR="00271E37" w:rsidRPr="00222108" w:rsidRDefault="00271E37">
            <w:pPr>
              <w:rPr>
                <w:b/>
                <w:bCs/>
              </w:rPr>
            </w:pPr>
            <w:r>
              <w:rPr>
                <w:b/>
                <w:bCs/>
              </w:rPr>
              <w:t>£</w:t>
            </w:r>
            <w:r w:rsidRPr="00222108">
              <w:rPr>
                <w:b/>
                <w:bCs/>
              </w:rPr>
              <w:t>000</w:t>
            </w:r>
          </w:p>
        </w:tc>
        <w:tc>
          <w:tcPr>
            <w:tcW w:w="1134" w:type="dxa"/>
            <w:tcBorders>
              <w:bottom w:val="nil"/>
            </w:tcBorders>
          </w:tcPr>
          <w:p w14:paraId="7A18DAFC" w14:textId="77777777" w:rsidR="00271E37" w:rsidRPr="00222108" w:rsidRDefault="00271E37">
            <w:pPr>
              <w:rPr>
                <w:b/>
                <w:bCs/>
              </w:rPr>
            </w:pPr>
            <w:r>
              <w:rPr>
                <w:b/>
                <w:bCs/>
              </w:rPr>
              <w:t>£</w:t>
            </w:r>
            <w:r w:rsidRPr="00222108">
              <w:rPr>
                <w:b/>
                <w:bCs/>
              </w:rPr>
              <w:t>000</w:t>
            </w:r>
          </w:p>
        </w:tc>
        <w:tc>
          <w:tcPr>
            <w:tcW w:w="1134" w:type="dxa"/>
            <w:tcBorders>
              <w:bottom w:val="nil"/>
            </w:tcBorders>
          </w:tcPr>
          <w:p w14:paraId="2695ED36" w14:textId="77777777" w:rsidR="00271E37" w:rsidRPr="00222108" w:rsidRDefault="00271E37">
            <w:pPr>
              <w:rPr>
                <w:b/>
                <w:bCs/>
              </w:rPr>
            </w:pPr>
            <w:r>
              <w:rPr>
                <w:b/>
                <w:bCs/>
              </w:rPr>
              <w:t>£</w:t>
            </w:r>
            <w:r w:rsidRPr="00222108">
              <w:rPr>
                <w:b/>
                <w:bCs/>
              </w:rPr>
              <w:t>000</w:t>
            </w:r>
          </w:p>
        </w:tc>
        <w:tc>
          <w:tcPr>
            <w:tcW w:w="1134" w:type="dxa"/>
            <w:tcBorders>
              <w:bottom w:val="nil"/>
            </w:tcBorders>
          </w:tcPr>
          <w:p w14:paraId="60B9E73D" w14:textId="77777777" w:rsidR="00271E37" w:rsidRPr="00222108" w:rsidRDefault="00271E37">
            <w:pPr>
              <w:rPr>
                <w:b/>
                <w:bCs/>
              </w:rPr>
            </w:pPr>
            <w:r>
              <w:rPr>
                <w:b/>
                <w:bCs/>
              </w:rPr>
              <w:t>£</w:t>
            </w:r>
            <w:r w:rsidRPr="00222108">
              <w:rPr>
                <w:b/>
                <w:bCs/>
              </w:rPr>
              <w:t>000</w:t>
            </w:r>
          </w:p>
        </w:tc>
      </w:tr>
      <w:tr w:rsidR="00271E37" w:rsidRPr="00222108" w14:paraId="4FB1CA1F" w14:textId="77777777">
        <w:tc>
          <w:tcPr>
            <w:tcW w:w="2835" w:type="dxa"/>
            <w:tcBorders>
              <w:top w:val="single" w:sz="4" w:space="0" w:color="auto"/>
              <w:bottom w:val="nil"/>
            </w:tcBorders>
          </w:tcPr>
          <w:p w14:paraId="42A3BB20" w14:textId="77777777" w:rsidR="00271E37" w:rsidRPr="00222108" w:rsidRDefault="00271E37">
            <w:pPr>
              <w:jc w:val="left"/>
            </w:pPr>
            <w:r w:rsidRPr="00222108">
              <w:t>Cash and cash equivalents</w:t>
            </w:r>
          </w:p>
        </w:tc>
        <w:tc>
          <w:tcPr>
            <w:tcW w:w="1134" w:type="dxa"/>
            <w:tcBorders>
              <w:top w:val="single" w:sz="4" w:space="0" w:color="auto"/>
              <w:bottom w:val="nil"/>
            </w:tcBorders>
          </w:tcPr>
          <w:p w14:paraId="1E4E9896" w14:textId="77777777" w:rsidR="00271E37" w:rsidRPr="00222108" w:rsidRDefault="00271E37">
            <w:r w:rsidRPr="00222108">
              <w:t>14</w:t>
            </w:r>
          </w:p>
        </w:tc>
        <w:tc>
          <w:tcPr>
            <w:tcW w:w="1134" w:type="dxa"/>
            <w:tcBorders>
              <w:top w:val="single" w:sz="4" w:space="0" w:color="auto"/>
              <w:bottom w:val="nil"/>
            </w:tcBorders>
            <w:vAlign w:val="center"/>
          </w:tcPr>
          <w:p w14:paraId="484083CA" w14:textId="77777777" w:rsidR="00271E37" w:rsidRPr="0089054C" w:rsidRDefault="00271E37">
            <w:pPr>
              <w:rPr>
                <w:b/>
                <w:bCs/>
              </w:rPr>
            </w:pPr>
            <w:r w:rsidRPr="001E7EDF" w:rsidDel="00365665">
              <w:rPr>
                <w:rFonts w:cs="Arial"/>
                <w:b/>
                <w:szCs w:val="16"/>
              </w:rPr>
              <w:t xml:space="preserve">26,988 </w:t>
            </w:r>
          </w:p>
        </w:tc>
        <w:tc>
          <w:tcPr>
            <w:tcW w:w="1134" w:type="dxa"/>
            <w:tcBorders>
              <w:top w:val="single" w:sz="4" w:space="0" w:color="auto"/>
              <w:bottom w:val="nil"/>
            </w:tcBorders>
            <w:vAlign w:val="center"/>
          </w:tcPr>
          <w:p w14:paraId="6E0CB94B" w14:textId="77777777" w:rsidR="00271E37" w:rsidRPr="0089054C" w:rsidRDefault="00271E37">
            <w:pPr>
              <w:rPr>
                <w:b/>
                <w:bCs/>
              </w:rPr>
            </w:pPr>
            <w:r w:rsidRPr="001E7EDF" w:rsidDel="00365665">
              <w:rPr>
                <w:rFonts w:cs="Arial"/>
                <w:b/>
                <w:szCs w:val="16"/>
              </w:rPr>
              <w:t xml:space="preserve">14,326 </w:t>
            </w:r>
          </w:p>
        </w:tc>
        <w:tc>
          <w:tcPr>
            <w:tcW w:w="1134" w:type="dxa"/>
            <w:tcBorders>
              <w:top w:val="single" w:sz="4" w:space="0" w:color="auto"/>
              <w:bottom w:val="nil"/>
            </w:tcBorders>
            <w:vAlign w:val="center"/>
          </w:tcPr>
          <w:p w14:paraId="792D5513" w14:textId="77777777" w:rsidR="00271E37" w:rsidRPr="0089054C" w:rsidRDefault="00271E37">
            <w:pPr>
              <w:rPr>
                <w:b/>
                <w:bCs/>
              </w:rPr>
            </w:pPr>
            <w:r w:rsidRPr="001E7EDF" w:rsidDel="00365665">
              <w:rPr>
                <w:rFonts w:cs="Arial"/>
                <w:b/>
                <w:szCs w:val="16"/>
              </w:rPr>
              <w:t xml:space="preserve">8,703 </w:t>
            </w:r>
          </w:p>
        </w:tc>
        <w:tc>
          <w:tcPr>
            <w:tcW w:w="1134" w:type="dxa"/>
            <w:tcBorders>
              <w:top w:val="single" w:sz="4" w:space="0" w:color="auto"/>
              <w:bottom w:val="nil"/>
            </w:tcBorders>
            <w:vAlign w:val="center"/>
          </w:tcPr>
          <w:p w14:paraId="5B25AA38" w14:textId="77777777" w:rsidR="00271E37" w:rsidRPr="0089054C" w:rsidRDefault="00271E37">
            <w:pPr>
              <w:rPr>
                <w:b/>
                <w:bCs/>
              </w:rPr>
            </w:pPr>
            <w:r w:rsidRPr="001E7EDF" w:rsidDel="00365665">
              <w:rPr>
                <w:rFonts w:cs="Arial"/>
                <w:b/>
                <w:szCs w:val="16"/>
              </w:rPr>
              <w:t xml:space="preserve">4,661 </w:t>
            </w:r>
          </w:p>
        </w:tc>
        <w:tc>
          <w:tcPr>
            <w:tcW w:w="1134" w:type="dxa"/>
            <w:tcBorders>
              <w:top w:val="single" w:sz="4" w:space="0" w:color="auto"/>
              <w:bottom w:val="nil"/>
            </w:tcBorders>
            <w:vAlign w:val="center"/>
          </w:tcPr>
          <w:p w14:paraId="4F000AF9" w14:textId="77777777" w:rsidR="00271E37" w:rsidRPr="0089054C" w:rsidRDefault="00271E37">
            <w:pPr>
              <w:rPr>
                <w:b/>
                <w:bCs/>
              </w:rPr>
            </w:pPr>
            <w:r w:rsidRPr="001E7EDF">
              <w:rPr>
                <w:rFonts w:cs="Arial"/>
                <w:b/>
                <w:szCs w:val="16"/>
              </w:rPr>
              <w:t xml:space="preserve">54,678 </w:t>
            </w:r>
          </w:p>
        </w:tc>
      </w:tr>
      <w:tr w:rsidR="00271E37" w:rsidRPr="00222108" w14:paraId="09225816" w14:textId="77777777">
        <w:tc>
          <w:tcPr>
            <w:tcW w:w="2835" w:type="dxa"/>
            <w:tcBorders>
              <w:top w:val="nil"/>
            </w:tcBorders>
          </w:tcPr>
          <w:p w14:paraId="72A3F507" w14:textId="77777777" w:rsidR="00271E37" w:rsidRPr="00222108" w:rsidRDefault="00271E37">
            <w:pPr>
              <w:jc w:val="left"/>
            </w:pPr>
            <w:r w:rsidRPr="00222108">
              <w:t>Trade receivables</w:t>
            </w:r>
          </w:p>
        </w:tc>
        <w:tc>
          <w:tcPr>
            <w:tcW w:w="1134" w:type="dxa"/>
            <w:tcBorders>
              <w:top w:val="nil"/>
            </w:tcBorders>
          </w:tcPr>
          <w:p w14:paraId="16FC11B8" w14:textId="77777777" w:rsidR="00271E37" w:rsidRPr="00222108" w:rsidRDefault="00271E37">
            <w:r w:rsidRPr="00222108">
              <w:t>13</w:t>
            </w:r>
          </w:p>
        </w:tc>
        <w:tc>
          <w:tcPr>
            <w:tcW w:w="1134" w:type="dxa"/>
            <w:tcBorders>
              <w:top w:val="nil"/>
            </w:tcBorders>
            <w:vAlign w:val="center"/>
          </w:tcPr>
          <w:p w14:paraId="5F408334" w14:textId="77777777" w:rsidR="00271E37" w:rsidRPr="0089054C" w:rsidRDefault="00271E37">
            <w:pPr>
              <w:rPr>
                <w:b/>
                <w:bCs/>
              </w:rPr>
            </w:pPr>
            <w:r w:rsidRPr="001E7EDF" w:rsidDel="00365665">
              <w:rPr>
                <w:rFonts w:cs="Arial"/>
                <w:b/>
                <w:szCs w:val="16"/>
              </w:rPr>
              <w:t xml:space="preserve">6,524 </w:t>
            </w:r>
          </w:p>
        </w:tc>
        <w:tc>
          <w:tcPr>
            <w:tcW w:w="1134" w:type="dxa"/>
            <w:tcBorders>
              <w:top w:val="nil"/>
            </w:tcBorders>
            <w:vAlign w:val="center"/>
          </w:tcPr>
          <w:p w14:paraId="48F6470B" w14:textId="77777777" w:rsidR="00271E37" w:rsidRPr="0089054C" w:rsidRDefault="00271E37">
            <w:pPr>
              <w:rPr>
                <w:b/>
                <w:bCs/>
              </w:rPr>
            </w:pPr>
            <w:r w:rsidRPr="001E7EDF" w:rsidDel="00365665">
              <w:rPr>
                <w:rFonts w:cs="Arial"/>
                <w:b/>
                <w:szCs w:val="16"/>
              </w:rPr>
              <w:t xml:space="preserve">10,183 </w:t>
            </w:r>
          </w:p>
        </w:tc>
        <w:tc>
          <w:tcPr>
            <w:tcW w:w="1134" w:type="dxa"/>
            <w:tcBorders>
              <w:top w:val="nil"/>
            </w:tcBorders>
            <w:vAlign w:val="center"/>
          </w:tcPr>
          <w:p w14:paraId="2B105314" w14:textId="77777777" w:rsidR="00271E37" w:rsidRPr="0089054C" w:rsidRDefault="00271E37">
            <w:pPr>
              <w:rPr>
                <w:b/>
                <w:bCs/>
              </w:rPr>
            </w:pPr>
            <w:r w:rsidRPr="001E7EDF" w:rsidDel="00365665">
              <w:rPr>
                <w:rFonts w:cs="Arial"/>
                <w:b/>
                <w:szCs w:val="16"/>
              </w:rPr>
              <w:t xml:space="preserve">1,329 </w:t>
            </w:r>
          </w:p>
        </w:tc>
        <w:tc>
          <w:tcPr>
            <w:tcW w:w="1134" w:type="dxa"/>
            <w:tcBorders>
              <w:top w:val="nil"/>
            </w:tcBorders>
            <w:vAlign w:val="center"/>
          </w:tcPr>
          <w:p w14:paraId="2C4FF731" w14:textId="77777777" w:rsidR="00271E37" w:rsidRPr="0089054C" w:rsidRDefault="00271E37">
            <w:pPr>
              <w:rPr>
                <w:b/>
                <w:bCs/>
              </w:rPr>
            </w:pPr>
            <w:r w:rsidRPr="001E7EDF" w:rsidDel="00365665">
              <w:rPr>
                <w:rFonts w:cs="Arial"/>
                <w:b/>
                <w:szCs w:val="16"/>
              </w:rPr>
              <w:t xml:space="preserve">2,877 </w:t>
            </w:r>
          </w:p>
        </w:tc>
        <w:tc>
          <w:tcPr>
            <w:tcW w:w="1134" w:type="dxa"/>
            <w:tcBorders>
              <w:top w:val="nil"/>
            </w:tcBorders>
            <w:vAlign w:val="center"/>
          </w:tcPr>
          <w:p w14:paraId="12CACCE0" w14:textId="77777777" w:rsidR="00271E37" w:rsidRPr="0089054C" w:rsidRDefault="00271E37">
            <w:pPr>
              <w:rPr>
                <w:b/>
                <w:bCs/>
              </w:rPr>
            </w:pPr>
            <w:r w:rsidRPr="001E7EDF">
              <w:rPr>
                <w:rFonts w:cs="Arial"/>
                <w:b/>
                <w:szCs w:val="16"/>
              </w:rPr>
              <w:t xml:space="preserve">20,913 </w:t>
            </w:r>
          </w:p>
        </w:tc>
      </w:tr>
      <w:tr w:rsidR="00271E37" w:rsidRPr="00222108" w14:paraId="123AC56F" w14:textId="77777777">
        <w:tc>
          <w:tcPr>
            <w:tcW w:w="2835" w:type="dxa"/>
          </w:tcPr>
          <w:p w14:paraId="059A0C01" w14:textId="77777777" w:rsidR="00271E37" w:rsidRPr="00222108" w:rsidRDefault="00271E37">
            <w:pPr>
              <w:jc w:val="left"/>
            </w:pPr>
            <w:r w:rsidRPr="00222108">
              <w:t>Derivative financial assets</w:t>
            </w:r>
          </w:p>
        </w:tc>
        <w:tc>
          <w:tcPr>
            <w:tcW w:w="1134" w:type="dxa"/>
          </w:tcPr>
          <w:p w14:paraId="01CB24D6" w14:textId="77777777" w:rsidR="00271E37" w:rsidRPr="00222108" w:rsidRDefault="00271E37"/>
        </w:tc>
        <w:tc>
          <w:tcPr>
            <w:tcW w:w="1134" w:type="dxa"/>
            <w:vAlign w:val="center"/>
          </w:tcPr>
          <w:p w14:paraId="6950C822" w14:textId="6609DC48" w:rsidR="00271E37" w:rsidRPr="0089054C" w:rsidRDefault="00271E37">
            <w:pPr>
              <w:rPr>
                <w:b/>
                <w:bCs/>
              </w:rPr>
            </w:pPr>
            <w:r w:rsidRPr="001E7EDF" w:rsidDel="00365665">
              <w:rPr>
                <w:rFonts w:cs="Arial"/>
                <w:b/>
                <w:szCs w:val="16"/>
              </w:rPr>
              <w:t>2</w:t>
            </w:r>
            <w:r w:rsidR="00881E2C">
              <w:rPr>
                <w:rFonts w:cs="Arial"/>
                <w:b/>
                <w:szCs w:val="16"/>
              </w:rPr>
              <w:t>43</w:t>
            </w:r>
            <w:r w:rsidRPr="001E7EDF" w:rsidDel="00365665">
              <w:rPr>
                <w:rFonts w:cs="Arial"/>
                <w:b/>
                <w:szCs w:val="16"/>
              </w:rPr>
              <w:t xml:space="preserve"> </w:t>
            </w:r>
          </w:p>
        </w:tc>
        <w:tc>
          <w:tcPr>
            <w:tcW w:w="1134" w:type="dxa"/>
            <w:vAlign w:val="center"/>
          </w:tcPr>
          <w:p w14:paraId="5B1AA881"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28BF39C7"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4B1843C2" w14:textId="77777777" w:rsidR="00271E37" w:rsidRPr="0089054C" w:rsidRDefault="00271E37">
            <w:pPr>
              <w:rPr>
                <w:b/>
                <w:bCs/>
              </w:rPr>
            </w:pPr>
            <w:r w:rsidRPr="001E7EDF">
              <w:rPr>
                <w:rFonts w:cs="Arial"/>
                <w:b/>
                <w:szCs w:val="16"/>
              </w:rPr>
              <w:t xml:space="preserve"> - </w:t>
            </w:r>
          </w:p>
        </w:tc>
        <w:tc>
          <w:tcPr>
            <w:tcW w:w="1134" w:type="dxa"/>
            <w:vAlign w:val="center"/>
          </w:tcPr>
          <w:p w14:paraId="7CEC59B7" w14:textId="7EDCF307" w:rsidR="00271E37" w:rsidRPr="0089054C" w:rsidRDefault="00271E37">
            <w:pPr>
              <w:rPr>
                <w:b/>
                <w:bCs/>
              </w:rPr>
            </w:pPr>
            <w:r w:rsidRPr="001E7EDF">
              <w:rPr>
                <w:rFonts w:cs="Arial"/>
                <w:b/>
                <w:szCs w:val="16"/>
              </w:rPr>
              <w:t>2</w:t>
            </w:r>
            <w:r w:rsidR="00AA1069">
              <w:rPr>
                <w:rFonts w:cs="Arial"/>
                <w:b/>
                <w:szCs w:val="16"/>
              </w:rPr>
              <w:t>4</w:t>
            </w:r>
            <w:r w:rsidR="007F19EE">
              <w:rPr>
                <w:rFonts w:cs="Arial"/>
                <w:b/>
                <w:szCs w:val="16"/>
              </w:rPr>
              <w:t>3</w:t>
            </w:r>
            <w:r w:rsidRPr="001E7EDF">
              <w:rPr>
                <w:rFonts w:cs="Arial"/>
                <w:b/>
                <w:szCs w:val="16"/>
              </w:rPr>
              <w:t xml:space="preserve"> </w:t>
            </w:r>
          </w:p>
        </w:tc>
      </w:tr>
      <w:tr w:rsidR="00271E37" w:rsidRPr="00222108" w14:paraId="51879E19" w14:textId="77777777">
        <w:tc>
          <w:tcPr>
            <w:tcW w:w="2835" w:type="dxa"/>
          </w:tcPr>
          <w:p w14:paraId="73B4E1DA" w14:textId="77777777" w:rsidR="00271E37" w:rsidRPr="00222108" w:rsidRDefault="00271E37">
            <w:pPr>
              <w:jc w:val="left"/>
            </w:pPr>
            <w:r w:rsidRPr="00222108">
              <w:t>Bank overdrafts</w:t>
            </w:r>
          </w:p>
        </w:tc>
        <w:tc>
          <w:tcPr>
            <w:tcW w:w="1134" w:type="dxa"/>
          </w:tcPr>
          <w:p w14:paraId="7D4960AD" w14:textId="77777777" w:rsidR="00271E37" w:rsidRPr="00222108" w:rsidRDefault="00271E37">
            <w:r w:rsidRPr="00222108">
              <w:t>14</w:t>
            </w:r>
          </w:p>
        </w:tc>
        <w:tc>
          <w:tcPr>
            <w:tcW w:w="1134" w:type="dxa"/>
            <w:vAlign w:val="center"/>
          </w:tcPr>
          <w:p w14:paraId="030ED00D"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6A50384B" w14:textId="77777777" w:rsidR="00271E37" w:rsidRPr="0089054C" w:rsidRDefault="00271E37">
            <w:pPr>
              <w:rPr>
                <w:b/>
                <w:bCs/>
              </w:rPr>
            </w:pPr>
            <w:r w:rsidRPr="001E7EDF" w:rsidDel="00365665">
              <w:rPr>
                <w:rFonts w:cs="Arial"/>
                <w:b/>
                <w:szCs w:val="16"/>
              </w:rPr>
              <w:t>(481)</w:t>
            </w:r>
          </w:p>
        </w:tc>
        <w:tc>
          <w:tcPr>
            <w:tcW w:w="1134" w:type="dxa"/>
            <w:vAlign w:val="center"/>
          </w:tcPr>
          <w:p w14:paraId="228C9095"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05936DDD"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03EA6093" w14:textId="77777777" w:rsidR="00271E37" w:rsidRPr="0089054C" w:rsidRDefault="00271E37">
            <w:pPr>
              <w:rPr>
                <w:b/>
                <w:bCs/>
              </w:rPr>
            </w:pPr>
            <w:r w:rsidRPr="001E7EDF">
              <w:rPr>
                <w:rFonts w:cs="Arial"/>
                <w:b/>
                <w:szCs w:val="16"/>
              </w:rPr>
              <w:t>(481)</w:t>
            </w:r>
          </w:p>
        </w:tc>
      </w:tr>
      <w:tr w:rsidR="00271E37" w:rsidRPr="00222108" w14:paraId="54785479" w14:textId="77777777">
        <w:tc>
          <w:tcPr>
            <w:tcW w:w="2835" w:type="dxa"/>
          </w:tcPr>
          <w:p w14:paraId="5AC915D9" w14:textId="77777777" w:rsidR="00271E37" w:rsidRPr="00222108" w:rsidRDefault="00271E37">
            <w:pPr>
              <w:jc w:val="left"/>
            </w:pPr>
            <w:r w:rsidRPr="00222108">
              <w:t>Loan arrangement fees</w:t>
            </w:r>
          </w:p>
        </w:tc>
        <w:tc>
          <w:tcPr>
            <w:tcW w:w="1134" w:type="dxa"/>
          </w:tcPr>
          <w:p w14:paraId="6F580DD4" w14:textId="77777777" w:rsidR="00271E37" w:rsidRPr="00222108" w:rsidRDefault="00271E37">
            <w:r w:rsidRPr="00222108">
              <w:t>15</w:t>
            </w:r>
          </w:p>
        </w:tc>
        <w:tc>
          <w:tcPr>
            <w:tcW w:w="1134" w:type="dxa"/>
            <w:vAlign w:val="center"/>
          </w:tcPr>
          <w:p w14:paraId="201782B7" w14:textId="77777777" w:rsidR="00271E37" w:rsidRPr="0089054C" w:rsidRDefault="00271E37">
            <w:pPr>
              <w:rPr>
                <w:b/>
                <w:bCs/>
              </w:rPr>
            </w:pPr>
            <w:r w:rsidRPr="001E7EDF" w:rsidDel="00365665">
              <w:rPr>
                <w:rFonts w:cs="Arial"/>
                <w:b/>
                <w:szCs w:val="16"/>
              </w:rPr>
              <w:t xml:space="preserve">420 </w:t>
            </w:r>
          </w:p>
        </w:tc>
        <w:tc>
          <w:tcPr>
            <w:tcW w:w="1134" w:type="dxa"/>
            <w:vAlign w:val="center"/>
          </w:tcPr>
          <w:p w14:paraId="40FE7455"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7CC1B026"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2D8FA8C1" w14:textId="77777777" w:rsidR="00271E37" w:rsidRPr="0089054C" w:rsidRDefault="00271E37">
            <w:pPr>
              <w:rPr>
                <w:b/>
                <w:bCs/>
              </w:rPr>
            </w:pPr>
            <w:r w:rsidRPr="001E7EDF" w:rsidDel="00365665">
              <w:rPr>
                <w:rFonts w:cs="Arial"/>
                <w:b/>
                <w:szCs w:val="16"/>
              </w:rPr>
              <w:t xml:space="preserve"> - </w:t>
            </w:r>
          </w:p>
        </w:tc>
        <w:tc>
          <w:tcPr>
            <w:tcW w:w="1134" w:type="dxa"/>
            <w:vAlign w:val="center"/>
          </w:tcPr>
          <w:p w14:paraId="7B49ACD5" w14:textId="77777777" w:rsidR="00271E37" w:rsidRPr="0089054C" w:rsidRDefault="00271E37">
            <w:pPr>
              <w:rPr>
                <w:b/>
                <w:bCs/>
              </w:rPr>
            </w:pPr>
            <w:r w:rsidRPr="001E7EDF">
              <w:rPr>
                <w:rFonts w:cs="Arial"/>
                <w:b/>
                <w:szCs w:val="16"/>
              </w:rPr>
              <w:t xml:space="preserve">420 </w:t>
            </w:r>
          </w:p>
        </w:tc>
      </w:tr>
      <w:tr w:rsidR="00271E37" w:rsidRPr="00222108" w14:paraId="6E6DBAAF" w14:textId="77777777">
        <w:tc>
          <w:tcPr>
            <w:tcW w:w="2835" w:type="dxa"/>
            <w:tcBorders>
              <w:bottom w:val="nil"/>
            </w:tcBorders>
          </w:tcPr>
          <w:p w14:paraId="274D91C8" w14:textId="77777777" w:rsidR="00271E37" w:rsidRPr="00222108" w:rsidRDefault="00271E37">
            <w:pPr>
              <w:jc w:val="left"/>
            </w:pPr>
            <w:r w:rsidRPr="00222108">
              <w:t>Trade payables</w:t>
            </w:r>
          </w:p>
        </w:tc>
        <w:tc>
          <w:tcPr>
            <w:tcW w:w="1134" w:type="dxa"/>
            <w:tcBorders>
              <w:bottom w:val="nil"/>
            </w:tcBorders>
          </w:tcPr>
          <w:p w14:paraId="65DE67BE" w14:textId="77777777" w:rsidR="00271E37" w:rsidRPr="00222108" w:rsidRDefault="00271E37">
            <w:r w:rsidRPr="00222108">
              <w:t>19</w:t>
            </w:r>
          </w:p>
        </w:tc>
        <w:tc>
          <w:tcPr>
            <w:tcW w:w="1134" w:type="dxa"/>
            <w:tcBorders>
              <w:bottom w:val="nil"/>
            </w:tcBorders>
            <w:vAlign w:val="center"/>
          </w:tcPr>
          <w:p w14:paraId="203EC5CF" w14:textId="77777777" w:rsidR="00271E37" w:rsidRPr="0089054C" w:rsidRDefault="00271E37">
            <w:pPr>
              <w:rPr>
                <w:b/>
                <w:bCs/>
              </w:rPr>
            </w:pPr>
            <w:r w:rsidRPr="001E7EDF" w:rsidDel="00365665">
              <w:rPr>
                <w:rFonts w:cs="Arial"/>
                <w:b/>
                <w:szCs w:val="16"/>
              </w:rPr>
              <w:t>(9,285)</w:t>
            </w:r>
          </w:p>
        </w:tc>
        <w:tc>
          <w:tcPr>
            <w:tcW w:w="1134" w:type="dxa"/>
            <w:tcBorders>
              <w:bottom w:val="nil"/>
            </w:tcBorders>
            <w:vAlign w:val="center"/>
          </w:tcPr>
          <w:p w14:paraId="23374B40" w14:textId="77777777" w:rsidR="00271E37" w:rsidRPr="0089054C" w:rsidRDefault="00271E37">
            <w:pPr>
              <w:rPr>
                <w:b/>
                <w:bCs/>
              </w:rPr>
            </w:pPr>
            <w:r w:rsidRPr="001E7EDF" w:rsidDel="00365665">
              <w:rPr>
                <w:rFonts w:cs="Arial"/>
                <w:b/>
                <w:szCs w:val="16"/>
              </w:rPr>
              <w:t>(6,897)</w:t>
            </w:r>
          </w:p>
        </w:tc>
        <w:tc>
          <w:tcPr>
            <w:tcW w:w="1134" w:type="dxa"/>
            <w:tcBorders>
              <w:bottom w:val="nil"/>
            </w:tcBorders>
            <w:vAlign w:val="center"/>
          </w:tcPr>
          <w:p w14:paraId="1B4EA0CE" w14:textId="77777777" w:rsidR="00271E37" w:rsidRPr="0089054C" w:rsidRDefault="00271E37">
            <w:pPr>
              <w:rPr>
                <w:b/>
                <w:bCs/>
              </w:rPr>
            </w:pPr>
            <w:r w:rsidRPr="001E7EDF" w:rsidDel="00365665">
              <w:rPr>
                <w:rFonts w:cs="Arial"/>
                <w:b/>
                <w:szCs w:val="16"/>
              </w:rPr>
              <w:t>(6,006)</w:t>
            </w:r>
          </w:p>
        </w:tc>
        <w:tc>
          <w:tcPr>
            <w:tcW w:w="1134" w:type="dxa"/>
            <w:tcBorders>
              <w:bottom w:val="nil"/>
            </w:tcBorders>
            <w:vAlign w:val="center"/>
          </w:tcPr>
          <w:p w14:paraId="327BCE69" w14:textId="77777777" w:rsidR="00271E37" w:rsidRPr="0089054C" w:rsidRDefault="00271E37">
            <w:pPr>
              <w:rPr>
                <w:b/>
                <w:bCs/>
              </w:rPr>
            </w:pPr>
            <w:r w:rsidRPr="001E7EDF" w:rsidDel="00365665">
              <w:rPr>
                <w:rFonts w:cs="Arial"/>
                <w:b/>
                <w:szCs w:val="16"/>
              </w:rPr>
              <w:t>(726)</w:t>
            </w:r>
          </w:p>
        </w:tc>
        <w:tc>
          <w:tcPr>
            <w:tcW w:w="1134" w:type="dxa"/>
            <w:tcBorders>
              <w:bottom w:val="nil"/>
            </w:tcBorders>
            <w:vAlign w:val="center"/>
          </w:tcPr>
          <w:p w14:paraId="52AA683C" w14:textId="77777777" w:rsidR="00271E37" w:rsidRPr="0089054C" w:rsidRDefault="00271E37">
            <w:pPr>
              <w:rPr>
                <w:b/>
                <w:bCs/>
              </w:rPr>
            </w:pPr>
            <w:r w:rsidRPr="001E7EDF">
              <w:rPr>
                <w:rFonts w:cs="Arial"/>
                <w:b/>
                <w:szCs w:val="16"/>
              </w:rPr>
              <w:t>(22,914</w:t>
            </w:r>
            <w:r w:rsidRPr="001E7EDF" w:rsidDel="00365665">
              <w:rPr>
                <w:rFonts w:cs="Arial"/>
                <w:b/>
                <w:szCs w:val="16"/>
              </w:rPr>
              <w:t>)</w:t>
            </w:r>
          </w:p>
        </w:tc>
      </w:tr>
      <w:tr w:rsidR="00271E37" w:rsidRPr="00222108" w14:paraId="4D650EA9" w14:textId="77777777">
        <w:tc>
          <w:tcPr>
            <w:tcW w:w="2835" w:type="dxa"/>
            <w:tcBorders>
              <w:bottom w:val="single" w:sz="4" w:space="0" w:color="auto"/>
            </w:tcBorders>
          </w:tcPr>
          <w:p w14:paraId="029FB334" w14:textId="77777777" w:rsidR="00271E37" w:rsidRPr="00222108" w:rsidRDefault="00271E37">
            <w:pPr>
              <w:jc w:val="left"/>
            </w:pPr>
            <w:r w:rsidRPr="00222108">
              <w:t>Other payables</w:t>
            </w:r>
          </w:p>
        </w:tc>
        <w:tc>
          <w:tcPr>
            <w:tcW w:w="1134" w:type="dxa"/>
            <w:tcBorders>
              <w:bottom w:val="single" w:sz="4" w:space="0" w:color="auto"/>
            </w:tcBorders>
          </w:tcPr>
          <w:p w14:paraId="43AA8D75" w14:textId="77777777" w:rsidR="00271E37" w:rsidRPr="00222108" w:rsidRDefault="00271E37">
            <w:r w:rsidRPr="00222108">
              <w:t>19</w:t>
            </w:r>
          </w:p>
        </w:tc>
        <w:tc>
          <w:tcPr>
            <w:tcW w:w="1134" w:type="dxa"/>
            <w:tcBorders>
              <w:bottom w:val="single" w:sz="4" w:space="0" w:color="auto"/>
            </w:tcBorders>
            <w:vAlign w:val="center"/>
          </w:tcPr>
          <w:p w14:paraId="0101AADC" w14:textId="6EAC7BCD" w:rsidR="00271E37" w:rsidRPr="0089054C" w:rsidRDefault="00271E37">
            <w:pPr>
              <w:rPr>
                <w:b/>
                <w:bCs/>
              </w:rPr>
            </w:pPr>
            <w:r w:rsidRPr="001E7EDF">
              <w:rPr>
                <w:rFonts w:cs="Arial"/>
                <w:b/>
                <w:szCs w:val="16"/>
              </w:rPr>
              <w:t>(</w:t>
            </w:r>
            <w:r w:rsidR="00663866">
              <w:rPr>
                <w:rFonts w:cs="Arial"/>
                <w:b/>
                <w:szCs w:val="16"/>
              </w:rPr>
              <w:t>504</w:t>
            </w:r>
            <w:r w:rsidRPr="001E7EDF" w:rsidDel="00365665">
              <w:rPr>
                <w:rFonts w:cs="Arial"/>
                <w:b/>
                <w:szCs w:val="16"/>
              </w:rPr>
              <w:t>)</w:t>
            </w:r>
          </w:p>
        </w:tc>
        <w:tc>
          <w:tcPr>
            <w:tcW w:w="1134" w:type="dxa"/>
            <w:tcBorders>
              <w:bottom w:val="single" w:sz="4" w:space="0" w:color="auto"/>
            </w:tcBorders>
            <w:vAlign w:val="center"/>
          </w:tcPr>
          <w:p w14:paraId="38046CE0" w14:textId="6A1652B1" w:rsidR="00271E37" w:rsidRPr="0089054C" w:rsidRDefault="00271E37">
            <w:pPr>
              <w:rPr>
                <w:b/>
                <w:bCs/>
              </w:rPr>
            </w:pPr>
            <w:r w:rsidRPr="001E7EDF">
              <w:rPr>
                <w:rFonts w:cs="Arial"/>
                <w:b/>
                <w:szCs w:val="16"/>
              </w:rPr>
              <w:t>(</w:t>
            </w:r>
            <w:r w:rsidR="00663866">
              <w:rPr>
                <w:rFonts w:cs="Arial"/>
                <w:b/>
                <w:szCs w:val="16"/>
              </w:rPr>
              <w:t>334</w:t>
            </w:r>
            <w:r w:rsidRPr="001E7EDF">
              <w:rPr>
                <w:rFonts w:cs="Arial"/>
                <w:b/>
                <w:szCs w:val="16"/>
              </w:rPr>
              <w:t>)</w:t>
            </w:r>
          </w:p>
        </w:tc>
        <w:tc>
          <w:tcPr>
            <w:tcW w:w="1134" w:type="dxa"/>
            <w:tcBorders>
              <w:bottom w:val="single" w:sz="4" w:space="0" w:color="auto"/>
            </w:tcBorders>
            <w:vAlign w:val="center"/>
          </w:tcPr>
          <w:p w14:paraId="1CD194A3" w14:textId="77777777" w:rsidR="00271E37" w:rsidRPr="0089054C" w:rsidRDefault="00271E37">
            <w:pPr>
              <w:rPr>
                <w:b/>
                <w:bCs/>
              </w:rPr>
            </w:pPr>
            <w:r w:rsidRPr="001E7EDF" w:rsidDel="00365665">
              <w:rPr>
                <w:rFonts w:cs="Arial"/>
                <w:b/>
                <w:szCs w:val="16"/>
              </w:rPr>
              <w:t xml:space="preserve"> - </w:t>
            </w:r>
          </w:p>
        </w:tc>
        <w:tc>
          <w:tcPr>
            <w:tcW w:w="1134" w:type="dxa"/>
            <w:tcBorders>
              <w:bottom w:val="single" w:sz="4" w:space="0" w:color="auto"/>
            </w:tcBorders>
            <w:vAlign w:val="center"/>
          </w:tcPr>
          <w:p w14:paraId="2F3FE631" w14:textId="756F4DCD" w:rsidR="00271E37" w:rsidRPr="0089054C" w:rsidRDefault="00271E37">
            <w:pPr>
              <w:rPr>
                <w:b/>
                <w:bCs/>
              </w:rPr>
            </w:pPr>
            <w:r w:rsidRPr="001E7EDF">
              <w:rPr>
                <w:rFonts w:cs="Arial"/>
                <w:b/>
                <w:szCs w:val="16"/>
              </w:rPr>
              <w:t>(</w:t>
            </w:r>
            <w:r w:rsidR="00663866">
              <w:rPr>
                <w:rFonts w:cs="Arial"/>
                <w:b/>
                <w:szCs w:val="16"/>
              </w:rPr>
              <w:t>202</w:t>
            </w:r>
            <w:r w:rsidRPr="001E7EDF">
              <w:rPr>
                <w:rFonts w:cs="Arial"/>
                <w:b/>
                <w:szCs w:val="16"/>
              </w:rPr>
              <w:t>)</w:t>
            </w:r>
          </w:p>
        </w:tc>
        <w:tc>
          <w:tcPr>
            <w:tcW w:w="1134" w:type="dxa"/>
            <w:tcBorders>
              <w:bottom w:val="single" w:sz="4" w:space="0" w:color="auto"/>
            </w:tcBorders>
            <w:vAlign w:val="center"/>
          </w:tcPr>
          <w:p w14:paraId="416EA963" w14:textId="4A08BB31" w:rsidR="00271E37" w:rsidRPr="0089054C" w:rsidRDefault="00271E37">
            <w:pPr>
              <w:rPr>
                <w:b/>
                <w:bCs/>
              </w:rPr>
            </w:pPr>
            <w:r w:rsidRPr="001E7EDF">
              <w:rPr>
                <w:rFonts w:cs="Arial"/>
                <w:b/>
                <w:szCs w:val="16"/>
              </w:rPr>
              <w:t>(</w:t>
            </w:r>
            <w:r w:rsidR="00663866">
              <w:rPr>
                <w:rFonts w:cs="Arial"/>
                <w:b/>
                <w:szCs w:val="16"/>
              </w:rPr>
              <w:t>1,040</w:t>
            </w:r>
            <w:r w:rsidRPr="001E7EDF">
              <w:rPr>
                <w:rFonts w:cs="Arial"/>
                <w:b/>
                <w:szCs w:val="16"/>
              </w:rPr>
              <w:t>)</w:t>
            </w:r>
          </w:p>
        </w:tc>
      </w:tr>
      <w:tr w:rsidR="00271E37" w:rsidRPr="00222108" w14:paraId="5148C8C2" w14:textId="77777777">
        <w:tc>
          <w:tcPr>
            <w:tcW w:w="2835" w:type="dxa"/>
            <w:tcBorders>
              <w:top w:val="single" w:sz="4" w:space="0" w:color="auto"/>
              <w:bottom w:val="single" w:sz="4" w:space="0" w:color="auto"/>
            </w:tcBorders>
          </w:tcPr>
          <w:p w14:paraId="38F03F1D" w14:textId="77777777" w:rsidR="00271E37" w:rsidRPr="00222108" w:rsidRDefault="00271E37">
            <w:pPr>
              <w:jc w:val="left"/>
              <w:rPr>
                <w:b/>
                <w:bCs/>
              </w:rPr>
            </w:pPr>
            <w:r w:rsidRPr="00222108">
              <w:rPr>
                <w:b/>
                <w:bCs/>
              </w:rPr>
              <w:t>Balance sheet exposure</w:t>
            </w:r>
          </w:p>
        </w:tc>
        <w:tc>
          <w:tcPr>
            <w:tcW w:w="1134" w:type="dxa"/>
            <w:tcBorders>
              <w:top w:val="single" w:sz="4" w:space="0" w:color="auto"/>
              <w:bottom w:val="single" w:sz="4" w:space="0" w:color="auto"/>
            </w:tcBorders>
          </w:tcPr>
          <w:p w14:paraId="73B20D94" w14:textId="77777777" w:rsidR="00271E37" w:rsidRPr="00222108" w:rsidRDefault="00271E37"/>
        </w:tc>
        <w:tc>
          <w:tcPr>
            <w:tcW w:w="1134" w:type="dxa"/>
            <w:tcBorders>
              <w:top w:val="single" w:sz="4" w:space="0" w:color="auto"/>
              <w:bottom w:val="single" w:sz="4" w:space="0" w:color="auto"/>
            </w:tcBorders>
            <w:vAlign w:val="center"/>
          </w:tcPr>
          <w:p w14:paraId="10BFE300" w14:textId="4C021B3F" w:rsidR="00271E37" w:rsidRPr="0089054C" w:rsidRDefault="00271E37">
            <w:pPr>
              <w:rPr>
                <w:b/>
                <w:bCs/>
              </w:rPr>
            </w:pPr>
            <w:r w:rsidRPr="001E7EDF">
              <w:rPr>
                <w:rFonts w:cs="Arial"/>
                <w:b/>
                <w:szCs w:val="16"/>
              </w:rPr>
              <w:t>24,</w:t>
            </w:r>
            <w:r w:rsidR="00EF6F62">
              <w:rPr>
                <w:rFonts w:cs="Arial"/>
                <w:b/>
                <w:szCs w:val="16"/>
              </w:rPr>
              <w:t>386</w:t>
            </w:r>
            <w:r w:rsidRPr="001E7EDF">
              <w:rPr>
                <w:rFonts w:cs="Arial"/>
                <w:b/>
                <w:szCs w:val="16"/>
              </w:rPr>
              <w:t xml:space="preserve"> </w:t>
            </w:r>
          </w:p>
        </w:tc>
        <w:tc>
          <w:tcPr>
            <w:tcW w:w="1134" w:type="dxa"/>
            <w:tcBorders>
              <w:top w:val="single" w:sz="4" w:space="0" w:color="auto"/>
              <w:bottom w:val="single" w:sz="4" w:space="0" w:color="auto"/>
            </w:tcBorders>
            <w:vAlign w:val="center"/>
          </w:tcPr>
          <w:p w14:paraId="2C7430C5" w14:textId="07DC0E91" w:rsidR="00271E37" w:rsidRPr="0089054C" w:rsidRDefault="00271E37">
            <w:pPr>
              <w:rPr>
                <w:b/>
                <w:bCs/>
              </w:rPr>
            </w:pPr>
            <w:r w:rsidRPr="001E7EDF">
              <w:rPr>
                <w:rFonts w:cs="Arial"/>
                <w:b/>
                <w:szCs w:val="16"/>
              </w:rPr>
              <w:t>16,</w:t>
            </w:r>
            <w:r w:rsidR="00DC428A">
              <w:rPr>
                <w:rFonts w:cs="Arial"/>
                <w:b/>
                <w:szCs w:val="16"/>
              </w:rPr>
              <w:t>797</w:t>
            </w:r>
          </w:p>
        </w:tc>
        <w:tc>
          <w:tcPr>
            <w:tcW w:w="1134" w:type="dxa"/>
            <w:tcBorders>
              <w:top w:val="single" w:sz="4" w:space="0" w:color="auto"/>
              <w:bottom w:val="single" w:sz="4" w:space="0" w:color="auto"/>
            </w:tcBorders>
            <w:vAlign w:val="center"/>
          </w:tcPr>
          <w:p w14:paraId="007FD122" w14:textId="77777777" w:rsidR="00271E37" w:rsidRPr="0089054C" w:rsidRDefault="00271E37">
            <w:pPr>
              <w:rPr>
                <w:b/>
                <w:bCs/>
              </w:rPr>
            </w:pPr>
            <w:r w:rsidRPr="001E7EDF" w:rsidDel="00365665">
              <w:rPr>
                <w:rFonts w:cs="Arial"/>
                <w:b/>
                <w:szCs w:val="16"/>
              </w:rPr>
              <w:t xml:space="preserve">4,026 </w:t>
            </w:r>
          </w:p>
        </w:tc>
        <w:tc>
          <w:tcPr>
            <w:tcW w:w="1134" w:type="dxa"/>
            <w:tcBorders>
              <w:top w:val="single" w:sz="4" w:space="0" w:color="auto"/>
              <w:bottom w:val="single" w:sz="4" w:space="0" w:color="auto"/>
            </w:tcBorders>
            <w:vAlign w:val="center"/>
          </w:tcPr>
          <w:p w14:paraId="4286B77B" w14:textId="20277984" w:rsidR="00271E37" w:rsidRPr="0089054C" w:rsidRDefault="00271E37">
            <w:pPr>
              <w:rPr>
                <w:b/>
                <w:bCs/>
              </w:rPr>
            </w:pPr>
            <w:r w:rsidRPr="001E7EDF">
              <w:rPr>
                <w:rFonts w:cs="Arial"/>
                <w:b/>
                <w:szCs w:val="16"/>
              </w:rPr>
              <w:t>6,</w:t>
            </w:r>
            <w:r w:rsidR="00DC428A">
              <w:rPr>
                <w:rFonts w:cs="Arial"/>
                <w:b/>
                <w:szCs w:val="16"/>
              </w:rPr>
              <w:t>610</w:t>
            </w:r>
            <w:r w:rsidRPr="001E7EDF">
              <w:rPr>
                <w:rFonts w:cs="Arial"/>
                <w:b/>
                <w:szCs w:val="16"/>
              </w:rPr>
              <w:t xml:space="preserve"> </w:t>
            </w:r>
          </w:p>
        </w:tc>
        <w:tc>
          <w:tcPr>
            <w:tcW w:w="1134" w:type="dxa"/>
            <w:tcBorders>
              <w:top w:val="single" w:sz="4" w:space="0" w:color="auto"/>
              <w:bottom w:val="single" w:sz="4" w:space="0" w:color="auto"/>
            </w:tcBorders>
            <w:vAlign w:val="center"/>
          </w:tcPr>
          <w:p w14:paraId="4539B104" w14:textId="72765E05" w:rsidR="00271E37" w:rsidRPr="0089054C" w:rsidRDefault="00271E37">
            <w:pPr>
              <w:rPr>
                <w:b/>
                <w:bCs/>
              </w:rPr>
            </w:pPr>
            <w:r w:rsidRPr="001E7EDF">
              <w:rPr>
                <w:rFonts w:cs="Arial"/>
                <w:b/>
                <w:szCs w:val="16"/>
              </w:rPr>
              <w:t>5</w:t>
            </w:r>
            <w:r w:rsidR="00DC428A">
              <w:rPr>
                <w:rFonts w:cs="Arial"/>
                <w:b/>
                <w:szCs w:val="16"/>
              </w:rPr>
              <w:t>1,819</w:t>
            </w:r>
            <w:r w:rsidRPr="001E7EDF">
              <w:rPr>
                <w:rFonts w:cs="Arial"/>
                <w:b/>
                <w:szCs w:val="16"/>
              </w:rPr>
              <w:t xml:space="preserve"> </w:t>
            </w:r>
          </w:p>
        </w:tc>
      </w:tr>
      <w:bookmarkEnd w:id="56"/>
    </w:tbl>
    <w:p w14:paraId="704AA04D" w14:textId="77777777" w:rsidR="00271E37" w:rsidRDefault="00271E37" w:rsidP="002E39D4"/>
    <w:tbl>
      <w:tblPr>
        <w:tblStyle w:val="tableDUL"/>
        <w:tblW w:w="9639" w:type="dxa"/>
        <w:tblLook w:val="04A0" w:firstRow="1" w:lastRow="0" w:firstColumn="1" w:lastColumn="0" w:noHBand="0" w:noVBand="1"/>
      </w:tblPr>
      <w:tblGrid>
        <w:gridCol w:w="2835"/>
        <w:gridCol w:w="1134"/>
        <w:gridCol w:w="1134"/>
        <w:gridCol w:w="1134"/>
        <w:gridCol w:w="1134"/>
        <w:gridCol w:w="1134"/>
        <w:gridCol w:w="1134"/>
      </w:tblGrid>
      <w:tr w:rsidR="00271E37" w:rsidRPr="00222108" w14:paraId="51DEC63C" w14:textId="77777777" w:rsidTr="00222108">
        <w:tc>
          <w:tcPr>
            <w:tcW w:w="0" w:type="auto"/>
            <w:tcBorders>
              <w:bottom w:val="nil"/>
            </w:tcBorders>
          </w:tcPr>
          <w:p w14:paraId="79F4A467" w14:textId="77777777" w:rsidR="00271E37" w:rsidRPr="00222108" w:rsidRDefault="00271E37" w:rsidP="00222108">
            <w:pPr>
              <w:jc w:val="left"/>
            </w:pPr>
          </w:p>
        </w:tc>
        <w:tc>
          <w:tcPr>
            <w:tcW w:w="1134" w:type="dxa"/>
            <w:tcBorders>
              <w:bottom w:val="nil"/>
            </w:tcBorders>
          </w:tcPr>
          <w:p w14:paraId="3953FC21" w14:textId="77777777" w:rsidR="00271E37" w:rsidRPr="00222108" w:rsidRDefault="00271E37" w:rsidP="000923EA"/>
        </w:tc>
        <w:tc>
          <w:tcPr>
            <w:tcW w:w="1134" w:type="dxa"/>
            <w:tcBorders>
              <w:bottom w:val="nil"/>
            </w:tcBorders>
          </w:tcPr>
          <w:p w14:paraId="65FC4970" w14:textId="4201CB92" w:rsidR="00271E37" w:rsidRPr="00DD777C" w:rsidRDefault="00F922AE" w:rsidP="000923EA">
            <w:r>
              <w:t>Pound s</w:t>
            </w:r>
            <w:r w:rsidR="00271E37" w:rsidRPr="00CD7DF0">
              <w:t>terling</w:t>
            </w:r>
          </w:p>
        </w:tc>
        <w:tc>
          <w:tcPr>
            <w:tcW w:w="1134" w:type="dxa"/>
            <w:tcBorders>
              <w:bottom w:val="nil"/>
            </w:tcBorders>
          </w:tcPr>
          <w:p w14:paraId="1A9A4A85" w14:textId="77777777" w:rsidR="00271E37" w:rsidRPr="00DD777C" w:rsidRDefault="00271E37" w:rsidP="000923EA">
            <w:r w:rsidRPr="00CD7DF0">
              <w:t>Euro</w:t>
            </w:r>
          </w:p>
        </w:tc>
        <w:tc>
          <w:tcPr>
            <w:tcW w:w="1134" w:type="dxa"/>
            <w:tcBorders>
              <w:bottom w:val="nil"/>
            </w:tcBorders>
          </w:tcPr>
          <w:p w14:paraId="2C299B52" w14:textId="77777777" w:rsidR="00271E37" w:rsidRPr="00DD777C" w:rsidRDefault="00271E37" w:rsidP="000923EA">
            <w:r>
              <w:t>US dollar</w:t>
            </w:r>
          </w:p>
        </w:tc>
        <w:tc>
          <w:tcPr>
            <w:tcW w:w="1134" w:type="dxa"/>
            <w:tcBorders>
              <w:bottom w:val="nil"/>
            </w:tcBorders>
          </w:tcPr>
          <w:p w14:paraId="53386BCF" w14:textId="77777777" w:rsidR="00271E37" w:rsidRPr="00DD777C" w:rsidRDefault="00271E37" w:rsidP="000923EA">
            <w:r w:rsidRPr="00DD777C">
              <w:t>Other</w:t>
            </w:r>
          </w:p>
        </w:tc>
        <w:tc>
          <w:tcPr>
            <w:tcW w:w="1134" w:type="dxa"/>
            <w:tcBorders>
              <w:bottom w:val="nil"/>
            </w:tcBorders>
          </w:tcPr>
          <w:p w14:paraId="368CC7EE" w14:textId="77777777" w:rsidR="00271E37" w:rsidRPr="00DD777C" w:rsidRDefault="00271E37" w:rsidP="000923EA">
            <w:r w:rsidRPr="00DD777C">
              <w:t>Total</w:t>
            </w:r>
          </w:p>
        </w:tc>
      </w:tr>
      <w:tr w:rsidR="00271E37" w:rsidRPr="00222108" w14:paraId="51891EB8" w14:textId="77777777" w:rsidTr="00222108">
        <w:tc>
          <w:tcPr>
            <w:tcW w:w="0" w:type="auto"/>
            <w:tcBorders>
              <w:bottom w:val="single" w:sz="4" w:space="0" w:color="auto"/>
            </w:tcBorders>
          </w:tcPr>
          <w:p w14:paraId="6A67BE4A" w14:textId="77777777" w:rsidR="00271E37" w:rsidRPr="00222108" w:rsidRDefault="00271E37" w:rsidP="00222108">
            <w:pPr>
              <w:jc w:val="left"/>
            </w:pPr>
            <w:r w:rsidRPr="00222108">
              <w:t>31 March 202</w:t>
            </w:r>
            <w:r>
              <w:t>5</w:t>
            </w:r>
          </w:p>
        </w:tc>
        <w:tc>
          <w:tcPr>
            <w:tcW w:w="1134" w:type="dxa"/>
            <w:tcBorders>
              <w:bottom w:val="single" w:sz="4" w:space="0" w:color="auto"/>
            </w:tcBorders>
          </w:tcPr>
          <w:p w14:paraId="28FC1C90" w14:textId="77777777" w:rsidR="00271E37" w:rsidRPr="00222108" w:rsidRDefault="00271E37" w:rsidP="000923EA">
            <w:r w:rsidRPr="00222108">
              <w:t>Note</w:t>
            </w:r>
          </w:p>
        </w:tc>
        <w:tc>
          <w:tcPr>
            <w:tcW w:w="1134" w:type="dxa"/>
            <w:tcBorders>
              <w:bottom w:val="single" w:sz="4" w:space="0" w:color="auto"/>
            </w:tcBorders>
          </w:tcPr>
          <w:p w14:paraId="6AE08791" w14:textId="77777777" w:rsidR="00271E37" w:rsidRPr="00DD777C" w:rsidRDefault="00271E37" w:rsidP="000923EA">
            <w:r>
              <w:t>£</w:t>
            </w:r>
            <w:r w:rsidRPr="00DD777C">
              <w:t>000</w:t>
            </w:r>
          </w:p>
        </w:tc>
        <w:tc>
          <w:tcPr>
            <w:tcW w:w="1134" w:type="dxa"/>
            <w:tcBorders>
              <w:bottom w:val="single" w:sz="4" w:space="0" w:color="auto"/>
            </w:tcBorders>
          </w:tcPr>
          <w:p w14:paraId="42BDBBEA" w14:textId="77777777" w:rsidR="00271E37" w:rsidRPr="00DD777C" w:rsidRDefault="00271E37" w:rsidP="000923EA">
            <w:r>
              <w:t>£</w:t>
            </w:r>
            <w:r w:rsidRPr="00DD777C">
              <w:t>000</w:t>
            </w:r>
          </w:p>
        </w:tc>
        <w:tc>
          <w:tcPr>
            <w:tcW w:w="1134" w:type="dxa"/>
            <w:tcBorders>
              <w:bottom w:val="single" w:sz="4" w:space="0" w:color="auto"/>
            </w:tcBorders>
          </w:tcPr>
          <w:p w14:paraId="03DECBC4" w14:textId="77777777" w:rsidR="00271E37" w:rsidRPr="00DD777C" w:rsidRDefault="00271E37" w:rsidP="000923EA">
            <w:r>
              <w:t>£</w:t>
            </w:r>
            <w:r w:rsidRPr="00DD777C">
              <w:t>000</w:t>
            </w:r>
          </w:p>
        </w:tc>
        <w:tc>
          <w:tcPr>
            <w:tcW w:w="1134" w:type="dxa"/>
            <w:tcBorders>
              <w:bottom w:val="single" w:sz="4" w:space="0" w:color="auto"/>
            </w:tcBorders>
          </w:tcPr>
          <w:p w14:paraId="153BC3D2" w14:textId="77777777" w:rsidR="00271E37" w:rsidRPr="00DD777C" w:rsidRDefault="00271E37" w:rsidP="000923EA">
            <w:r>
              <w:t>£</w:t>
            </w:r>
            <w:r w:rsidRPr="00DD777C">
              <w:t>000</w:t>
            </w:r>
          </w:p>
        </w:tc>
        <w:tc>
          <w:tcPr>
            <w:tcW w:w="1134" w:type="dxa"/>
            <w:tcBorders>
              <w:bottom w:val="single" w:sz="4" w:space="0" w:color="auto"/>
            </w:tcBorders>
          </w:tcPr>
          <w:p w14:paraId="30D409CF" w14:textId="77777777" w:rsidR="00271E37" w:rsidRPr="00DD777C" w:rsidRDefault="00271E37" w:rsidP="000923EA">
            <w:r>
              <w:t>£</w:t>
            </w:r>
            <w:r w:rsidRPr="00DD777C">
              <w:t>000</w:t>
            </w:r>
          </w:p>
        </w:tc>
      </w:tr>
      <w:tr w:rsidR="00271E37" w:rsidRPr="00222108" w14:paraId="55AF8CF5" w14:textId="77777777">
        <w:tc>
          <w:tcPr>
            <w:tcW w:w="0" w:type="auto"/>
            <w:tcBorders>
              <w:top w:val="single" w:sz="4" w:space="0" w:color="auto"/>
            </w:tcBorders>
          </w:tcPr>
          <w:p w14:paraId="146C4E7D" w14:textId="77777777" w:rsidR="00271E37" w:rsidRPr="00222108" w:rsidRDefault="00271E37">
            <w:pPr>
              <w:jc w:val="left"/>
            </w:pPr>
            <w:r w:rsidRPr="00222108">
              <w:t>Long-term assets</w:t>
            </w:r>
          </w:p>
        </w:tc>
        <w:tc>
          <w:tcPr>
            <w:tcW w:w="1134" w:type="dxa"/>
            <w:tcBorders>
              <w:top w:val="single" w:sz="4" w:space="0" w:color="auto"/>
            </w:tcBorders>
          </w:tcPr>
          <w:p w14:paraId="1A0BDC7E" w14:textId="77777777" w:rsidR="00271E37" w:rsidRPr="00222108" w:rsidRDefault="00271E37">
            <w:r w:rsidRPr="00222108">
              <w:t>13</w:t>
            </w:r>
          </w:p>
        </w:tc>
        <w:tc>
          <w:tcPr>
            <w:tcW w:w="1134" w:type="dxa"/>
            <w:tcBorders>
              <w:top w:val="single" w:sz="4" w:space="0" w:color="auto"/>
            </w:tcBorders>
            <w:vAlign w:val="center"/>
          </w:tcPr>
          <w:p w14:paraId="54168166" w14:textId="77777777" w:rsidR="00271E37" w:rsidRPr="007E0A1B" w:rsidRDefault="00271E37">
            <w:r w:rsidRPr="001E7EDF" w:rsidDel="00176731">
              <w:rPr>
                <w:rFonts w:cs="Arial"/>
                <w:szCs w:val="16"/>
              </w:rPr>
              <w:t xml:space="preserve"> - </w:t>
            </w:r>
          </w:p>
        </w:tc>
        <w:tc>
          <w:tcPr>
            <w:tcW w:w="1134" w:type="dxa"/>
            <w:tcBorders>
              <w:top w:val="single" w:sz="4" w:space="0" w:color="auto"/>
            </w:tcBorders>
            <w:vAlign w:val="center"/>
          </w:tcPr>
          <w:p w14:paraId="7E6F05A9" w14:textId="77777777" w:rsidR="00271E37" w:rsidRPr="007E0A1B" w:rsidRDefault="00271E37">
            <w:r w:rsidRPr="001E7EDF" w:rsidDel="00176731">
              <w:rPr>
                <w:rFonts w:cs="Arial"/>
                <w:szCs w:val="16"/>
              </w:rPr>
              <w:t xml:space="preserve"> - </w:t>
            </w:r>
          </w:p>
        </w:tc>
        <w:tc>
          <w:tcPr>
            <w:tcW w:w="1134" w:type="dxa"/>
            <w:tcBorders>
              <w:top w:val="single" w:sz="4" w:space="0" w:color="auto"/>
            </w:tcBorders>
            <w:vAlign w:val="center"/>
          </w:tcPr>
          <w:p w14:paraId="04391BE9" w14:textId="77777777" w:rsidR="00271E37" w:rsidRPr="007E0A1B" w:rsidRDefault="00271E37">
            <w:r w:rsidRPr="001E7EDF" w:rsidDel="00176731">
              <w:rPr>
                <w:rFonts w:cs="Arial"/>
                <w:szCs w:val="16"/>
              </w:rPr>
              <w:t xml:space="preserve">2,241 </w:t>
            </w:r>
          </w:p>
        </w:tc>
        <w:tc>
          <w:tcPr>
            <w:tcW w:w="1134" w:type="dxa"/>
            <w:tcBorders>
              <w:top w:val="single" w:sz="4" w:space="0" w:color="auto"/>
            </w:tcBorders>
            <w:vAlign w:val="center"/>
          </w:tcPr>
          <w:p w14:paraId="1DF06255" w14:textId="77777777" w:rsidR="00271E37" w:rsidRPr="007E0A1B" w:rsidRDefault="00271E37">
            <w:r w:rsidRPr="001E7EDF" w:rsidDel="00176731">
              <w:rPr>
                <w:rFonts w:cs="Arial"/>
                <w:szCs w:val="16"/>
              </w:rPr>
              <w:t xml:space="preserve"> - </w:t>
            </w:r>
          </w:p>
        </w:tc>
        <w:tc>
          <w:tcPr>
            <w:tcW w:w="1134" w:type="dxa"/>
            <w:tcBorders>
              <w:top w:val="single" w:sz="4" w:space="0" w:color="auto"/>
            </w:tcBorders>
            <w:vAlign w:val="center"/>
          </w:tcPr>
          <w:p w14:paraId="29F9228F" w14:textId="77777777" w:rsidR="00271E37" w:rsidRPr="007E0A1B" w:rsidRDefault="00271E37">
            <w:r w:rsidRPr="001E7EDF" w:rsidDel="00176731">
              <w:rPr>
                <w:rFonts w:cs="Arial"/>
                <w:szCs w:val="16"/>
              </w:rPr>
              <w:t xml:space="preserve">2,241 </w:t>
            </w:r>
          </w:p>
        </w:tc>
      </w:tr>
      <w:tr w:rsidR="00271E37" w:rsidRPr="00222108" w14:paraId="45A6B8DF" w14:textId="77777777">
        <w:tc>
          <w:tcPr>
            <w:tcW w:w="0" w:type="auto"/>
          </w:tcPr>
          <w:p w14:paraId="4ABF7802" w14:textId="77777777" w:rsidR="00271E37" w:rsidRPr="00222108" w:rsidRDefault="00271E37">
            <w:pPr>
              <w:jc w:val="left"/>
            </w:pPr>
            <w:r w:rsidRPr="00222108">
              <w:t>Cash and cash equivalents</w:t>
            </w:r>
          </w:p>
        </w:tc>
        <w:tc>
          <w:tcPr>
            <w:tcW w:w="1134" w:type="dxa"/>
          </w:tcPr>
          <w:p w14:paraId="2E6BB8DF" w14:textId="77777777" w:rsidR="00271E37" w:rsidRPr="00222108" w:rsidRDefault="00271E37">
            <w:r w:rsidRPr="00222108">
              <w:t>14</w:t>
            </w:r>
          </w:p>
        </w:tc>
        <w:tc>
          <w:tcPr>
            <w:tcW w:w="1134" w:type="dxa"/>
            <w:vAlign w:val="center"/>
          </w:tcPr>
          <w:p w14:paraId="75A01C2C" w14:textId="77777777" w:rsidR="00271E37" w:rsidRPr="007E0A1B" w:rsidRDefault="00271E37">
            <w:r w:rsidRPr="001E7EDF" w:rsidDel="00176731">
              <w:rPr>
                <w:rFonts w:cs="Arial"/>
                <w:szCs w:val="16"/>
              </w:rPr>
              <w:t xml:space="preserve">44,443 </w:t>
            </w:r>
          </w:p>
        </w:tc>
        <w:tc>
          <w:tcPr>
            <w:tcW w:w="1134" w:type="dxa"/>
            <w:vAlign w:val="center"/>
          </w:tcPr>
          <w:p w14:paraId="1A65CA09" w14:textId="77777777" w:rsidR="00271E37" w:rsidRPr="007E0A1B" w:rsidRDefault="00271E37">
            <w:r w:rsidRPr="001E7EDF" w:rsidDel="00176731">
              <w:rPr>
                <w:rFonts w:cs="Arial"/>
                <w:szCs w:val="16"/>
              </w:rPr>
              <w:t xml:space="preserve">3,159 </w:t>
            </w:r>
          </w:p>
        </w:tc>
        <w:tc>
          <w:tcPr>
            <w:tcW w:w="1134" w:type="dxa"/>
            <w:vAlign w:val="center"/>
          </w:tcPr>
          <w:p w14:paraId="4E046D19" w14:textId="77777777" w:rsidR="00271E37" w:rsidRPr="007E0A1B" w:rsidRDefault="00271E37">
            <w:r w:rsidRPr="001E7EDF" w:rsidDel="00176731">
              <w:rPr>
                <w:rFonts w:cs="Arial"/>
                <w:szCs w:val="16"/>
              </w:rPr>
              <w:t xml:space="preserve">52,740 </w:t>
            </w:r>
          </w:p>
        </w:tc>
        <w:tc>
          <w:tcPr>
            <w:tcW w:w="1134" w:type="dxa"/>
            <w:vAlign w:val="center"/>
          </w:tcPr>
          <w:p w14:paraId="1ADA29E8" w14:textId="77777777" w:rsidR="00271E37" w:rsidRPr="007E0A1B" w:rsidRDefault="00271E37">
            <w:r w:rsidRPr="001E7EDF" w:rsidDel="00176731">
              <w:rPr>
                <w:rFonts w:cs="Arial"/>
                <w:szCs w:val="16"/>
              </w:rPr>
              <w:t xml:space="preserve">5,184 </w:t>
            </w:r>
          </w:p>
        </w:tc>
        <w:tc>
          <w:tcPr>
            <w:tcW w:w="1134" w:type="dxa"/>
            <w:vAlign w:val="center"/>
          </w:tcPr>
          <w:p w14:paraId="3E866A3F" w14:textId="77777777" w:rsidR="00271E37" w:rsidRPr="007E0A1B" w:rsidRDefault="00271E37">
            <w:r w:rsidRPr="001E7EDF" w:rsidDel="00176731">
              <w:rPr>
                <w:rFonts w:cs="Arial"/>
                <w:szCs w:val="16"/>
              </w:rPr>
              <w:t xml:space="preserve">105,526 </w:t>
            </w:r>
          </w:p>
        </w:tc>
      </w:tr>
      <w:tr w:rsidR="00271E37" w:rsidRPr="00222108" w14:paraId="732E94F9" w14:textId="77777777">
        <w:tc>
          <w:tcPr>
            <w:tcW w:w="0" w:type="auto"/>
          </w:tcPr>
          <w:p w14:paraId="280F0F84" w14:textId="77777777" w:rsidR="00271E37" w:rsidRPr="00222108" w:rsidRDefault="00271E37">
            <w:pPr>
              <w:jc w:val="left"/>
            </w:pPr>
            <w:r w:rsidRPr="00222108">
              <w:t>Trade receivables</w:t>
            </w:r>
          </w:p>
        </w:tc>
        <w:tc>
          <w:tcPr>
            <w:tcW w:w="1134" w:type="dxa"/>
          </w:tcPr>
          <w:p w14:paraId="64D2FFE3" w14:textId="77777777" w:rsidR="00271E37" w:rsidRPr="00222108" w:rsidRDefault="00271E37">
            <w:r w:rsidRPr="00222108">
              <w:t>13</w:t>
            </w:r>
          </w:p>
        </w:tc>
        <w:tc>
          <w:tcPr>
            <w:tcW w:w="1134" w:type="dxa"/>
            <w:vAlign w:val="center"/>
          </w:tcPr>
          <w:p w14:paraId="0DAF8581" w14:textId="77777777" w:rsidR="00271E37" w:rsidRPr="007E0A1B" w:rsidRDefault="00271E37">
            <w:r w:rsidRPr="001E7EDF" w:rsidDel="00176731">
              <w:rPr>
                <w:rFonts w:cs="Arial"/>
                <w:szCs w:val="16"/>
              </w:rPr>
              <w:t xml:space="preserve">6,117 </w:t>
            </w:r>
          </w:p>
        </w:tc>
        <w:tc>
          <w:tcPr>
            <w:tcW w:w="1134" w:type="dxa"/>
            <w:vAlign w:val="center"/>
          </w:tcPr>
          <w:p w14:paraId="21A157C5" w14:textId="77777777" w:rsidR="00271E37" w:rsidRPr="007E0A1B" w:rsidRDefault="00271E37">
            <w:r w:rsidRPr="001E7EDF" w:rsidDel="00176731">
              <w:rPr>
                <w:rFonts w:cs="Arial"/>
                <w:szCs w:val="16"/>
              </w:rPr>
              <w:t xml:space="preserve">9,749 </w:t>
            </w:r>
          </w:p>
        </w:tc>
        <w:tc>
          <w:tcPr>
            <w:tcW w:w="1134" w:type="dxa"/>
            <w:vAlign w:val="center"/>
          </w:tcPr>
          <w:p w14:paraId="45B0D2FE" w14:textId="77777777" w:rsidR="00271E37" w:rsidRPr="007E0A1B" w:rsidRDefault="00271E37">
            <w:r w:rsidRPr="001E7EDF" w:rsidDel="00176731">
              <w:rPr>
                <w:rFonts w:cs="Arial"/>
                <w:szCs w:val="16"/>
              </w:rPr>
              <w:t xml:space="preserve">41,259 </w:t>
            </w:r>
          </w:p>
        </w:tc>
        <w:tc>
          <w:tcPr>
            <w:tcW w:w="1134" w:type="dxa"/>
            <w:vAlign w:val="center"/>
          </w:tcPr>
          <w:p w14:paraId="2B9B3D7B" w14:textId="77777777" w:rsidR="00271E37" w:rsidRPr="007E0A1B" w:rsidRDefault="00271E37">
            <w:r w:rsidRPr="001E7EDF" w:rsidDel="00176731">
              <w:rPr>
                <w:rFonts w:cs="Arial"/>
                <w:szCs w:val="16"/>
              </w:rPr>
              <w:t xml:space="preserve">2,073 </w:t>
            </w:r>
          </w:p>
        </w:tc>
        <w:tc>
          <w:tcPr>
            <w:tcW w:w="1134" w:type="dxa"/>
            <w:vAlign w:val="center"/>
          </w:tcPr>
          <w:p w14:paraId="7D925E0A" w14:textId="77777777" w:rsidR="00271E37" w:rsidRPr="007E0A1B" w:rsidRDefault="00271E37">
            <w:r w:rsidRPr="001E7EDF" w:rsidDel="00176731">
              <w:rPr>
                <w:rFonts w:cs="Arial"/>
                <w:szCs w:val="16"/>
              </w:rPr>
              <w:t xml:space="preserve">59,198 </w:t>
            </w:r>
          </w:p>
        </w:tc>
      </w:tr>
      <w:tr w:rsidR="00271E37" w:rsidRPr="00222108" w14:paraId="7341C1A6" w14:textId="77777777">
        <w:tc>
          <w:tcPr>
            <w:tcW w:w="0" w:type="auto"/>
          </w:tcPr>
          <w:p w14:paraId="5D1611A9" w14:textId="77777777" w:rsidR="00271E37" w:rsidRPr="00222108" w:rsidRDefault="00271E37">
            <w:pPr>
              <w:jc w:val="left"/>
            </w:pPr>
            <w:r w:rsidRPr="00222108">
              <w:t>Derivative financial assets</w:t>
            </w:r>
          </w:p>
        </w:tc>
        <w:tc>
          <w:tcPr>
            <w:tcW w:w="1134" w:type="dxa"/>
          </w:tcPr>
          <w:p w14:paraId="32B06E51" w14:textId="77777777" w:rsidR="00271E37" w:rsidRPr="00C96BF4" w:rsidRDefault="00271E37"/>
        </w:tc>
        <w:tc>
          <w:tcPr>
            <w:tcW w:w="1134" w:type="dxa"/>
            <w:vAlign w:val="center"/>
          </w:tcPr>
          <w:p w14:paraId="3584DECF" w14:textId="77777777" w:rsidR="00271E37" w:rsidRPr="007E0A1B" w:rsidRDefault="00271E37">
            <w:r w:rsidRPr="001E7EDF" w:rsidDel="00176731">
              <w:rPr>
                <w:rFonts w:cs="Arial"/>
                <w:szCs w:val="16"/>
              </w:rPr>
              <w:t xml:space="preserve">1 </w:t>
            </w:r>
          </w:p>
        </w:tc>
        <w:tc>
          <w:tcPr>
            <w:tcW w:w="1134" w:type="dxa"/>
            <w:vAlign w:val="center"/>
          </w:tcPr>
          <w:p w14:paraId="45648CAE" w14:textId="77777777" w:rsidR="00271E37" w:rsidRPr="007E0A1B" w:rsidRDefault="00271E37">
            <w:r w:rsidRPr="001E7EDF" w:rsidDel="00176731">
              <w:rPr>
                <w:rFonts w:cs="Arial"/>
                <w:szCs w:val="16"/>
              </w:rPr>
              <w:t xml:space="preserve"> - </w:t>
            </w:r>
          </w:p>
        </w:tc>
        <w:tc>
          <w:tcPr>
            <w:tcW w:w="1134" w:type="dxa"/>
            <w:vAlign w:val="center"/>
          </w:tcPr>
          <w:p w14:paraId="3D75D51D" w14:textId="77777777" w:rsidR="00271E37" w:rsidRPr="007E0A1B" w:rsidRDefault="00271E37">
            <w:r w:rsidRPr="001E7EDF" w:rsidDel="00176731">
              <w:rPr>
                <w:rFonts w:cs="Arial"/>
                <w:szCs w:val="16"/>
              </w:rPr>
              <w:t xml:space="preserve"> - </w:t>
            </w:r>
          </w:p>
        </w:tc>
        <w:tc>
          <w:tcPr>
            <w:tcW w:w="1134" w:type="dxa"/>
            <w:vAlign w:val="center"/>
          </w:tcPr>
          <w:p w14:paraId="6C7D9492" w14:textId="77777777" w:rsidR="00271E37" w:rsidRPr="007E0A1B" w:rsidRDefault="00271E37">
            <w:r w:rsidRPr="001E7EDF" w:rsidDel="00176731">
              <w:rPr>
                <w:rFonts w:cs="Arial"/>
                <w:szCs w:val="16"/>
              </w:rPr>
              <w:t xml:space="preserve"> - </w:t>
            </w:r>
          </w:p>
        </w:tc>
        <w:tc>
          <w:tcPr>
            <w:tcW w:w="1134" w:type="dxa"/>
            <w:vAlign w:val="center"/>
          </w:tcPr>
          <w:p w14:paraId="28B9997B" w14:textId="77777777" w:rsidR="00271E37" w:rsidRPr="007E0A1B" w:rsidRDefault="00271E37">
            <w:r w:rsidRPr="001E7EDF" w:rsidDel="00176731">
              <w:rPr>
                <w:rFonts w:cs="Arial"/>
                <w:szCs w:val="16"/>
              </w:rPr>
              <w:t xml:space="preserve">1 </w:t>
            </w:r>
          </w:p>
        </w:tc>
      </w:tr>
      <w:tr w:rsidR="00271E37" w:rsidRPr="00222108" w14:paraId="4A21B937" w14:textId="77777777">
        <w:tc>
          <w:tcPr>
            <w:tcW w:w="0" w:type="auto"/>
          </w:tcPr>
          <w:p w14:paraId="3CAEDF76" w14:textId="77777777" w:rsidR="00271E37" w:rsidRPr="00222108" w:rsidRDefault="00271E37">
            <w:pPr>
              <w:jc w:val="left"/>
            </w:pPr>
            <w:r w:rsidRPr="00222108">
              <w:t>Bank overdrafts</w:t>
            </w:r>
          </w:p>
        </w:tc>
        <w:tc>
          <w:tcPr>
            <w:tcW w:w="1134" w:type="dxa"/>
          </w:tcPr>
          <w:p w14:paraId="1BBF89E9" w14:textId="77777777" w:rsidR="00271E37" w:rsidRPr="00222108" w:rsidRDefault="00271E37">
            <w:r w:rsidRPr="00222108">
              <w:t>14</w:t>
            </w:r>
          </w:p>
        </w:tc>
        <w:tc>
          <w:tcPr>
            <w:tcW w:w="1134" w:type="dxa"/>
            <w:vAlign w:val="center"/>
          </w:tcPr>
          <w:p w14:paraId="1E1A7388" w14:textId="77777777" w:rsidR="00271E37" w:rsidRPr="007E0A1B" w:rsidRDefault="00271E37">
            <w:r w:rsidRPr="001E7EDF" w:rsidDel="00176731">
              <w:rPr>
                <w:rFonts w:cs="Arial"/>
                <w:szCs w:val="16"/>
              </w:rPr>
              <w:t>(11,299)</w:t>
            </w:r>
          </w:p>
        </w:tc>
        <w:tc>
          <w:tcPr>
            <w:tcW w:w="1134" w:type="dxa"/>
            <w:vAlign w:val="center"/>
          </w:tcPr>
          <w:p w14:paraId="77CEF19C" w14:textId="77777777" w:rsidR="00271E37" w:rsidRPr="007E0A1B" w:rsidRDefault="00271E37">
            <w:r w:rsidRPr="001E7EDF" w:rsidDel="00176731">
              <w:rPr>
                <w:rFonts w:cs="Arial"/>
                <w:szCs w:val="16"/>
              </w:rPr>
              <w:t>(7,016)</w:t>
            </w:r>
          </w:p>
        </w:tc>
        <w:tc>
          <w:tcPr>
            <w:tcW w:w="1134" w:type="dxa"/>
            <w:vAlign w:val="center"/>
          </w:tcPr>
          <w:p w14:paraId="5917D945" w14:textId="77777777" w:rsidR="00271E37" w:rsidRPr="007E0A1B" w:rsidRDefault="00271E37">
            <w:r w:rsidRPr="001E7EDF" w:rsidDel="00176731">
              <w:rPr>
                <w:rFonts w:cs="Arial"/>
                <w:szCs w:val="16"/>
              </w:rPr>
              <w:t>(22,303)</w:t>
            </w:r>
          </w:p>
        </w:tc>
        <w:tc>
          <w:tcPr>
            <w:tcW w:w="1134" w:type="dxa"/>
            <w:vAlign w:val="center"/>
          </w:tcPr>
          <w:p w14:paraId="02F6FF9E" w14:textId="77777777" w:rsidR="00271E37" w:rsidRPr="007E0A1B" w:rsidRDefault="00271E37">
            <w:r w:rsidRPr="001E7EDF" w:rsidDel="00176731">
              <w:rPr>
                <w:rFonts w:cs="Arial"/>
                <w:szCs w:val="16"/>
              </w:rPr>
              <w:t xml:space="preserve"> - </w:t>
            </w:r>
          </w:p>
        </w:tc>
        <w:tc>
          <w:tcPr>
            <w:tcW w:w="1134" w:type="dxa"/>
            <w:vAlign w:val="center"/>
          </w:tcPr>
          <w:p w14:paraId="58B8F1D1" w14:textId="77777777" w:rsidR="00271E37" w:rsidRPr="007E0A1B" w:rsidRDefault="00271E37">
            <w:r w:rsidRPr="001E7EDF" w:rsidDel="00176731">
              <w:rPr>
                <w:rFonts w:cs="Arial"/>
                <w:szCs w:val="16"/>
              </w:rPr>
              <w:t>(40,618)</w:t>
            </w:r>
          </w:p>
        </w:tc>
      </w:tr>
      <w:tr w:rsidR="00271E37" w:rsidRPr="00222108" w14:paraId="0F4319DF" w14:textId="77777777">
        <w:tc>
          <w:tcPr>
            <w:tcW w:w="0" w:type="auto"/>
          </w:tcPr>
          <w:p w14:paraId="0ACB5F1B" w14:textId="77777777" w:rsidR="00271E37" w:rsidRPr="00222108" w:rsidRDefault="00271E37">
            <w:pPr>
              <w:jc w:val="left"/>
            </w:pPr>
            <w:r w:rsidRPr="00222108">
              <w:t>Loan arrangement fees</w:t>
            </w:r>
          </w:p>
        </w:tc>
        <w:tc>
          <w:tcPr>
            <w:tcW w:w="1134" w:type="dxa"/>
          </w:tcPr>
          <w:p w14:paraId="370C4668" w14:textId="77777777" w:rsidR="00271E37" w:rsidRPr="00222108" w:rsidRDefault="00271E37">
            <w:r w:rsidRPr="00222108">
              <w:t>15</w:t>
            </w:r>
          </w:p>
        </w:tc>
        <w:tc>
          <w:tcPr>
            <w:tcW w:w="1134" w:type="dxa"/>
            <w:vAlign w:val="center"/>
          </w:tcPr>
          <w:p w14:paraId="6CF5D513" w14:textId="77777777" w:rsidR="00271E37" w:rsidRPr="007E0A1B" w:rsidRDefault="00271E37">
            <w:r w:rsidRPr="001E7EDF" w:rsidDel="00176731">
              <w:rPr>
                <w:rFonts w:cs="Arial"/>
                <w:szCs w:val="16"/>
              </w:rPr>
              <w:t xml:space="preserve">647 </w:t>
            </w:r>
          </w:p>
        </w:tc>
        <w:tc>
          <w:tcPr>
            <w:tcW w:w="1134" w:type="dxa"/>
            <w:vAlign w:val="center"/>
          </w:tcPr>
          <w:p w14:paraId="2DFC3D2E" w14:textId="77777777" w:rsidR="00271E37" w:rsidRPr="007E0A1B" w:rsidRDefault="00271E37">
            <w:r w:rsidRPr="001E7EDF" w:rsidDel="00176731">
              <w:rPr>
                <w:rFonts w:cs="Arial"/>
                <w:szCs w:val="16"/>
              </w:rPr>
              <w:t xml:space="preserve"> - </w:t>
            </w:r>
          </w:p>
        </w:tc>
        <w:tc>
          <w:tcPr>
            <w:tcW w:w="1134" w:type="dxa"/>
            <w:vAlign w:val="center"/>
          </w:tcPr>
          <w:p w14:paraId="40C3CA2E" w14:textId="77777777" w:rsidR="00271E37" w:rsidRPr="007E0A1B" w:rsidRDefault="00271E37">
            <w:r w:rsidRPr="001E7EDF" w:rsidDel="00176731">
              <w:rPr>
                <w:rFonts w:cs="Arial"/>
                <w:szCs w:val="16"/>
              </w:rPr>
              <w:t xml:space="preserve"> - </w:t>
            </w:r>
          </w:p>
        </w:tc>
        <w:tc>
          <w:tcPr>
            <w:tcW w:w="1134" w:type="dxa"/>
            <w:vAlign w:val="center"/>
          </w:tcPr>
          <w:p w14:paraId="32301097" w14:textId="77777777" w:rsidR="00271E37" w:rsidRPr="007E0A1B" w:rsidRDefault="00271E37">
            <w:r w:rsidRPr="001E7EDF" w:rsidDel="00176731">
              <w:rPr>
                <w:rFonts w:cs="Arial"/>
                <w:szCs w:val="16"/>
              </w:rPr>
              <w:t xml:space="preserve"> - </w:t>
            </w:r>
          </w:p>
        </w:tc>
        <w:tc>
          <w:tcPr>
            <w:tcW w:w="1134" w:type="dxa"/>
            <w:vAlign w:val="center"/>
          </w:tcPr>
          <w:p w14:paraId="78F94E70" w14:textId="77777777" w:rsidR="00271E37" w:rsidRPr="007E0A1B" w:rsidRDefault="00271E37">
            <w:r w:rsidRPr="001E7EDF" w:rsidDel="00176731">
              <w:rPr>
                <w:rFonts w:cs="Arial"/>
                <w:szCs w:val="16"/>
              </w:rPr>
              <w:t xml:space="preserve">647 </w:t>
            </w:r>
          </w:p>
        </w:tc>
      </w:tr>
      <w:tr w:rsidR="00271E37" w:rsidRPr="00222108" w14:paraId="16C99B9D" w14:textId="77777777">
        <w:tc>
          <w:tcPr>
            <w:tcW w:w="0" w:type="auto"/>
            <w:tcBorders>
              <w:bottom w:val="nil"/>
            </w:tcBorders>
          </w:tcPr>
          <w:p w14:paraId="1C444B2B" w14:textId="77777777" w:rsidR="00271E37" w:rsidRPr="00222108" w:rsidRDefault="00271E37">
            <w:pPr>
              <w:jc w:val="left"/>
            </w:pPr>
            <w:r w:rsidRPr="00222108">
              <w:t>Trade payables</w:t>
            </w:r>
          </w:p>
        </w:tc>
        <w:tc>
          <w:tcPr>
            <w:tcW w:w="1134" w:type="dxa"/>
            <w:tcBorders>
              <w:bottom w:val="nil"/>
            </w:tcBorders>
          </w:tcPr>
          <w:p w14:paraId="03046B38" w14:textId="77777777" w:rsidR="00271E37" w:rsidRPr="00222108" w:rsidRDefault="00271E37">
            <w:r w:rsidRPr="00222108">
              <w:t>19</w:t>
            </w:r>
          </w:p>
        </w:tc>
        <w:tc>
          <w:tcPr>
            <w:tcW w:w="1134" w:type="dxa"/>
            <w:tcBorders>
              <w:bottom w:val="nil"/>
            </w:tcBorders>
            <w:vAlign w:val="center"/>
          </w:tcPr>
          <w:p w14:paraId="5B91F877" w14:textId="77777777" w:rsidR="00271E37" w:rsidRPr="007E0A1B" w:rsidRDefault="00271E37">
            <w:r w:rsidRPr="001E7EDF" w:rsidDel="00176731">
              <w:rPr>
                <w:rFonts w:cs="Arial"/>
                <w:szCs w:val="16"/>
              </w:rPr>
              <w:t>(9,100)</w:t>
            </w:r>
          </w:p>
        </w:tc>
        <w:tc>
          <w:tcPr>
            <w:tcW w:w="1134" w:type="dxa"/>
            <w:tcBorders>
              <w:bottom w:val="nil"/>
            </w:tcBorders>
            <w:vAlign w:val="center"/>
          </w:tcPr>
          <w:p w14:paraId="09F5E51F" w14:textId="77777777" w:rsidR="00271E37" w:rsidRPr="007E0A1B" w:rsidRDefault="00271E37">
            <w:r w:rsidRPr="001E7EDF" w:rsidDel="00176731">
              <w:rPr>
                <w:rFonts w:cs="Arial"/>
                <w:szCs w:val="16"/>
              </w:rPr>
              <w:t>(7,633)</w:t>
            </w:r>
          </w:p>
        </w:tc>
        <w:tc>
          <w:tcPr>
            <w:tcW w:w="1134" w:type="dxa"/>
            <w:tcBorders>
              <w:bottom w:val="nil"/>
            </w:tcBorders>
            <w:vAlign w:val="center"/>
          </w:tcPr>
          <w:p w14:paraId="3963925B" w14:textId="77777777" w:rsidR="00271E37" w:rsidRPr="007E0A1B" w:rsidRDefault="00271E37">
            <w:r w:rsidRPr="001E7EDF" w:rsidDel="00176731">
              <w:rPr>
                <w:rFonts w:cs="Arial"/>
                <w:szCs w:val="16"/>
              </w:rPr>
              <w:t>(45,560)</w:t>
            </w:r>
          </w:p>
        </w:tc>
        <w:tc>
          <w:tcPr>
            <w:tcW w:w="1134" w:type="dxa"/>
            <w:tcBorders>
              <w:bottom w:val="nil"/>
            </w:tcBorders>
            <w:vAlign w:val="center"/>
          </w:tcPr>
          <w:p w14:paraId="3BF27A76" w14:textId="77777777" w:rsidR="00271E37" w:rsidRPr="007E0A1B" w:rsidRDefault="00271E37">
            <w:r w:rsidRPr="001E7EDF" w:rsidDel="00176731">
              <w:rPr>
                <w:rFonts w:cs="Arial"/>
                <w:szCs w:val="16"/>
              </w:rPr>
              <w:t>(859)</w:t>
            </w:r>
          </w:p>
        </w:tc>
        <w:tc>
          <w:tcPr>
            <w:tcW w:w="1134" w:type="dxa"/>
            <w:tcBorders>
              <w:bottom w:val="nil"/>
            </w:tcBorders>
            <w:vAlign w:val="center"/>
          </w:tcPr>
          <w:p w14:paraId="6050CCB1" w14:textId="77777777" w:rsidR="00271E37" w:rsidRPr="007E0A1B" w:rsidRDefault="00271E37">
            <w:r w:rsidRPr="001E7EDF" w:rsidDel="00176731">
              <w:rPr>
                <w:rFonts w:cs="Arial"/>
                <w:szCs w:val="16"/>
              </w:rPr>
              <w:t>(63,152)</w:t>
            </w:r>
          </w:p>
        </w:tc>
      </w:tr>
      <w:tr w:rsidR="00271E37" w:rsidRPr="00222108" w14:paraId="406D3A27" w14:textId="77777777">
        <w:tc>
          <w:tcPr>
            <w:tcW w:w="0" w:type="auto"/>
            <w:tcBorders>
              <w:bottom w:val="single" w:sz="4" w:space="0" w:color="auto"/>
            </w:tcBorders>
          </w:tcPr>
          <w:p w14:paraId="4F638C6F" w14:textId="77777777" w:rsidR="00271E37" w:rsidRPr="00222108" w:rsidRDefault="00271E37">
            <w:pPr>
              <w:jc w:val="left"/>
            </w:pPr>
            <w:r w:rsidRPr="00222108">
              <w:t>Other payables</w:t>
            </w:r>
          </w:p>
        </w:tc>
        <w:tc>
          <w:tcPr>
            <w:tcW w:w="1134" w:type="dxa"/>
            <w:tcBorders>
              <w:bottom w:val="single" w:sz="4" w:space="0" w:color="auto"/>
            </w:tcBorders>
          </w:tcPr>
          <w:p w14:paraId="390F5338" w14:textId="77777777" w:rsidR="00271E37" w:rsidRPr="00222108" w:rsidRDefault="00271E37">
            <w:r w:rsidRPr="00222108">
              <w:t>19</w:t>
            </w:r>
          </w:p>
        </w:tc>
        <w:tc>
          <w:tcPr>
            <w:tcW w:w="1134" w:type="dxa"/>
            <w:tcBorders>
              <w:bottom w:val="single" w:sz="4" w:space="0" w:color="auto"/>
            </w:tcBorders>
            <w:vAlign w:val="center"/>
          </w:tcPr>
          <w:p w14:paraId="1BF85D78" w14:textId="77777777" w:rsidR="00271E37" w:rsidRPr="007E0A1B" w:rsidRDefault="00271E37">
            <w:r w:rsidRPr="001E7EDF" w:rsidDel="00176731">
              <w:rPr>
                <w:rFonts w:cs="Arial"/>
                <w:szCs w:val="16"/>
              </w:rPr>
              <w:t>(574)</w:t>
            </w:r>
          </w:p>
        </w:tc>
        <w:tc>
          <w:tcPr>
            <w:tcW w:w="1134" w:type="dxa"/>
            <w:tcBorders>
              <w:bottom w:val="single" w:sz="4" w:space="0" w:color="auto"/>
            </w:tcBorders>
            <w:vAlign w:val="center"/>
          </w:tcPr>
          <w:p w14:paraId="22267B12" w14:textId="77777777" w:rsidR="00271E37" w:rsidRPr="007E0A1B" w:rsidRDefault="00271E37">
            <w:r w:rsidRPr="001E7EDF" w:rsidDel="00176731">
              <w:rPr>
                <w:rFonts w:cs="Arial"/>
                <w:szCs w:val="16"/>
              </w:rPr>
              <w:t>(556)</w:t>
            </w:r>
          </w:p>
        </w:tc>
        <w:tc>
          <w:tcPr>
            <w:tcW w:w="1134" w:type="dxa"/>
            <w:tcBorders>
              <w:bottom w:val="single" w:sz="4" w:space="0" w:color="auto"/>
            </w:tcBorders>
            <w:vAlign w:val="center"/>
          </w:tcPr>
          <w:p w14:paraId="394C170A" w14:textId="77777777" w:rsidR="00271E37" w:rsidRPr="007E0A1B" w:rsidRDefault="00271E37">
            <w:r w:rsidRPr="001E7EDF" w:rsidDel="00176731">
              <w:rPr>
                <w:rFonts w:cs="Arial"/>
                <w:szCs w:val="16"/>
              </w:rPr>
              <w:t>(1,143)</w:t>
            </w:r>
          </w:p>
        </w:tc>
        <w:tc>
          <w:tcPr>
            <w:tcW w:w="1134" w:type="dxa"/>
            <w:tcBorders>
              <w:bottom w:val="single" w:sz="4" w:space="0" w:color="auto"/>
            </w:tcBorders>
            <w:vAlign w:val="center"/>
          </w:tcPr>
          <w:p w14:paraId="371CA8A2" w14:textId="77777777" w:rsidR="00271E37" w:rsidRPr="007E0A1B" w:rsidRDefault="00271E37">
            <w:r w:rsidRPr="001E7EDF" w:rsidDel="00176731">
              <w:rPr>
                <w:rFonts w:cs="Arial"/>
                <w:szCs w:val="16"/>
              </w:rPr>
              <w:t>(152)</w:t>
            </w:r>
          </w:p>
        </w:tc>
        <w:tc>
          <w:tcPr>
            <w:tcW w:w="1134" w:type="dxa"/>
            <w:tcBorders>
              <w:bottom w:val="single" w:sz="4" w:space="0" w:color="auto"/>
            </w:tcBorders>
            <w:vAlign w:val="center"/>
          </w:tcPr>
          <w:p w14:paraId="617E2C10" w14:textId="77777777" w:rsidR="00271E37" w:rsidRPr="007E0A1B" w:rsidRDefault="00271E37">
            <w:r w:rsidRPr="001E7EDF" w:rsidDel="00176731">
              <w:rPr>
                <w:rFonts w:cs="Arial"/>
                <w:szCs w:val="16"/>
              </w:rPr>
              <w:t>(2,425)</w:t>
            </w:r>
          </w:p>
        </w:tc>
      </w:tr>
      <w:tr w:rsidR="00271E37" w:rsidRPr="00222108" w14:paraId="2BDF3C7F" w14:textId="77777777">
        <w:tc>
          <w:tcPr>
            <w:tcW w:w="0" w:type="auto"/>
            <w:tcBorders>
              <w:top w:val="single" w:sz="4" w:space="0" w:color="auto"/>
            </w:tcBorders>
          </w:tcPr>
          <w:p w14:paraId="395CC9ED" w14:textId="77777777" w:rsidR="00271E37" w:rsidRPr="00DD777C" w:rsidRDefault="00271E37">
            <w:pPr>
              <w:jc w:val="left"/>
            </w:pPr>
            <w:r w:rsidRPr="00DD777C">
              <w:t>Balance sheet exposure</w:t>
            </w:r>
          </w:p>
        </w:tc>
        <w:tc>
          <w:tcPr>
            <w:tcW w:w="1134" w:type="dxa"/>
            <w:tcBorders>
              <w:top w:val="single" w:sz="4" w:space="0" w:color="auto"/>
            </w:tcBorders>
          </w:tcPr>
          <w:p w14:paraId="37BB682F" w14:textId="77777777" w:rsidR="00271E37" w:rsidRPr="00222108" w:rsidRDefault="00271E37"/>
        </w:tc>
        <w:tc>
          <w:tcPr>
            <w:tcW w:w="1134" w:type="dxa"/>
            <w:tcBorders>
              <w:top w:val="single" w:sz="4" w:space="0" w:color="auto"/>
            </w:tcBorders>
            <w:vAlign w:val="center"/>
          </w:tcPr>
          <w:p w14:paraId="2B9899CF" w14:textId="77777777" w:rsidR="00271E37" w:rsidRPr="007E0A1B" w:rsidRDefault="00271E37">
            <w:r w:rsidRPr="001E7EDF">
              <w:rPr>
                <w:rFonts w:cs="Arial"/>
                <w:szCs w:val="16"/>
              </w:rPr>
              <w:t xml:space="preserve">30,235 </w:t>
            </w:r>
          </w:p>
        </w:tc>
        <w:tc>
          <w:tcPr>
            <w:tcW w:w="1134" w:type="dxa"/>
            <w:tcBorders>
              <w:top w:val="single" w:sz="4" w:space="0" w:color="auto"/>
            </w:tcBorders>
            <w:vAlign w:val="center"/>
          </w:tcPr>
          <w:p w14:paraId="18515FA9" w14:textId="77777777" w:rsidR="00271E37" w:rsidRPr="007E0A1B" w:rsidRDefault="00271E37">
            <w:r w:rsidRPr="001E7EDF">
              <w:rPr>
                <w:rFonts w:cs="Arial"/>
                <w:szCs w:val="16"/>
              </w:rPr>
              <w:t>(2,297)</w:t>
            </w:r>
          </w:p>
        </w:tc>
        <w:tc>
          <w:tcPr>
            <w:tcW w:w="1134" w:type="dxa"/>
            <w:tcBorders>
              <w:top w:val="single" w:sz="4" w:space="0" w:color="auto"/>
            </w:tcBorders>
            <w:vAlign w:val="center"/>
          </w:tcPr>
          <w:p w14:paraId="04CF987C" w14:textId="77777777" w:rsidR="00271E37" w:rsidRPr="007E0A1B" w:rsidRDefault="00271E37">
            <w:r w:rsidRPr="001E7EDF">
              <w:rPr>
                <w:rFonts w:cs="Arial"/>
                <w:szCs w:val="16"/>
              </w:rPr>
              <w:t xml:space="preserve">27,234 </w:t>
            </w:r>
          </w:p>
        </w:tc>
        <w:tc>
          <w:tcPr>
            <w:tcW w:w="1134" w:type="dxa"/>
            <w:tcBorders>
              <w:top w:val="single" w:sz="4" w:space="0" w:color="auto"/>
            </w:tcBorders>
            <w:vAlign w:val="center"/>
          </w:tcPr>
          <w:p w14:paraId="2B198877" w14:textId="77777777" w:rsidR="00271E37" w:rsidRPr="007E0A1B" w:rsidRDefault="00271E37">
            <w:r w:rsidRPr="001E7EDF">
              <w:rPr>
                <w:rFonts w:cs="Arial"/>
                <w:szCs w:val="16"/>
              </w:rPr>
              <w:t xml:space="preserve">6,246 </w:t>
            </w:r>
          </w:p>
        </w:tc>
        <w:tc>
          <w:tcPr>
            <w:tcW w:w="1134" w:type="dxa"/>
            <w:tcBorders>
              <w:top w:val="single" w:sz="4" w:space="0" w:color="auto"/>
            </w:tcBorders>
            <w:vAlign w:val="center"/>
          </w:tcPr>
          <w:p w14:paraId="0D9518A5" w14:textId="77777777" w:rsidR="00271E37" w:rsidRPr="007E0A1B" w:rsidRDefault="00271E37">
            <w:r w:rsidRPr="001E7EDF">
              <w:rPr>
                <w:rFonts w:cs="Arial"/>
                <w:szCs w:val="16"/>
              </w:rPr>
              <w:t xml:space="preserve">61,418 </w:t>
            </w:r>
          </w:p>
        </w:tc>
      </w:tr>
    </w:tbl>
    <w:p w14:paraId="2E20A3B6" w14:textId="77777777" w:rsidR="00271E37" w:rsidRDefault="00271E37" w:rsidP="002E39D4"/>
    <w:p w14:paraId="35355336" w14:textId="77777777" w:rsidR="00271E37" w:rsidRDefault="00271E37" w:rsidP="002E39D4">
      <w:r>
        <w:t>The following significant exchange rates applied to pound sterling during the year:</w:t>
      </w:r>
    </w:p>
    <w:tbl>
      <w:tblPr>
        <w:tblStyle w:val="tableDUL"/>
        <w:tblW w:w="9639" w:type="dxa"/>
        <w:tblLook w:val="04A0" w:firstRow="1" w:lastRow="0" w:firstColumn="1" w:lastColumn="0" w:noHBand="0" w:noVBand="1"/>
      </w:tblPr>
      <w:tblGrid>
        <w:gridCol w:w="5103"/>
        <w:gridCol w:w="1134"/>
        <w:gridCol w:w="1134"/>
        <w:gridCol w:w="1134"/>
        <w:gridCol w:w="1134"/>
      </w:tblGrid>
      <w:tr w:rsidR="00271E37" w:rsidRPr="00222108" w14:paraId="0C92CF45" w14:textId="77777777" w:rsidTr="002A53FA">
        <w:tc>
          <w:tcPr>
            <w:tcW w:w="0" w:type="auto"/>
            <w:tcBorders>
              <w:bottom w:val="nil"/>
            </w:tcBorders>
          </w:tcPr>
          <w:p w14:paraId="59C60D24" w14:textId="77777777" w:rsidR="00271E37" w:rsidRPr="00222108" w:rsidRDefault="00271E37" w:rsidP="00222108">
            <w:pPr>
              <w:jc w:val="left"/>
            </w:pPr>
          </w:p>
        </w:tc>
        <w:tc>
          <w:tcPr>
            <w:tcW w:w="2268" w:type="dxa"/>
            <w:gridSpan w:val="2"/>
            <w:tcBorders>
              <w:bottom w:val="single" w:sz="4" w:space="0" w:color="auto"/>
            </w:tcBorders>
          </w:tcPr>
          <w:p w14:paraId="1DF305B5" w14:textId="77777777" w:rsidR="00271E37" w:rsidRPr="00222108" w:rsidRDefault="00271E37" w:rsidP="00222108">
            <w:pPr>
              <w:jc w:val="center"/>
            </w:pPr>
            <w:r w:rsidRPr="00222108">
              <w:t>Average rate</w:t>
            </w:r>
          </w:p>
        </w:tc>
        <w:tc>
          <w:tcPr>
            <w:tcW w:w="2268" w:type="dxa"/>
            <w:gridSpan w:val="2"/>
            <w:tcBorders>
              <w:bottom w:val="single" w:sz="4" w:space="0" w:color="auto"/>
            </w:tcBorders>
          </w:tcPr>
          <w:p w14:paraId="0F2EAC40" w14:textId="77777777" w:rsidR="00271E37" w:rsidRPr="00222108" w:rsidRDefault="00271E37" w:rsidP="00222108">
            <w:pPr>
              <w:jc w:val="center"/>
            </w:pPr>
            <w:r w:rsidRPr="00222108">
              <w:t>31 March spot rate</w:t>
            </w:r>
          </w:p>
        </w:tc>
      </w:tr>
      <w:tr w:rsidR="00271E37" w:rsidRPr="00222108" w14:paraId="70CB7238" w14:textId="77777777" w:rsidTr="00222108">
        <w:tc>
          <w:tcPr>
            <w:tcW w:w="0" w:type="auto"/>
            <w:tcBorders>
              <w:bottom w:val="single" w:sz="4" w:space="0" w:color="auto"/>
            </w:tcBorders>
          </w:tcPr>
          <w:p w14:paraId="7726507F" w14:textId="77777777" w:rsidR="00271E37" w:rsidRPr="00222108" w:rsidRDefault="00271E37" w:rsidP="00222108">
            <w:pPr>
              <w:jc w:val="left"/>
            </w:pPr>
          </w:p>
        </w:tc>
        <w:tc>
          <w:tcPr>
            <w:tcW w:w="1134" w:type="dxa"/>
            <w:tcBorders>
              <w:top w:val="single" w:sz="4" w:space="0" w:color="auto"/>
              <w:bottom w:val="single" w:sz="4" w:space="0" w:color="auto"/>
            </w:tcBorders>
          </w:tcPr>
          <w:p w14:paraId="13EB0E74" w14:textId="77777777" w:rsidR="00271E37" w:rsidRPr="00222108" w:rsidRDefault="00271E37" w:rsidP="00222108">
            <w:pPr>
              <w:rPr>
                <w:b/>
                <w:bCs/>
              </w:rPr>
            </w:pPr>
            <w:r w:rsidRPr="00222108">
              <w:rPr>
                <w:b/>
                <w:bCs/>
              </w:rPr>
              <w:t>202</w:t>
            </w:r>
            <w:r>
              <w:rPr>
                <w:b/>
                <w:bCs/>
              </w:rPr>
              <w:t>6</w:t>
            </w:r>
          </w:p>
        </w:tc>
        <w:tc>
          <w:tcPr>
            <w:tcW w:w="1134" w:type="dxa"/>
            <w:tcBorders>
              <w:top w:val="single" w:sz="4" w:space="0" w:color="auto"/>
              <w:bottom w:val="single" w:sz="4" w:space="0" w:color="auto"/>
            </w:tcBorders>
          </w:tcPr>
          <w:p w14:paraId="3B96246D" w14:textId="77777777" w:rsidR="00271E37" w:rsidRPr="00222108" w:rsidRDefault="00271E37" w:rsidP="00222108">
            <w:r w:rsidRPr="00222108">
              <w:t>202</w:t>
            </w:r>
            <w:r>
              <w:t>5</w:t>
            </w:r>
          </w:p>
        </w:tc>
        <w:tc>
          <w:tcPr>
            <w:tcW w:w="1134" w:type="dxa"/>
            <w:tcBorders>
              <w:top w:val="single" w:sz="4" w:space="0" w:color="auto"/>
              <w:bottom w:val="single" w:sz="4" w:space="0" w:color="auto"/>
            </w:tcBorders>
          </w:tcPr>
          <w:p w14:paraId="0A002A7D" w14:textId="77777777" w:rsidR="00271E37" w:rsidRPr="00222108" w:rsidRDefault="00271E37" w:rsidP="00222108">
            <w:pPr>
              <w:rPr>
                <w:b/>
                <w:bCs/>
              </w:rPr>
            </w:pPr>
            <w:r w:rsidRPr="00222108">
              <w:rPr>
                <w:b/>
                <w:bCs/>
              </w:rPr>
              <w:t>202</w:t>
            </w:r>
            <w:r>
              <w:rPr>
                <w:b/>
                <w:bCs/>
              </w:rPr>
              <w:t>6</w:t>
            </w:r>
          </w:p>
        </w:tc>
        <w:tc>
          <w:tcPr>
            <w:tcW w:w="1134" w:type="dxa"/>
            <w:tcBorders>
              <w:top w:val="single" w:sz="4" w:space="0" w:color="auto"/>
              <w:bottom w:val="single" w:sz="4" w:space="0" w:color="auto"/>
            </w:tcBorders>
          </w:tcPr>
          <w:p w14:paraId="436ABC6D" w14:textId="77777777" w:rsidR="00271E37" w:rsidRPr="00222108" w:rsidRDefault="00271E37" w:rsidP="00222108">
            <w:r w:rsidRPr="00222108">
              <w:t>202</w:t>
            </w:r>
            <w:r>
              <w:t>5</w:t>
            </w:r>
          </w:p>
        </w:tc>
      </w:tr>
      <w:tr w:rsidR="00271E37" w:rsidRPr="00222108" w14:paraId="25626E7D" w14:textId="77777777">
        <w:tc>
          <w:tcPr>
            <w:tcW w:w="0" w:type="auto"/>
            <w:tcBorders>
              <w:top w:val="single" w:sz="4" w:space="0" w:color="auto"/>
            </w:tcBorders>
          </w:tcPr>
          <w:p w14:paraId="47E9B944" w14:textId="77777777" w:rsidR="00271E37" w:rsidRPr="00222108" w:rsidRDefault="00271E37">
            <w:pPr>
              <w:jc w:val="left"/>
            </w:pPr>
            <w:r w:rsidRPr="00222108">
              <w:t>Euro</w:t>
            </w:r>
          </w:p>
        </w:tc>
        <w:tc>
          <w:tcPr>
            <w:tcW w:w="1134" w:type="dxa"/>
            <w:tcBorders>
              <w:top w:val="single" w:sz="4" w:space="0" w:color="auto"/>
            </w:tcBorders>
          </w:tcPr>
          <w:p w14:paraId="6C754755" w14:textId="77777777" w:rsidR="00271E37" w:rsidRPr="009E12AF" w:rsidRDefault="00271E37">
            <w:pPr>
              <w:rPr>
                <w:b/>
                <w:bCs/>
              </w:rPr>
            </w:pPr>
            <w:r w:rsidRPr="009E12AF">
              <w:rPr>
                <w:b/>
                <w:bCs/>
              </w:rPr>
              <w:t xml:space="preserve">1.15 </w:t>
            </w:r>
          </w:p>
        </w:tc>
        <w:tc>
          <w:tcPr>
            <w:tcW w:w="1134" w:type="dxa"/>
            <w:tcBorders>
              <w:top w:val="single" w:sz="4" w:space="0" w:color="auto"/>
            </w:tcBorders>
          </w:tcPr>
          <w:p w14:paraId="6A3E7BB7" w14:textId="77777777" w:rsidR="00271E37" w:rsidRPr="002A53FA" w:rsidRDefault="00271E37">
            <w:r w:rsidRPr="003145A3">
              <w:t xml:space="preserve">1.19 </w:t>
            </w:r>
          </w:p>
        </w:tc>
        <w:tc>
          <w:tcPr>
            <w:tcW w:w="1134" w:type="dxa"/>
            <w:tcBorders>
              <w:top w:val="single" w:sz="4" w:space="0" w:color="auto"/>
            </w:tcBorders>
          </w:tcPr>
          <w:p w14:paraId="7A1D14C9" w14:textId="77777777" w:rsidR="00271E37" w:rsidRPr="009E12AF" w:rsidRDefault="00271E37">
            <w:pPr>
              <w:rPr>
                <w:b/>
                <w:bCs/>
              </w:rPr>
            </w:pPr>
            <w:r w:rsidRPr="009E12AF">
              <w:rPr>
                <w:b/>
                <w:bCs/>
              </w:rPr>
              <w:t xml:space="preserve">1.15 </w:t>
            </w:r>
          </w:p>
        </w:tc>
        <w:tc>
          <w:tcPr>
            <w:tcW w:w="1134" w:type="dxa"/>
            <w:tcBorders>
              <w:top w:val="single" w:sz="4" w:space="0" w:color="auto"/>
            </w:tcBorders>
          </w:tcPr>
          <w:p w14:paraId="48B36625" w14:textId="77777777" w:rsidR="00271E37" w:rsidRPr="002A53FA" w:rsidRDefault="00271E37">
            <w:r w:rsidRPr="003145A3">
              <w:t xml:space="preserve">1.20 </w:t>
            </w:r>
          </w:p>
        </w:tc>
      </w:tr>
      <w:tr w:rsidR="00271E37" w:rsidRPr="00222108" w14:paraId="4F52C064" w14:textId="77777777">
        <w:tc>
          <w:tcPr>
            <w:tcW w:w="0" w:type="auto"/>
          </w:tcPr>
          <w:p w14:paraId="4C356B1B" w14:textId="59EB6D4A" w:rsidR="00271E37" w:rsidRPr="00222108" w:rsidRDefault="00271E37">
            <w:pPr>
              <w:jc w:val="left"/>
            </w:pPr>
            <w:r>
              <w:lastRenderedPageBreak/>
              <w:t>US</w:t>
            </w:r>
            <w:r w:rsidR="008404E8">
              <w:t xml:space="preserve"> </w:t>
            </w:r>
            <w:r w:rsidR="003D6211">
              <w:t>d</w:t>
            </w:r>
            <w:r w:rsidR="008404E8">
              <w:t>ollar</w:t>
            </w:r>
          </w:p>
        </w:tc>
        <w:tc>
          <w:tcPr>
            <w:tcW w:w="1134" w:type="dxa"/>
          </w:tcPr>
          <w:p w14:paraId="385ABF67" w14:textId="77777777" w:rsidR="00271E37" w:rsidRPr="009E12AF" w:rsidRDefault="00271E37">
            <w:pPr>
              <w:rPr>
                <w:b/>
                <w:bCs/>
              </w:rPr>
            </w:pPr>
            <w:r w:rsidRPr="009E12AF">
              <w:rPr>
                <w:b/>
                <w:bCs/>
              </w:rPr>
              <w:t xml:space="preserve">1.34 </w:t>
            </w:r>
          </w:p>
        </w:tc>
        <w:tc>
          <w:tcPr>
            <w:tcW w:w="1134" w:type="dxa"/>
          </w:tcPr>
          <w:p w14:paraId="0C6DAF08" w14:textId="77777777" w:rsidR="00271E37" w:rsidRPr="002A53FA" w:rsidRDefault="00271E37">
            <w:r w:rsidRPr="003145A3">
              <w:t xml:space="preserve">1.28 </w:t>
            </w:r>
          </w:p>
        </w:tc>
        <w:tc>
          <w:tcPr>
            <w:tcW w:w="1134" w:type="dxa"/>
          </w:tcPr>
          <w:p w14:paraId="66E08CDC" w14:textId="77777777" w:rsidR="00271E37" w:rsidRPr="009E12AF" w:rsidRDefault="00271E37">
            <w:pPr>
              <w:rPr>
                <w:b/>
                <w:bCs/>
              </w:rPr>
            </w:pPr>
            <w:r w:rsidRPr="009E12AF">
              <w:rPr>
                <w:b/>
                <w:bCs/>
              </w:rPr>
              <w:t xml:space="preserve">1.32 </w:t>
            </w:r>
          </w:p>
        </w:tc>
        <w:tc>
          <w:tcPr>
            <w:tcW w:w="1134" w:type="dxa"/>
          </w:tcPr>
          <w:p w14:paraId="4F88D4A6" w14:textId="77777777" w:rsidR="00271E37" w:rsidRPr="002A53FA" w:rsidRDefault="00271E37">
            <w:r w:rsidRPr="003145A3">
              <w:t xml:space="preserve">1.29 </w:t>
            </w:r>
          </w:p>
        </w:tc>
      </w:tr>
    </w:tbl>
    <w:p w14:paraId="34AB9F3C" w14:textId="77777777" w:rsidR="00271E37" w:rsidRDefault="00271E37" w:rsidP="002E39D4"/>
    <w:p w14:paraId="370891A5" w14:textId="77777777" w:rsidR="00271E37" w:rsidRPr="00222108" w:rsidRDefault="00271E37" w:rsidP="002E39D4">
      <w:pPr>
        <w:rPr>
          <w:i/>
          <w:iCs/>
        </w:rPr>
      </w:pPr>
      <w:r w:rsidRPr="00222108">
        <w:rPr>
          <w:i/>
          <w:iCs/>
        </w:rPr>
        <w:t>Sensitivity analysis</w:t>
      </w:r>
    </w:p>
    <w:p w14:paraId="5EC84067" w14:textId="77777777" w:rsidR="00271E37" w:rsidRDefault="00271E37" w:rsidP="002E39D4">
      <w:r>
        <w:t>A 10% weakening of the following currencies against pound sterling at 31 March 2026 would have affected equity and profit or loss by the amounts shown below. This calculation assumes that the change occurred at the balance sheet date and had been applied to risk exposures existing at that date.</w:t>
      </w:r>
    </w:p>
    <w:p w14:paraId="435BAAFA" w14:textId="77777777" w:rsidR="00271E37" w:rsidRDefault="00271E37" w:rsidP="002E39D4"/>
    <w:p w14:paraId="2EBB0074" w14:textId="77777777" w:rsidR="00271E37" w:rsidRDefault="00271E37" w:rsidP="002E39D4">
      <w:r>
        <w:t>This analysis assumes that all other variables, in particular other exchange rates and interest rates, remain constant. The analysis was performed on the same basis for 31 March 2025.</w:t>
      </w:r>
    </w:p>
    <w:tbl>
      <w:tblPr>
        <w:tblStyle w:val="tableDUL"/>
        <w:tblW w:w="9639" w:type="dxa"/>
        <w:tblLook w:val="04A0" w:firstRow="1" w:lastRow="0" w:firstColumn="1" w:lastColumn="0" w:noHBand="0" w:noVBand="1"/>
      </w:tblPr>
      <w:tblGrid>
        <w:gridCol w:w="5103"/>
        <w:gridCol w:w="1134"/>
        <w:gridCol w:w="1134"/>
        <w:gridCol w:w="1134"/>
        <w:gridCol w:w="1134"/>
      </w:tblGrid>
      <w:tr w:rsidR="00271E37" w:rsidRPr="00222108" w14:paraId="42841B01" w14:textId="77777777" w:rsidTr="002A53FA">
        <w:tc>
          <w:tcPr>
            <w:tcW w:w="0" w:type="auto"/>
          </w:tcPr>
          <w:p w14:paraId="570D2E7E" w14:textId="77777777" w:rsidR="00271E37" w:rsidRPr="00222108" w:rsidRDefault="00271E37" w:rsidP="00222108">
            <w:pPr>
              <w:jc w:val="left"/>
            </w:pPr>
          </w:p>
        </w:tc>
        <w:tc>
          <w:tcPr>
            <w:tcW w:w="2268" w:type="dxa"/>
            <w:gridSpan w:val="2"/>
            <w:tcBorders>
              <w:bottom w:val="single" w:sz="4" w:space="0" w:color="auto"/>
            </w:tcBorders>
          </w:tcPr>
          <w:p w14:paraId="2FBD7523" w14:textId="77777777" w:rsidR="00271E37" w:rsidRPr="00222108" w:rsidRDefault="00271E37" w:rsidP="00222108">
            <w:pPr>
              <w:jc w:val="center"/>
            </w:pPr>
            <w:r w:rsidRPr="00222108">
              <w:t>Equity</w:t>
            </w:r>
          </w:p>
        </w:tc>
        <w:tc>
          <w:tcPr>
            <w:tcW w:w="2268" w:type="dxa"/>
            <w:gridSpan w:val="2"/>
            <w:tcBorders>
              <w:bottom w:val="single" w:sz="4" w:space="0" w:color="auto"/>
            </w:tcBorders>
          </w:tcPr>
          <w:p w14:paraId="12437FA2" w14:textId="37CC9423" w:rsidR="00271E37" w:rsidRPr="00222108" w:rsidRDefault="00271E37" w:rsidP="00222108">
            <w:pPr>
              <w:jc w:val="center"/>
            </w:pPr>
            <w:r>
              <w:t xml:space="preserve">Profit or </w:t>
            </w:r>
            <w:r w:rsidR="00C86738">
              <w:t>l</w:t>
            </w:r>
            <w:r w:rsidRPr="00222108">
              <w:t>oss</w:t>
            </w:r>
          </w:p>
        </w:tc>
      </w:tr>
      <w:tr w:rsidR="00271E37" w:rsidRPr="00222108" w14:paraId="47AEE0BC" w14:textId="77777777">
        <w:tc>
          <w:tcPr>
            <w:tcW w:w="0" w:type="auto"/>
            <w:tcBorders>
              <w:bottom w:val="nil"/>
            </w:tcBorders>
          </w:tcPr>
          <w:p w14:paraId="610CD532" w14:textId="77777777" w:rsidR="00271E37" w:rsidRPr="00222108" w:rsidRDefault="00271E37" w:rsidP="00222108">
            <w:pPr>
              <w:jc w:val="left"/>
            </w:pPr>
          </w:p>
        </w:tc>
        <w:tc>
          <w:tcPr>
            <w:tcW w:w="1134" w:type="dxa"/>
            <w:tcBorders>
              <w:top w:val="single" w:sz="4" w:space="0" w:color="auto"/>
              <w:bottom w:val="nil"/>
            </w:tcBorders>
          </w:tcPr>
          <w:p w14:paraId="445BC537" w14:textId="77777777" w:rsidR="00271E37" w:rsidRPr="00222108" w:rsidRDefault="00271E37">
            <w:pPr>
              <w:rPr>
                <w:b/>
                <w:bCs/>
              </w:rPr>
            </w:pPr>
            <w:r w:rsidRPr="00222108">
              <w:rPr>
                <w:b/>
                <w:bCs/>
              </w:rPr>
              <w:t>202</w:t>
            </w:r>
            <w:r>
              <w:rPr>
                <w:b/>
                <w:bCs/>
              </w:rPr>
              <w:t>6</w:t>
            </w:r>
          </w:p>
        </w:tc>
        <w:tc>
          <w:tcPr>
            <w:tcW w:w="1134" w:type="dxa"/>
            <w:tcBorders>
              <w:top w:val="single" w:sz="4" w:space="0" w:color="auto"/>
              <w:bottom w:val="nil"/>
            </w:tcBorders>
          </w:tcPr>
          <w:p w14:paraId="0FA9B7F5" w14:textId="77777777" w:rsidR="00271E37" w:rsidRPr="00222108" w:rsidRDefault="00271E37">
            <w:r w:rsidRPr="00222108">
              <w:t>202</w:t>
            </w:r>
            <w:r>
              <w:t>5</w:t>
            </w:r>
          </w:p>
        </w:tc>
        <w:tc>
          <w:tcPr>
            <w:tcW w:w="1134" w:type="dxa"/>
            <w:tcBorders>
              <w:top w:val="single" w:sz="4" w:space="0" w:color="auto"/>
              <w:bottom w:val="nil"/>
            </w:tcBorders>
          </w:tcPr>
          <w:p w14:paraId="7D02F7D5" w14:textId="77777777" w:rsidR="00271E37" w:rsidRPr="00222108" w:rsidRDefault="00271E37">
            <w:pPr>
              <w:rPr>
                <w:b/>
                <w:bCs/>
              </w:rPr>
            </w:pPr>
            <w:r w:rsidRPr="00222108">
              <w:rPr>
                <w:b/>
                <w:bCs/>
              </w:rPr>
              <w:t>202</w:t>
            </w:r>
            <w:r>
              <w:rPr>
                <w:b/>
                <w:bCs/>
              </w:rPr>
              <w:t>6</w:t>
            </w:r>
          </w:p>
        </w:tc>
        <w:tc>
          <w:tcPr>
            <w:tcW w:w="1134" w:type="dxa"/>
            <w:tcBorders>
              <w:top w:val="single" w:sz="4" w:space="0" w:color="auto"/>
              <w:bottom w:val="nil"/>
            </w:tcBorders>
          </w:tcPr>
          <w:p w14:paraId="75EAB1AB" w14:textId="77777777" w:rsidR="00271E37" w:rsidRPr="00222108" w:rsidRDefault="00271E37">
            <w:r w:rsidRPr="00222108">
              <w:t>202</w:t>
            </w:r>
            <w:r>
              <w:t>5</w:t>
            </w:r>
          </w:p>
        </w:tc>
      </w:tr>
      <w:tr w:rsidR="00271E37" w:rsidRPr="00222108" w14:paraId="3FA2CE4F" w14:textId="77777777">
        <w:tc>
          <w:tcPr>
            <w:tcW w:w="0" w:type="auto"/>
            <w:tcBorders>
              <w:bottom w:val="single" w:sz="4" w:space="0" w:color="auto"/>
            </w:tcBorders>
          </w:tcPr>
          <w:p w14:paraId="1AF070A1" w14:textId="77777777" w:rsidR="00271E37" w:rsidRPr="00222108" w:rsidRDefault="00271E37" w:rsidP="00222108">
            <w:pPr>
              <w:jc w:val="left"/>
            </w:pPr>
          </w:p>
        </w:tc>
        <w:tc>
          <w:tcPr>
            <w:tcW w:w="1134" w:type="dxa"/>
            <w:tcBorders>
              <w:bottom w:val="single" w:sz="4" w:space="0" w:color="auto"/>
            </w:tcBorders>
          </w:tcPr>
          <w:p w14:paraId="151D8C49" w14:textId="77777777" w:rsidR="00271E37" w:rsidRPr="00222108" w:rsidRDefault="00271E37">
            <w:pPr>
              <w:rPr>
                <w:b/>
                <w:bCs/>
              </w:rPr>
            </w:pPr>
            <w:r>
              <w:rPr>
                <w:b/>
                <w:bCs/>
              </w:rPr>
              <w:t>£</w:t>
            </w:r>
            <w:r w:rsidRPr="00222108">
              <w:rPr>
                <w:b/>
                <w:bCs/>
              </w:rPr>
              <w:t>000</w:t>
            </w:r>
          </w:p>
        </w:tc>
        <w:tc>
          <w:tcPr>
            <w:tcW w:w="1134" w:type="dxa"/>
            <w:tcBorders>
              <w:bottom w:val="single" w:sz="4" w:space="0" w:color="auto"/>
            </w:tcBorders>
          </w:tcPr>
          <w:p w14:paraId="299B7E0D" w14:textId="77777777" w:rsidR="00271E37" w:rsidRPr="00222108" w:rsidRDefault="00271E37">
            <w:r>
              <w:t>£</w:t>
            </w:r>
            <w:r w:rsidRPr="00222108">
              <w:t>000</w:t>
            </w:r>
          </w:p>
        </w:tc>
        <w:tc>
          <w:tcPr>
            <w:tcW w:w="1134" w:type="dxa"/>
            <w:tcBorders>
              <w:bottom w:val="single" w:sz="4" w:space="0" w:color="auto"/>
            </w:tcBorders>
          </w:tcPr>
          <w:p w14:paraId="4D3F6EAC" w14:textId="77777777" w:rsidR="00271E37" w:rsidRPr="00222108" w:rsidRDefault="00271E37">
            <w:pPr>
              <w:rPr>
                <w:b/>
                <w:bCs/>
              </w:rPr>
            </w:pPr>
            <w:r>
              <w:rPr>
                <w:b/>
                <w:bCs/>
              </w:rPr>
              <w:t>£</w:t>
            </w:r>
            <w:r w:rsidRPr="00222108">
              <w:rPr>
                <w:b/>
                <w:bCs/>
              </w:rPr>
              <w:t>000</w:t>
            </w:r>
          </w:p>
        </w:tc>
        <w:tc>
          <w:tcPr>
            <w:tcW w:w="1134" w:type="dxa"/>
            <w:tcBorders>
              <w:bottom w:val="single" w:sz="4" w:space="0" w:color="auto"/>
            </w:tcBorders>
          </w:tcPr>
          <w:p w14:paraId="15858DEF" w14:textId="77777777" w:rsidR="00271E37" w:rsidRPr="00222108" w:rsidRDefault="00271E37">
            <w:r>
              <w:t>£</w:t>
            </w:r>
            <w:r w:rsidRPr="00222108">
              <w:t>000</w:t>
            </w:r>
          </w:p>
        </w:tc>
      </w:tr>
      <w:tr w:rsidR="00271E37" w:rsidRPr="00222108" w14:paraId="6333E1DE" w14:textId="77777777">
        <w:tc>
          <w:tcPr>
            <w:tcW w:w="0" w:type="auto"/>
            <w:tcBorders>
              <w:top w:val="single" w:sz="4" w:space="0" w:color="auto"/>
            </w:tcBorders>
          </w:tcPr>
          <w:p w14:paraId="63D18749" w14:textId="77777777" w:rsidR="00271E37" w:rsidRPr="00222108" w:rsidRDefault="00271E37">
            <w:pPr>
              <w:jc w:val="left"/>
            </w:pPr>
            <w:r w:rsidRPr="00222108">
              <w:t>Euro</w:t>
            </w:r>
          </w:p>
        </w:tc>
        <w:tc>
          <w:tcPr>
            <w:tcW w:w="1134" w:type="dxa"/>
            <w:tcBorders>
              <w:top w:val="single" w:sz="4" w:space="0" w:color="auto"/>
            </w:tcBorders>
            <w:vAlign w:val="center"/>
          </w:tcPr>
          <w:p w14:paraId="783FEC82" w14:textId="4A1B343F" w:rsidR="00271E37" w:rsidRPr="009E12AF" w:rsidRDefault="00271E37">
            <w:pPr>
              <w:rPr>
                <w:b/>
                <w:bCs/>
              </w:rPr>
            </w:pPr>
            <w:r w:rsidRPr="00B8452B">
              <w:rPr>
                <w:rFonts w:cs="Arial"/>
                <w:b/>
                <w:color w:val="000000"/>
                <w:szCs w:val="16"/>
              </w:rPr>
              <w:t>1,</w:t>
            </w:r>
            <w:r w:rsidR="008568F4" w:rsidRPr="00B8452B">
              <w:rPr>
                <w:rFonts w:cs="Arial"/>
                <w:b/>
                <w:color w:val="000000"/>
                <w:szCs w:val="16"/>
              </w:rPr>
              <w:t>527</w:t>
            </w:r>
            <w:r w:rsidR="008568F4">
              <w:rPr>
                <w:rFonts w:cs="Arial"/>
                <w:b/>
                <w:bCs/>
                <w:color w:val="000000"/>
                <w:szCs w:val="16"/>
              </w:rPr>
              <w:t xml:space="preserve"> </w:t>
            </w:r>
          </w:p>
        </w:tc>
        <w:tc>
          <w:tcPr>
            <w:tcW w:w="1134" w:type="dxa"/>
            <w:tcBorders>
              <w:top w:val="single" w:sz="4" w:space="0" w:color="auto"/>
            </w:tcBorders>
          </w:tcPr>
          <w:p w14:paraId="47613422" w14:textId="3E5BDDE7" w:rsidR="00271E37" w:rsidRPr="002A53FA" w:rsidRDefault="00344C4B">
            <w:r>
              <w:t>(209)</w:t>
            </w:r>
            <w:r w:rsidR="00271E37" w:rsidRPr="00D102F8">
              <w:t xml:space="preserve"> </w:t>
            </w:r>
          </w:p>
        </w:tc>
        <w:tc>
          <w:tcPr>
            <w:tcW w:w="1134" w:type="dxa"/>
            <w:tcBorders>
              <w:top w:val="single" w:sz="4" w:space="0" w:color="auto"/>
            </w:tcBorders>
          </w:tcPr>
          <w:p w14:paraId="7719CE65" w14:textId="77777777" w:rsidR="00271E37" w:rsidRPr="009E12AF" w:rsidRDefault="00271E37">
            <w:pPr>
              <w:rPr>
                <w:b/>
                <w:bCs/>
              </w:rPr>
            </w:pPr>
            <w:r w:rsidRPr="009E12AF">
              <w:rPr>
                <w:b/>
                <w:bCs/>
              </w:rPr>
              <w:t xml:space="preserve">966 </w:t>
            </w:r>
          </w:p>
        </w:tc>
        <w:tc>
          <w:tcPr>
            <w:tcW w:w="1134" w:type="dxa"/>
            <w:tcBorders>
              <w:top w:val="single" w:sz="4" w:space="0" w:color="auto"/>
            </w:tcBorders>
          </w:tcPr>
          <w:p w14:paraId="340FF4EC" w14:textId="655CC2EE" w:rsidR="00271E37" w:rsidRPr="002A53FA" w:rsidRDefault="00271E37">
            <w:r w:rsidRPr="00D102F8">
              <w:t>(</w:t>
            </w:r>
            <w:r w:rsidR="008528C5">
              <w:t>543</w:t>
            </w:r>
            <w:r w:rsidRPr="00D102F8">
              <w:t>)</w:t>
            </w:r>
          </w:p>
        </w:tc>
      </w:tr>
      <w:tr w:rsidR="00271E37" w:rsidRPr="00222108" w14:paraId="1878F694" w14:textId="77777777">
        <w:tc>
          <w:tcPr>
            <w:tcW w:w="0" w:type="auto"/>
          </w:tcPr>
          <w:p w14:paraId="586CDD36" w14:textId="32AF0066" w:rsidR="00271E37" w:rsidRPr="00222108" w:rsidRDefault="00271E37">
            <w:pPr>
              <w:jc w:val="left"/>
            </w:pPr>
            <w:r>
              <w:t>US</w:t>
            </w:r>
            <w:r w:rsidR="008404E8">
              <w:t xml:space="preserve"> </w:t>
            </w:r>
            <w:r w:rsidR="003D6211">
              <w:t>d</w:t>
            </w:r>
            <w:r w:rsidR="008404E8">
              <w:t>ollar</w:t>
            </w:r>
          </w:p>
        </w:tc>
        <w:tc>
          <w:tcPr>
            <w:tcW w:w="1134" w:type="dxa"/>
            <w:vAlign w:val="center"/>
          </w:tcPr>
          <w:p w14:paraId="636F391B" w14:textId="7EAF1E05" w:rsidR="00271E37" w:rsidRPr="009E12AF" w:rsidRDefault="00344C4B">
            <w:pPr>
              <w:rPr>
                <w:b/>
                <w:bCs/>
              </w:rPr>
            </w:pPr>
            <w:r>
              <w:rPr>
                <w:rFonts w:cs="Arial"/>
                <w:b/>
                <w:bCs/>
                <w:color w:val="000000"/>
                <w:szCs w:val="16"/>
              </w:rPr>
              <w:t>366</w:t>
            </w:r>
            <w:r w:rsidR="00271E37">
              <w:rPr>
                <w:rFonts w:cs="Arial"/>
                <w:b/>
                <w:bCs/>
                <w:color w:val="000000"/>
                <w:szCs w:val="16"/>
              </w:rPr>
              <w:t xml:space="preserve"> </w:t>
            </w:r>
          </w:p>
        </w:tc>
        <w:tc>
          <w:tcPr>
            <w:tcW w:w="1134" w:type="dxa"/>
          </w:tcPr>
          <w:p w14:paraId="3CEEAE81" w14:textId="1F1FA546" w:rsidR="00271E37" w:rsidRPr="002A53FA" w:rsidRDefault="00344C4B">
            <w:r>
              <w:t>2,</w:t>
            </w:r>
            <w:r w:rsidR="008528C5">
              <w:t>476</w:t>
            </w:r>
            <w:r w:rsidR="00271E37" w:rsidRPr="00D102F8">
              <w:t xml:space="preserve"> </w:t>
            </w:r>
          </w:p>
        </w:tc>
        <w:tc>
          <w:tcPr>
            <w:tcW w:w="1134" w:type="dxa"/>
          </w:tcPr>
          <w:p w14:paraId="2BA961B5" w14:textId="1C1420DC" w:rsidR="00271E37" w:rsidRPr="009E12AF" w:rsidRDefault="008528C5">
            <w:pPr>
              <w:rPr>
                <w:b/>
                <w:bCs/>
              </w:rPr>
            </w:pPr>
            <w:r>
              <w:rPr>
                <w:b/>
                <w:bCs/>
              </w:rPr>
              <w:t>362</w:t>
            </w:r>
            <w:r w:rsidR="00271E37" w:rsidRPr="009E12AF">
              <w:rPr>
                <w:b/>
                <w:bCs/>
              </w:rPr>
              <w:t xml:space="preserve"> </w:t>
            </w:r>
          </w:p>
        </w:tc>
        <w:tc>
          <w:tcPr>
            <w:tcW w:w="1134" w:type="dxa"/>
          </w:tcPr>
          <w:p w14:paraId="1C16243D" w14:textId="4B3D54C3" w:rsidR="00271E37" w:rsidRPr="002A53FA" w:rsidRDefault="008528C5">
            <w:r>
              <w:t>2</w:t>
            </w:r>
            <w:r w:rsidR="00CE47D8">
              <w:t>,543</w:t>
            </w:r>
          </w:p>
        </w:tc>
      </w:tr>
    </w:tbl>
    <w:p w14:paraId="73984B01" w14:textId="77777777" w:rsidR="00271E37" w:rsidRDefault="00271E37" w:rsidP="002E39D4"/>
    <w:p w14:paraId="34824AE4" w14:textId="77777777" w:rsidR="00271E37" w:rsidRDefault="00271E37" w:rsidP="002E39D4">
      <w:r>
        <w:t>On the basis of the same assumptions, a 10% strengthening of the currencies against pound sterling at 31 March 2026 would have affected equity and profit or loss by the following amounts:</w:t>
      </w:r>
    </w:p>
    <w:tbl>
      <w:tblPr>
        <w:tblStyle w:val="tableDUL"/>
        <w:tblW w:w="9639" w:type="dxa"/>
        <w:tblLook w:val="04A0" w:firstRow="1" w:lastRow="0" w:firstColumn="1" w:lastColumn="0" w:noHBand="0" w:noVBand="1"/>
      </w:tblPr>
      <w:tblGrid>
        <w:gridCol w:w="5103"/>
        <w:gridCol w:w="1134"/>
        <w:gridCol w:w="1134"/>
        <w:gridCol w:w="1134"/>
        <w:gridCol w:w="1134"/>
      </w:tblGrid>
      <w:tr w:rsidR="00271E37" w:rsidRPr="00222108" w14:paraId="53E761EB" w14:textId="77777777" w:rsidTr="002A53FA">
        <w:tc>
          <w:tcPr>
            <w:tcW w:w="0" w:type="auto"/>
          </w:tcPr>
          <w:p w14:paraId="057FEB77" w14:textId="77777777" w:rsidR="00271E37" w:rsidRPr="00222108" w:rsidRDefault="00271E37" w:rsidP="00222108">
            <w:pPr>
              <w:jc w:val="left"/>
            </w:pPr>
          </w:p>
        </w:tc>
        <w:tc>
          <w:tcPr>
            <w:tcW w:w="2268" w:type="dxa"/>
            <w:gridSpan w:val="2"/>
            <w:tcBorders>
              <w:bottom w:val="single" w:sz="4" w:space="0" w:color="auto"/>
            </w:tcBorders>
          </w:tcPr>
          <w:p w14:paraId="1778F785" w14:textId="77777777" w:rsidR="00271E37" w:rsidRPr="00222108" w:rsidRDefault="00271E37" w:rsidP="00222108">
            <w:pPr>
              <w:jc w:val="center"/>
            </w:pPr>
            <w:r w:rsidRPr="00222108">
              <w:t>Equity</w:t>
            </w:r>
          </w:p>
        </w:tc>
        <w:tc>
          <w:tcPr>
            <w:tcW w:w="2268" w:type="dxa"/>
            <w:gridSpan w:val="2"/>
            <w:tcBorders>
              <w:bottom w:val="single" w:sz="4" w:space="0" w:color="auto"/>
            </w:tcBorders>
          </w:tcPr>
          <w:p w14:paraId="16BC6124" w14:textId="0AE9A990" w:rsidR="00271E37" w:rsidRPr="00222108" w:rsidRDefault="00271E37" w:rsidP="00222108">
            <w:pPr>
              <w:jc w:val="center"/>
            </w:pPr>
            <w:r>
              <w:t xml:space="preserve">Profit or </w:t>
            </w:r>
            <w:r w:rsidR="00C86738">
              <w:t>l</w:t>
            </w:r>
            <w:r w:rsidRPr="00222108">
              <w:t>oss</w:t>
            </w:r>
          </w:p>
        </w:tc>
      </w:tr>
      <w:tr w:rsidR="00271E37" w:rsidRPr="00222108" w14:paraId="48AC4878" w14:textId="77777777">
        <w:tc>
          <w:tcPr>
            <w:tcW w:w="0" w:type="auto"/>
            <w:tcBorders>
              <w:bottom w:val="nil"/>
            </w:tcBorders>
          </w:tcPr>
          <w:p w14:paraId="6EA444EB" w14:textId="77777777" w:rsidR="00271E37" w:rsidRPr="00222108" w:rsidRDefault="00271E37" w:rsidP="00222108">
            <w:pPr>
              <w:jc w:val="left"/>
            </w:pPr>
          </w:p>
        </w:tc>
        <w:tc>
          <w:tcPr>
            <w:tcW w:w="1134" w:type="dxa"/>
            <w:tcBorders>
              <w:top w:val="single" w:sz="4" w:space="0" w:color="auto"/>
              <w:bottom w:val="nil"/>
            </w:tcBorders>
          </w:tcPr>
          <w:p w14:paraId="2EF4CF54" w14:textId="77777777" w:rsidR="00271E37" w:rsidRPr="00222108" w:rsidRDefault="00271E37">
            <w:pPr>
              <w:rPr>
                <w:b/>
                <w:bCs/>
              </w:rPr>
            </w:pPr>
            <w:r w:rsidRPr="00222108">
              <w:rPr>
                <w:b/>
                <w:bCs/>
              </w:rPr>
              <w:t>202</w:t>
            </w:r>
            <w:r>
              <w:rPr>
                <w:b/>
                <w:bCs/>
              </w:rPr>
              <w:t>6</w:t>
            </w:r>
          </w:p>
        </w:tc>
        <w:tc>
          <w:tcPr>
            <w:tcW w:w="1134" w:type="dxa"/>
            <w:tcBorders>
              <w:top w:val="single" w:sz="4" w:space="0" w:color="auto"/>
              <w:bottom w:val="nil"/>
            </w:tcBorders>
          </w:tcPr>
          <w:p w14:paraId="00C288FC" w14:textId="77777777" w:rsidR="00271E37" w:rsidRPr="00222108" w:rsidRDefault="00271E37">
            <w:r w:rsidRPr="00222108">
              <w:t>202</w:t>
            </w:r>
            <w:r>
              <w:t>5</w:t>
            </w:r>
          </w:p>
        </w:tc>
        <w:tc>
          <w:tcPr>
            <w:tcW w:w="1134" w:type="dxa"/>
            <w:tcBorders>
              <w:top w:val="single" w:sz="4" w:space="0" w:color="auto"/>
              <w:bottom w:val="nil"/>
            </w:tcBorders>
          </w:tcPr>
          <w:p w14:paraId="420DD941" w14:textId="77777777" w:rsidR="00271E37" w:rsidRPr="00222108" w:rsidRDefault="00271E37">
            <w:pPr>
              <w:rPr>
                <w:b/>
                <w:bCs/>
              </w:rPr>
            </w:pPr>
            <w:r w:rsidRPr="00222108">
              <w:rPr>
                <w:b/>
                <w:bCs/>
              </w:rPr>
              <w:t>202</w:t>
            </w:r>
            <w:r>
              <w:rPr>
                <w:b/>
                <w:bCs/>
              </w:rPr>
              <w:t>6</w:t>
            </w:r>
          </w:p>
        </w:tc>
        <w:tc>
          <w:tcPr>
            <w:tcW w:w="1134" w:type="dxa"/>
            <w:tcBorders>
              <w:top w:val="single" w:sz="4" w:space="0" w:color="auto"/>
              <w:bottom w:val="nil"/>
            </w:tcBorders>
          </w:tcPr>
          <w:p w14:paraId="285464D0" w14:textId="77777777" w:rsidR="00271E37" w:rsidRPr="00222108" w:rsidRDefault="00271E37">
            <w:r w:rsidRPr="00222108">
              <w:t>202</w:t>
            </w:r>
            <w:r>
              <w:t>5</w:t>
            </w:r>
          </w:p>
        </w:tc>
      </w:tr>
      <w:tr w:rsidR="00271E37" w:rsidRPr="00222108" w14:paraId="0809BB43" w14:textId="77777777">
        <w:tc>
          <w:tcPr>
            <w:tcW w:w="0" w:type="auto"/>
            <w:tcBorders>
              <w:bottom w:val="single" w:sz="4" w:space="0" w:color="auto"/>
            </w:tcBorders>
          </w:tcPr>
          <w:p w14:paraId="1464F352" w14:textId="77777777" w:rsidR="00271E37" w:rsidRPr="00222108" w:rsidRDefault="00271E37" w:rsidP="00222108">
            <w:pPr>
              <w:jc w:val="left"/>
            </w:pPr>
          </w:p>
        </w:tc>
        <w:tc>
          <w:tcPr>
            <w:tcW w:w="1134" w:type="dxa"/>
            <w:tcBorders>
              <w:bottom w:val="single" w:sz="4" w:space="0" w:color="auto"/>
            </w:tcBorders>
          </w:tcPr>
          <w:p w14:paraId="7FD74E74" w14:textId="77777777" w:rsidR="00271E37" w:rsidRPr="00222108" w:rsidRDefault="00271E37">
            <w:pPr>
              <w:rPr>
                <w:b/>
                <w:bCs/>
              </w:rPr>
            </w:pPr>
            <w:r>
              <w:rPr>
                <w:b/>
                <w:bCs/>
              </w:rPr>
              <w:t>£</w:t>
            </w:r>
            <w:r w:rsidRPr="00222108">
              <w:rPr>
                <w:b/>
                <w:bCs/>
              </w:rPr>
              <w:t>000</w:t>
            </w:r>
          </w:p>
        </w:tc>
        <w:tc>
          <w:tcPr>
            <w:tcW w:w="1134" w:type="dxa"/>
            <w:tcBorders>
              <w:bottom w:val="single" w:sz="4" w:space="0" w:color="auto"/>
            </w:tcBorders>
          </w:tcPr>
          <w:p w14:paraId="01E9A4CA" w14:textId="77777777" w:rsidR="00271E37" w:rsidRPr="00222108" w:rsidRDefault="00271E37">
            <w:r>
              <w:t>£</w:t>
            </w:r>
            <w:r w:rsidRPr="00222108">
              <w:t>000</w:t>
            </w:r>
          </w:p>
        </w:tc>
        <w:tc>
          <w:tcPr>
            <w:tcW w:w="1134" w:type="dxa"/>
            <w:tcBorders>
              <w:bottom w:val="single" w:sz="4" w:space="0" w:color="auto"/>
            </w:tcBorders>
          </w:tcPr>
          <w:p w14:paraId="7B639B8B" w14:textId="77777777" w:rsidR="00271E37" w:rsidRPr="00222108" w:rsidRDefault="00271E37">
            <w:pPr>
              <w:rPr>
                <w:b/>
                <w:bCs/>
              </w:rPr>
            </w:pPr>
            <w:r>
              <w:rPr>
                <w:b/>
                <w:bCs/>
              </w:rPr>
              <w:t>£</w:t>
            </w:r>
            <w:r w:rsidRPr="00222108">
              <w:rPr>
                <w:b/>
                <w:bCs/>
              </w:rPr>
              <w:t>000</w:t>
            </w:r>
          </w:p>
        </w:tc>
        <w:tc>
          <w:tcPr>
            <w:tcW w:w="1134" w:type="dxa"/>
            <w:tcBorders>
              <w:bottom w:val="single" w:sz="4" w:space="0" w:color="auto"/>
            </w:tcBorders>
          </w:tcPr>
          <w:p w14:paraId="37530C40" w14:textId="77777777" w:rsidR="00271E37" w:rsidRPr="00222108" w:rsidRDefault="00271E37">
            <w:r>
              <w:t>£</w:t>
            </w:r>
            <w:r w:rsidRPr="00222108">
              <w:t>000</w:t>
            </w:r>
          </w:p>
        </w:tc>
      </w:tr>
      <w:tr w:rsidR="00271E37" w:rsidRPr="00222108" w14:paraId="625F6AEF" w14:textId="77777777">
        <w:tc>
          <w:tcPr>
            <w:tcW w:w="0" w:type="auto"/>
            <w:tcBorders>
              <w:top w:val="single" w:sz="4" w:space="0" w:color="auto"/>
            </w:tcBorders>
          </w:tcPr>
          <w:p w14:paraId="78619BCE" w14:textId="77777777" w:rsidR="00271E37" w:rsidRPr="00222108" w:rsidRDefault="00271E37">
            <w:pPr>
              <w:jc w:val="left"/>
            </w:pPr>
            <w:r w:rsidRPr="00222108">
              <w:t>Euro</w:t>
            </w:r>
          </w:p>
        </w:tc>
        <w:tc>
          <w:tcPr>
            <w:tcW w:w="1134" w:type="dxa"/>
            <w:tcBorders>
              <w:top w:val="single" w:sz="4" w:space="0" w:color="auto"/>
            </w:tcBorders>
            <w:vAlign w:val="center"/>
          </w:tcPr>
          <w:p w14:paraId="53A31CF4" w14:textId="10B01E8B" w:rsidR="00271E37" w:rsidRPr="00B8452B" w:rsidRDefault="00271E37">
            <w:pPr>
              <w:rPr>
                <w:b/>
              </w:rPr>
            </w:pPr>
            <w:r w:rsidRPr="00B8452B">
              <w:rPr>
                <w:rFonts w:cs="Arial"/>
                <w:b/>
                <w:color w:val="000000"/>
                <w:szCs w:val="16"/>
              </w:rPr>
              <w:t>(1,8</w:t>
            </w:r>
            <w:r w:rsidR="001C6922" w:rsidRPr="00B8452B">
              <w:rPr>
                <w:rFonts w:cs="Arial"/>
                <w:b/>
                <w:color w:val="000000"/>
                <w:szCs w:val="16"/>
              </w:rPr>
              <w:t>66</w:t>
            </w:r>
            <w:r w:rsidRPr="00B8452B" w:rsidDel="006358FA">
              <w:rPr>
                <w:rFonts w:cs="Arial"/>
                <w:b/>
                <w:color w:val="000000"/>
                <w:szCs w:val="16"/>
              </w:rPr>
              <w:t>)</w:t>
            </w:r>
          </w:p>
        </w:tc>
        <w:tc>
          <w:tcPr>
            <w:tcW w:w="1134" w:type="dxa"/>
            <w:tcBorders>
              <w:top w:val="single" w:sz="4" w:space="0" w:color="auto"/>
            </w:tcBorders>
          </w:tcPr>
          <w:p w14:paraId="339AA4DE" w14:textId="411AC24B" w:rsidR="00271E37" w:rsidRPr="002A53FA" w:rsidRDefault="00CE47D8">
            <w:r>
              <w:t>255</w:t>
            </w:r>
          </w:p>
        </w:tc>
        <w:tc>
          <w:tcPr>
            <w:tcW w:w="1134" w:type="dxa"/>
            <w:tcBorders>
              <w:top w:val="single" w:sz="4" w:space="0" w:color="auto"/>
            </w:tcBorders>
          </w:tcPr>
          <w:p w14:paraId="4EB3A586" w14:textId="77777777" w:rsidR="00271E37" w:rsidRPr="009E12AF" w:rsidRDefault="00271E37">
            <w:pPr>
              <w:rPr>
                <w:b/>
                <w:bCs/>
              </w:rPr>
            </w:pPr>
            <w:r w:rsidRPr="009E12AF">
              <w:rPr>
                <w:b/>
                <w:bCs/>
              </w:rPr>
              <w:t>(1,180)</w:t>
            </w:r>
          </w:p>
        </w:tc>
        <w:tc>
          <w:tcPr>
            <w:tcW w:w="1134" w:type="dxa"/>
            <w:tcBorders>
              <w:top w:val="single" w:sz="4" w:space="0" w:color="auto"/>
            </w:tcBorders>
          </w:tcPr>
          <w:p w14:paraId="5CE1ED74" w14:textId="3A9C8DF0" w:rsidR="00271E37" w:rsidRPr="002A53FA" w:rsidRDefault="00CE47D8">
            <w:r>
              <w:t>663</w:t>
            </w:r>
            <w:r w:rsidR="00271E37" w:rsidRPr="00AC3DAA">
              <w:t xml:space="preserve"> </w:t>
            </w:r>
          </w:p>
        </w:tc>
      </w:tr>
      <w:tr w:rsidR="00271E37" w:rsidRPr="00222108" w14:paraId="09F74F12" w14:textId="77777777">
        <w:tc>
          <w:tcPr>
            <w:tcW w:w="0" w:type="auto"/>
          </w:tcPr>
          <w:p w14:paraId="01962CF8" w14:textId="22FE1019" w:rsidR="00271E37" w:rsidRPr="00222108" w:rsidRDefault="0092717B">
            <w:pPr>
              <w:jc w:val="left"/>
            </w:pPr>
            <w:r>
              <w:t>US</w:t>
            </w:r>
            <w:r w:rsidR="008404E8">
              <w:t xml:space="preserve"> </w:t>
            </w:r>
            <w:r w:rsidR="003D6211">
              <w:t>d</w:t>
            </w:r>
            <w:r w:rsidR="008404E8">
              <w:t>ollar</w:t>
            </w:r>
          </w:p>
        </w:tc>
        <w:tc>
          <w:tcPr>
            <w:tcW w:w="1134" w:type="dxa"/>
            <w:vAlign w:val="center"/>
          </w:tcPr>
          <w:p w14:paraId="7947C6E9" w14:textId="07BC55BE" w:rsidR="00271E37" w:rsidRPr="009E12AF" w:rsidRDefault="00271E37">
            <w:pPr>
              <w:rPr>
                <w:b/>
                <w:bCs/>
              </w:rPr>
            </w:pPr>
            <w:r>
              <w:rPr>
                <w:rFonts w:cs="Arial"/>
                <w:b/>
                <w:bCs/>
                <w:color w:val="000000"/>
                <w:szCs w:val="16"/>
              </w:rPr>
              <w:t>(</w:t>
            </w:r>
            <w:r w:rsidR="00CE47D8">
              <w:rPr>
                <w:rFonts w:cs="Arial"/>
                <w:b/>
                <w:bCs/>
                <w:color w:val="000000"/>
                <w:szCs w:val="16"/>
              </w:rPr>
              <w:t>447</w:t>
            </w:r>
            <w:r w:rsidDel="006358FA">
              <w:rPr>
                <w:rFonts w:cs="Arial"/>
                <w:b/>
                <w:color w:val="000000"/>
                <w:szCs w:val="16"/>
              </w:rPr>
              <w:t>)</w:t>
            </w:r>
          </w:p>
        </w:tc>
        <w:tc>
          <w:tcPr>
            <w:tcW w:w="1134" w:type="dxa"/>
          </w:tcPr>
          <w:p w14:paraId="51A6C7EA" w14:textId="5F321883" w:rsidR="00271E37" w:rsidRPr="002A53FA" w:rsidRDefault="00271E37">
            <w:r w:rsidRPr="00AC3DAA">
              <w:t>(</w:t>
            </w:r>
            <w:r w:rsidR="00CE47D8">
              <w:t>3,026</w:t>
            </w:r>
            <w:r w:rsidRPr="00AC3DAA">
              <w:t>)</w:t>
            </w:r>
          </w:p>
        </w:tc>
        <w:tc>
          <w:tcPr>
            <w:tcW w:w="1134" w:type="dxa"/>
          </w:tcPr>
          <w:p w14:paraId="06503759" w14:textId="1FE3462A" w:rsidR="00271E37" w:rsidRPr="009E12AF" w:rsidRDefault="00271E37">
            <w:pPr>
              <w:rPr>
                <w:b/>
                <w:bCs/>
              </w:rPr>
            </w:pPr>
            <w:r w:rsidRPr="009E12AF">
              <w:rPr>
                <w:b/>
                <w:bCs/>
              </w:rPr>
              <w:t>(</w:t>
            </w:r>
            <w:r w:rsidR="00CE47D8">
              <w:rPr>
                <w:b/>
                <w:bCs/>
              </w:rPr>
              <w:t>442</w:t>
            </w:r>
            <w:r w:rsidRPr="009E12AF">
              <w:rPr>
                <w:b/>
                <w:bCs/>
              </w:rPr>
              <w:t>)</w:t>
            </w:r>
          </w:p>
        </w:tc>
        <w:tc>
          <w:tcPr>
            <w:tcW w:w="1134" w:type="dxa"/>
          </w:tcPr>
          <w:p w14:paraId="4E6814EB" w14:textId="6D07744D" w:rsidR="00271E37" w:rsidRPr="002A53FA" w:rsidRDefault="00422F7F">
            <w:r>
              <w:t>(</w:t>
            </w:r>
            <w:r w:rsidR="00CE47D8">
              <w:t>3,109</w:t>
            </w:r>
            <w:r>
              <w:t>)</w:t>
            </w:r>
            <w:r w:rsidR="00271E37" w:rsidRPr="00AC3DAA">
              <w:t xml:space="preserve"> </w:t>
            </w:r>
          </w:p>
        </w:tc>
      </w:tr>
    </w:tbl>
    <w:p w14:paraId="6FA114E4" w14:textId="77777777" w:rsidR="00271E37" w:rsidRDefault="00271E37" w:rsidP="002E39D4">
      <w:pPr>
        <w:rPr>
          <w:i/>
          <w:iCs/>
        </w:rPr>
      </w:pPr>
    </w:p>
    <w:p w14:paraId="11AB673E" w14:textId="77777777" w:rsidR="00271E37" w:rsidRPr="005E3B27" w:rsidRDefault="00271E37" w:rsidP="002E39D4">
      <w:pPr>
        <w:rPr>
          <w:b/>
          <w:i/>
        </w:rPr>
      </w:pPr>
      <w:r w:rsidRPr="005E3B27">
        <w:rPr>
          <w:b/>
          <w:i/>
        </w:rPr>
        <w:t>Interest rate profile</w:t>
      </w:r>
    </w:p>
    <w:p w14:paraId="77A4651A" w14:textId="77777777" w:rsidR="00271E37" w:rsidRDefault="00271E37" w:rsidP="002E39D4">
      <w:r>
        <w:t>At the balance sheet date, the interest rate profile of the Group’s interest-bearing financial instruments was:</w:t>
      </w:r>
    </w:p>
    <w:tbl>
      <w:tblPr>
        <w:tblStyle w:val="tableDUL"/>
        <w:tblW w:w="9639" w:type="dxa"/>
        <w:tblLook w:val="04A0" w:firstRow="1" w:lastRow="0" w:firstColumn="1" w:lastColumn="0" w:noHBand="0" w:noVBand="1"/>
      </w:tblPr>
      <w:tblGrid>
        <w:gridCol w:w="6179"/>
        <w:gridCol w:w="1134"/>
        <w:gridCol w:w="1134"/>
        <w:gridCol w:w="1192"/>
      </w:tblGrid>
      <w:tr w:rsidR="00271E37" w:rsidRPr="00222108" w14:paraId="7BC69D50" w14:textId="77777777">
        <w:trPr>
          <w:trHeight w:hRule="exact" w:val="20"/>
        </w:trPr>
        <w:tc>
          <w:tcPr>
            <w:tcW w:w="6179" w:type="dxa"/>
            <w:tcBorders>
              <w:top w:val="nil"/>
              <w:left w:val="nil"/>
              <w:bottom w:val="nil"/>
              <w:right w:val="nil"/>
            </w:tcBorders>
          </w:tcPr>
          <w:p w14:paraId="78C77D65" w14:textId="77777777" w:rsidR="00271E37" w:rsidRDefault="00271E37">
            <w:pPr>
              <w:rPr>
                <w:sz w:val="2"/>
              </w:rPr>
            </w:pPr>
            <w:bookmarkStart w:id="57" w:name="_5a2c9d69_1d41_409a_8323_95ae5df7291e"/>
            <w:bookmarkStart w:id="58" w:name="_88ff3398_36aa_4fad_8e24_d10e73c28e0e"/>
            <w:bookmarkEnd w:id="57"/>
          </w:p>
        </w:tc>
        <w:tc>
          <w:tcPr>
            <w:tcW w:w="1134" w:type="dxa"/>
            <w:tcBorders>
              <w:top w:val="nil"/>
              <w:left w:val="nil"/>
              <w:bottom w:val="nil"/>
              <w:right w:val="nil"/>
            </w:tcBorders>
          </w:tcPr>
          <w:p w14:paraId="18227BB6" w14:textId="77777777" w:rsidR="00271E37" w:rsidRDefault="00271E37">
            <w:pPr>
              <w:rPr>
                <w:sz w:val="2"/>
              </w:rPr>
            </w:pPr>
          </w:p>
        </w:tc>
        <w:tc>
          <w:tcPr>
            <w:tcW w:w="1134" w:type="dxa"/>
            <w:tcBorders>
              <w:top w:val="nil"/>
              <w:left w:val="nil"/>
              <w:bottom w:val="nil"/>
              <w:right w:val="nil"/>
            </w:tcBorders>
          </w:tcPr>
          <w:p w14:paraId="7DF0BDDE" w14:textId="77777777" w:rsidR="00271E37" w:rsidRDefault="00271E37">
            <w:pPr>
              <w:rPr>
                <w:sz w:val="2"/>
              </w:rPr>
            </w:pPr>
          </w:p>
        </w:tc>
        <w:tc>
          <w:tcPr>
            <w:tcW w:w="1192" w:type="dxa"/>
            <w:tcBorders>
              <w:top w:val="nil"/>
              <w:left w:val="nil"/>
              <w:bottom w:val="nil"/>
              <w:right w:val="nil"/>
            </w:tcBorders>
          </w:tcPr>
          <w:p w14:paraId="17B0FC2A" w14:textId="77777777" w:rsidR="00271E37" w:rsidRDefault="00271E37">
            <w:pPr>
              <w:rPr>
                <w:sz w:val="2"/>
              </w:rPr>
            </w:pPr>
          </w:p>
        </w:tc>
      </w:tr>
      <w:tr w:rsidR="00271E37" w:rsidRPr="00222108" w14:paraId="737DE640" w14:textId="77777777">
        <w:tc>
          <w:tcPr>
            <w:tcW w:w="6179" w:type="dxa"/>
            <w:tcBorders>
              <w:bottom w:val="nil"/>
            </w:tcBorders>
          </w:tcPr>
          <w:p w14:paraId="0D8DFFE6" w14:textId="77777777" w:rsidR="00271E37" w:rsidRPr="00222108" w:rsidRDefault="00271E37">
            <w:pPr>
              <w:jc w:val="left"/>
            </w:pPr>
          </w:p>
        </w:tc>
        <w:tc>
          <w:tcPr>
            <w:tcW w:w="1134" w:type="dxa"/>
            <w:tcBorders>
              <w:bottom w:val="nil"/>
            </w:tcBorders>
          </w:tcPr>
          <w:p w14:paraId="1B9EDB85" w14:textId="77777777" w:rsidR="00271E37" w:rsidRPr="00222108" w:rsidRDefault="00271E37"/>
        </w:tc>
        <w:tc>
          <w:tcPr>
            <w:tcW w:w="1134" w:type="dxa"/>
            <w:tcBorders>
              <w:bottom w:val="nil"/>
            </w:tcBorders>
          </w:tcPr>
          <w:p w14:paraId="3858434D" w14:textId="77777777" w:rsidR="00271E37" w:rsidRPr="0075456F" w:rsidRDefault="00271E37">
            <w:pPr>
              <w:rPr>
                <w:b/>
                <w:bCs/>
              </w:rPr>
            </w:pPr>
            <w:r w:rsidRPr="0075456F">
              <w:rPr>
                <w:b/>
                <w:bCs/>
              </w:rPr>
              <w:t>202</w:t>
            </w:r>
            <w:r>
              <w:rPr>
                <w:b/>
                <w:bCs/>
              </w:rPr>
              <w:t>6</w:t>
            </w:r>
          </w:p>
        </w:tc>
        <w:tc>
          <w:tcPr>
            <w:tcW w:w="1192" w:type="dxa"/>
            <w:tcBorders>
              <w:bottom w:val="nil"/>
            </w:tcBorders>
          </w:tcPr>
          <w:p w14:paraId="2D1AAD7A" w14:textId="77777777" w:rsidR="00271E37" w:rsidRPr="00222108" w:rsidRDefault="00271E37">
            <w:r w:rsidRPr="00222108">
              <w:t>202</w:t>
            </w:r>
            <w:r>
              <w:t>5</w:t>
            </w:r>
          </w:p>
        </w:tc>
      </w:tr>
      <w:tr w:rsidR="00271E37" w:rsidRPr="00222108" w14:paraId="0826FB45" w14:textId="77777777">
        <w:tc>
          <w:tcPr>
            <w:tcW w:w="6179" w:type="dxa"/>
            <w:tcBorders>
              <w:bottom w:val="single" w:sz="4" w:space="0" w:color="auto"/>
            </w:tcBorders>
          </w:tcPr>
          <w:p w14:paraId="3FF729A6" w14:textId="77777777" w:rsidR="00271E37" w:rsidRPr="00222108" w:rsidRDefault="00271E37">
            <w:pPr>
              <w:jc w:val="left"/>
            </w:pPr>
            <w:r w:rsidRPr="00222108">
              <w:t>Variable rate instruments</w:t>
            </w:r>
          </w:p>
        </w:tc>
        <w:tc>
          <w:tcPr>
            <w:tcW w:w="1134" w:type="dxa"/>
            <w:tcBorders>
              <w:bottom w:val="single" w:sz="4" w:space="0" w:color="auto"/>
            </w:tcBorders>
          </w:tcPr>
          <w:p w14:paraId="08059DA6" w14:textId="77777777" w:rsidR="00271E37" w:rsidRPr="00222108" w:rsidRDefault="00271E37">
            <w:r w:rsidRPr="00222108">
              <w:t>Note</w:t>
            </w:r>
          </w:p>
        </w:tc>
        <w:tc>
          <w:tcPr>
            <w:tcW w:w="1134" w:type="dxa"/>
            <w:tcBorders>
              <w:bottom w:val="single" w:sz="4" w:space="0" w:color="auto"/>
            </w:tcBorders>
          </w:tcPr>
          <w:p w14:paraId="5A7DA2B3" w14:textId="77777777" w:rsidR="00271E37" w:rsidRPr="0075456F" w:rsidRDefault="00271E37">
            <w:pPr>
              <w:rPr>
                <w:b/>
                <w:bCs/>
              </w:rPr>
            </w:pPr>
            <w:r>
              <w:rPr>
                <w:b/>
                <w:bCs/>
              </w:rPr>
              <w:t>£</w:t>
            </w:r>
            <w:r w:rsidRPr="0075456F">
              <w:rPr>
                <w:b/>
                <w:bCs/>
              </w:rPr>
              <w:t>000</w:t>
            </w:r>
          </w:p>
        </w:tc>
        <w:tc>
          <w:tcPr>
            <w:tcW w:w="1192" w:type="dxa"/>
            <w:tcBorders>
              <w:bottom w:val="single" w:sz="4" w:space="0" w:color="auto"/>
            </w:tcBorders>
          </w:tcPr>
          <w:p w14:paraId="20D78C1D" w14:textId="77777777" w:rsidR="00271E37" w:rsidRPr="00222108" w:rsidRDefault="00271E37">
            <w:r>
              <w:t>£</w:t>
            </w:r>
            <w:r w:rsidRPr="00222108">
              <w:t>000</w:t>
            </w:r>
          </w:p>
        </w:tc>
      </w:tr>
      <w:tr w:rsidR="00271E37" w:rsidRPr="00222108" w14:paraId="1F761EBD" w14:textId="77777777">
        <w:tc>
          <w:tcPr>
            <w:tcW w:w="6179" w:type="dxa"/>
            <w:tcBorders>
              <w:top w:val="single" w:sz="4" w:space="0" w:color="auto"/>
              <w:bottom w:val="nil"/>
            </w:tcBorders>
          </w:tcPr>
          <w:p w14:paraId="5A824B86" w14:textId="77777777" w:rsidR="00271E37" w:rsidRPr="00222108" w:rsidRDefault="00271E37">
            <w:pPr>
              <w:jc w:val="left"/>
            </w:pPr>
            <w:r w:rsidRPr="00222108">
              <w:t>Financial assets</w:t>
            </w:r>
          </w:p>
        </w:tc>
        <w:tc>
          <w:tcPr>
            <w:tcW w:w="1134" w:type="dxa"/>
            <w:tcBorders>
              <w:top w:val="single" w:sz="4" w:space="0" w:color="auto"/>
              <w:bottom w:val="nil"/>
            </w:tcBorders>
          </w:tcPr>
          <w:p w14:paraId="53983C21" w14:textId="77777777" w:rsidR="00271E37" w:rsidRPr="00222108" w:rsidRDefault="00271E37"/>
        </w:tc>
        <w:tc>
          <w:tcPr>
            <w:tcW w:w="1134" w:type="dxa"/>
            <w:tcBorders>
              <w:top w:val="single" w:sz="4" w:space="0" w:color="auto"/>
              <w:bottom w:val="nil"/>
            </w:tcBorders>
            <w:vAlign w:val="center"/>
          </w:tcPr>
          <w:p w14:paraId="12479FC6" w14:textId="77777777" w:rsidR="00271E37" w:rsidRPr="00EF4C44" w:rsidRDefault="00271E37">
            <w:pPr>
              <w:rPr>
                <w:b/>
                <w:bCs/>
              </w:rPr>
            </w:pPr>
            <w:r w:rsidRPr="001E7EDF">
              <w:rPr>
                <w:rFonts w:cs="Arial"/>
                <w:b/>
                <w:szCs w:val="16"/>
              </w:rPr>
              <w:t xml:space="preserve">54,678 </w:t>
            </w:r>
          </w:p>
        </w:tc>
        <w:tc>
          <w:tcPr>
            <w:tcW w:w="1192" w:type="dxa"/>
            <w:tcBorders>
              <w:top w:val="single" w:sz="4" w:space="0" w:color="auto"/>
              <w:bottom w:val="nil"/>
            </w:tcBorders>
            <w:vAlign w:val="center"/>
          </w:tcPr>
          <w:p w14:paraId="60C923FA" w14:textId="77777777" w:rsidR="00271E37" w:rsidRPr="00EF4C44" w:rsidRDefault="00271E37">
            <w:r w:rsidRPr="001E7EDF" w:rsidDel="006F09A4">
              <w:rPr>
                <w:rFonts w:cs="Arial"/>
                <w:szCs w:val="16"/>
              </w:rPr>
              <w:t xml:space="preserve">105,525 </w:t>
            </w:r>
          </w:p>
        </w:tc>
      </w:tr>
      <w:tr w:rsidR="00271E37" w:rsidRPr="00222108" w14:paraId="6427A7A5" w14:textId="77777777">
        <w:tc>
          <w:tcPr>
            <w:tcW w:w="6179" w:type="dxa"/>
            <w:tcBorders>
              <w:bottom w:val="single" w:sz="4" w:space="0" w:color="auto"/>
            </w:tcBorders>
          </w:tcPr>
          <w:p w14:paraId="1186083D" w14:textId="77777777" w:rsidR="00271E37" w:rsidRPr="00222108" w:rsidRDefault="00271E37">
            <w:pPr>
              <w:jc w:val="left"/>
            </w:pPr>
            <w:r w:rsidRPr="00222108">
              <w:t>Financial liabilities</w:t>
            </w:r>
          </w:p>
        </w:tc>
        <w:tc>
          <w:tcPr>
            <w:tcW w:w="1134" w:type="dxa"/>
            <w:tcBorders>
              <w:bottom w:val="single" w:sz="4" w:space="0" w:color="auto"/>
            </w:tcBorders>
          </w:tcPr>
          <w:p w14:paraId="5DF6BBE3" w14:textId="77777777" w:rsidR="00271E37" w:rsidRPr="00222108" w:rsidRDefault="00271E37"/>
        </w:tc>
        <w:tc>
          <w:tcPr>
            <w:tcW w:w="1134" w:type="dxa"/>
            <w:tcBorders>
              <w:bottom w:val="single" w:sz="4" w:space="0" w:color="auto"/>
            </w:tcBorders>
            <w:vAlign w:val="center"/>
          </w:tcPr>
          <w:p w14:paraId="5D92E85A" w14:textId="77777777" w:rsidR="00271E37" w:rsidRPr="00EF4C44" w:rsidRDefault="00271E37">
            <w:pPr>
              <w:rPr>
                <w:b/>
                <w:bCs/>
              </w:rPr>
            </w:pPr>
            <w:r w:rsidRPr="001E7EDF">
              <w:rPr>
                <w:rFonts w:cs="Arial"/>
                <w:b/>
                <w:szCs w:val="16"/>
              </w:rPr>
              <w:t>(481)</w:t>
            </w:r>
          </w:p>
        </w:tc>
        <w:tc>
          <w:tcPr>
            <w:tcW w:w="1192" w:type="dxa"/>
            <w:tcBorders>
              <w:bottom w:val="single" w:sz="4" w:space="0" w:color="auto"/>
            </w:tcBorders>
            <w:vAlign w:val="center"/>
          </w:tcPr>
          <w:p w14:paraId="67E8AC52" w14:textId="77777777" w:rsidR="00271E37" w:rsidRPr="00EF4C44" w:rsidRDefault="00271E37">
            <w:r w:rsidRPr="001E7EDF" w:rsidDel="006F09A4">
              <w:rPr>
                <w:rFonts w:cs="Arial"/>
                <w:szCs w:val="16"/>
              </w:rPr>
              <w:t>(40,617)</w:t>
            </w:r>
          </w:p>
        </w:tc>
      </w:tr>
      <w:tr w:rsidR="00271E37" w:rsidRPr="00222108" w14:paraId="5270F00B" w14:textId="77777777">
        <w:tc>
          <w:tcPr>
            <w:tcW w:w="6179" w:type="dxa"/>
            <w:tcBorders>
              <w:top w:val="single" w:sz="4" w:space="0" w:color="auto"/>
            </w:tcBorders>
          </w:tcPr>
          <w:p w14:paraId="60574752" w14:textId="77777777" w:rsidR="00271E37" w:rsidRPr="0075456F" w:rsidRDefault="00271E37">
            <w:pPr>
              <w:jc w:val="left"/>
              <w:rPr>
                <w:b/>
                <w:bCs/>
              </w:rPr>
            </w:pPr>
            <w:r w:rsidRPr="0075456F">
              <w:rPr>
                <w:b/>
                <w:bCs/>
              </w:rPr>
              <w:t>Net cash</w:t>
            </w:r>
          </w:p>
        </w:tc>
        <w:tc>
          <w:tcPr>
            <w:tcW w:w="1134" w:type="dxa"/>
            <w:tcBorders>
              <w:top w:val="single" w:sz="4" w:space="0" w:color="auto"/>
            </w:tcBorders>
          </w:tcPr>
          <w:p w14:paraId="0F580197" w14:textId="77777777" w:rsidR="00271E37" w:rsidRPr="00222108" w:rsidRDefault="00271E37">
            <w:r w:rsidRPr="00222108">
              <w:t>1</w:t>
            </w:r>
            <w:r>
              <w:t>4</w:t>
            </w:r>
          </w:p>
        </w:tc>
        <w:tc>
          <w:tcPr>
            <w:tcW w:w="1134" w:type="dxa"/>
            <w:tcBorders>
              <w:top w:val="single" w:sz="4" w:space="0" w:color="auto"/>
            </w:tcBorders>
            <w:vAlign w:val="center"/>
          </w:tcPr>
          <w:p w14:paraId="3E41A771" w14:textId="77777777" w:rsidR="00271E37" w:rsidRPr="00EF4C44" w:rsidRDefault="00271E37">
            <w:pPr>
              <w:rPr>
                <w:b/>
                <w:bCs/>
              </w:rPr>
            </w:pPr>
            <w:r w:rsidRPr="001E7EDF">
              <w:rPr>
                <w:rFonts w:cs="Arial"/>
                <w:b/>
                <w:szCs w:val="16"/>
              </w:rPr>
              <w:t xml:space="preserve">54,197 </w:t>
            </w:r>
          </w:p>
        </w:tc>
        <w:tc>
          <w:tcPr>
            <w:tcW w:w="1192" w:type="dxa"/>
            <w:tcBorders>
              <w:top w:val="single" w:sz="4" w:space="0" w:color="auto"/>
            </w:tcBorders>
            <w:vAlign w:val="center"/>
          </w:tcPr>
          <w:p w14:paraId="77C16C9E" w14:textId="77777777" w:rsidR="00271E37" w:rsidRPr="00EF4C44" w:rsidRDefault="00271E37">
            <w:r w:rsidRPr="001E7EDF">
              <w:rPr>
                <w:rFonts w:cs="Arial"/>
                <w:szCs w:val="16"/>
              </w:rPr>
              <w:t xml:space="preserve">64,908 </w:t>
            </w:r>
          </w:p>
        </w:tc>
      </w:tr>
      <w:bookmarkEnd w:id="58"/>
    </w:tbl>
    <w:p w14:paraId="51B5BF92" w14:textId="77777777" w:rsidR="00271E37" w:rsidRDefault="00271E37"/>
    <w:p w14:paraId="44831B41" w14:textId="77777777" w:rsidR="00271E37" w:rsidRDefault="00271E37" w:rsidP="002E39D4">
      <w:r>
        <w:t>A change of 50 basis points (0.5%) in interest rates in respect of financial assets and liabilities at the balance sheet date would have affected equity and profit or loss by the amounts shown below. This calculation assumes that the change occurred at the balance sheet date and had been applied to risk exposures existing at that date.</w:t>
      </w:r>
    </w:p>
    <w:p w14:paraId="74B976EF" w14:textId="77777777" w:rsidR="00271E37" w:rsidRDefault="00271E37" w:rsidP="002E39D4"/>
    <w:p w14:paraId="0A14A55D" w14:textId="52058CE8" w:rsidR="00271E37" w:rsidRDefault="00271E37" w:rsidP="002E39D4">
      <w:r>
        <w:t xml:space="preserve">This analysis assumes that all other variables, in particular foreign currency rates, remain constant and considers the effect on financial instruments with variable interest rates and financial instruments at fair value through profit or loss. The analysis </w:t>
      </w:r>
      <w:r w:rsidR="009D75FB">
        <w:t>was</w:t>
      </w:r>
      <w:r>
        <w:t xml:space="preserve"> performed on the same basis for 31 March 2025. </w:t>
      </w:r>
    </w:p>
    <w:p w14:paraId="5518A20C" w14:textId="77777777" w:rsidR="00271E37" w:rsidRDefault="00271E37" w:rsidP="002E39D4"/>
    <w:p w14:paraId="2D0D8838" w14:textId="77777777" w:rsidR="00271E37" w:rsidRPr="005E3B27" w:rsidRDefault="00271E37" w:rsidP="002876C8">
      <w:pPr>
        <w:pStyle w:val="Heading4"/>
        <w:rPr>
          <w:b/>
        </w:rPr>
      </w:pPr>
      <w:r w:rsidRPr="002876C8">
        <w:rPr>
          <w:rFonts w:ascii="Arial" w:hAnsi="Arial" w:cs="Arial"/>
          <w:b/>
          <w:color w:val="auto"/>
          <w:sz w:val="16"/>
          <w:szCs w:val="16"/>
        </w:rPr>
        <w:t>Sensitivity analysis</w:t>
      </w:r>
    </w:p>
    <w:tbl>
      <w:tblPr>
        <w:tblStyle w:val="tableDUL"/>
        <w:tblW w:w="9639" w:type="dxa"/>
        <w:tblLook w:val="04A0" w:firstRow="1" w:lastRow="0" w:firstColumn="1" w:lastColumn="0" w:noHBand="0" w:noVBand="1"/>
      </w:tblPr>
      <w:tblGrid>
        <w:gridCol w:w="7371"/>
        <w:gridCol w:w="1134"/>
        <w:gridCol w:w="1134"/>
      </w:tblGrid>
      <w:tr w:rsidR="00271E37" w:rsidRPr="009A0246" w14:paraId="040881D2" w14:textId="77777777" w:rsidTr="009A0246">
        <w:tc>
          <w:tcPr>
            <w:tcW w:w="0" w:type="auto"/>
            <w:tcBorders>
              <w:bottom w:val="nil"/>
            </w:tcBorders>
          </w:tcPr>
          <w:p w14:paraId="7B2F885C" w14:textId="77777777" w:rsidR="00271E37" w:rsidRPr="009A0246" w:rsidRDefault="00271E37" w:rsidP="009A0246">
            <w:pPr>
              <w:jc w:val="left"/>
            </w:pPr>
          </w:p>
        </w:tc>
        <w:tc>
          <w:tcPr>
            <w:tcW w:w="1134" w:type="dxa"/>
            <w:tcBorders>
              <w:bottom w:val="nil"/>
            </w:tcBorders>
          </w:tcPr>
          <w:p w14:paraId="698F1E37" w14:textId="77777777" w:rsidR="00271E37" w:rsidRPr="009A0246" w:rsidRDefault="00271E37" w:rsidP="000923EA">
            <w:pPr>
              <w:rPr>
                <w:b/>
                <w:bCs/>
              </w:rPr>
            </w:pPr>
            <w:r w:rsidRPr="009A0246">
              <w:rPr>
                <w:b/>
                <w:bCs/>
              </w:rPr>
              <w:t>202</w:t>
            </w:r>
            <w:r>
              <w:rPr>
                <w:b/>
                <w:bCs/>
              </w:rPr>
              <w:t>6</w:t>
            </w:r>
          </w:p>
        </w:tc>
        <w:tc>
          <w:tcPr>
            <w:tcW w:w="1134" w:type="dxa"/>
            <w:tcBorders>
              <w:bottom w:val="nil"/>
            </w:tcBorders>
          </w:tcPr>
          <w:p w14:paraId="32871A4B" w14:textId="77777777" w:rsidR="00271E37" w:rsidRPr="009A0246" w:rsidRDefault="00271E37" w:rsidP="000923EA">
            <w:r w:rsidRPr="009A0246">
              <w:t>202</w:t>
            </w:r>
            <w:r>
              <w:t>5</w:t>
            </w:r>
          </w:p>
        </w:tc>
      </w:tr>
      <w:tr w:rsidR="00271E37" w:rsidRPr="009A0246" w14:paraId="154278DE" w14:textId="77777777" w:rsidTr="009A0246">
        <w:tc>
          <w:tcPr>
            <w:tcW w:w="0" w:type="auto"/>
            <w:tcBorders>
              <w:bottom w:val="single" w:sz="4" w:space="0" w:color="auto"/>
            </w:tcBorders>
          </w:tcPr>
          <w:p w14:paraId="55690F35" w14:textId="77777777" w:rsidR="00271E37" w:rsidRPr="009A0246" w:rsidRDefault="00271E37" w:rsidP="009A0246">
            <w:pPr>
              <w:jc w:val="left"/>
            </w:pPr>
          </w:p>
        </w:tc>
        <w:tc>
          <w:tcPr>
            <w:tcW w:w="1134" w:type="dxa"/>
            <w:tcBorders>
              <w:bottom w:val="single" w:sz="4" w:space="0" w:color="auto"/>
            </w:tcBorders>
          </w:tcPr>
          <w:p w14:paraId="3A794DC1" w14:textId="77777777" w:rsidR="00271E37" w:rsidRPr="009A0246" w:rsidRDefault="00271E37" w:rsidP="000923EA">
            <w:pPr>
              <w:rPr>
                <w:b/>
                <w:bCs/>
              </w:rPr>
            </w:pPr>
            <w:r>
              <w:rPr>
                <w:b/>
                <w:bCs/>
              </w:rPr>
              <w:t>£</w:t>
            </w:r>
            <w:r w:rsidRPr="009A0246">
              <w:rPr>
                <w:b/>
                <w:bCs/>
              </w:rPr>
              <w:t>000</w:t>
            </w:r>
          </w:p>
        </w:tc>
        <w:tc>
          <w:tcPr>
            <w:tcW w:w="1134" w:type="dxa"/>
            <w:tcBorders>
              <w:bottom w:val="single" w:sz="4" w:space="0" w:color="auto"/>
            </w:tcBorders>
          </w:tcPr>
          <w:p w14:paraId="5AA8B55C" w14:textId="77777777" w:rsidR="00271E37" w:rsidRPr="009A0246" w:rsidRDefault="00271E37" w:rsidP="000923EA">
            <w:r>
              <w:t>£</w:t>
            </w:r>
            <w:r w:rsidRPr="009A0246">
              <w:t>000</w:t>
            </w:r>
          </w:p>
        </w:tc>
      </w:tr>
      <w:tr w:rsidR="00271E37" w:rsidRPr="009A0246" w14:paraId="428678DF" w14:textId="77777777" w:rsidTr="009A0246">
        <w:tc>
          <w:tcPr>
            <w:tcW w:w="0" w:type="auto"/>
            <w:tcBorders>
              <w:top w:val="single" w:sz="4" w:space="0" w:color="auto"/>
            </w:tcBorders>
          </w:tcPr>
          <w:p w14:paraId="3223AC73" w14:textId="77777777" w:rsidR="00271E37" w:rsidRPr="009A0246" w:rsidRDefault="00271E37" w:rsidP="009A0246">
            <w:pPr>
              <w:jc w:val="left"/>
              <w:rPr>
                <w:b/>
                <w:bCs/>
              </w:rPr>
            </w:pPr>
            <w:r w:rsidRPr="009A0246">
              <w:rPr>
                <w:b/>
                <w:bCs/>
              </w:rPr>
              <w:t>Equity</w:t>
            </w:r>
          </w:p>
        </w:tc>
        <w:tc>
          <w:tcPr>
            <w:tcW w:w="1134" w:type="dxa"/>
            <w:tcBorders>
              <w:top w:val="single" w:sz="4" w:space="0" w:color="auto"/>
            </w:tcBorders>
          </w:tcPr>
          <w:p w14:paraId="1D9B7C6A" w14:textId="77777777" w:rsidR="00271E37" w:rsidRPr="009A0246" w:rsidRDefault="00271E37" w:rsidP="000923EA">
            <w:pPr>
              <w:rPr>
                <w:b/>
                <w:bCs/>
              </w:rPr>
            </w:pPr>
          </w:p>
        </w:tc>
        <w:tc>
          <w:tcPr>
            <w:tcW w:w="1134" w:type="dxa"/>
            <w:tcBorders>
              <w:top w:val="single" w:sz="4" w:space="0" w:color="auto"/>
            </w:tcBorders>
          </w:tcPr>
          <w:p w14:paraId="7100B0AB" w14:textId="77777777" w:rsidR="00271E37" w:rsidRPr="009A0246" w:rsidRDefault="00271E37" w:rsidP="000923EA"/>
        </w:tc>
      </w:tr>
      <w:tr w:rsidR="00271E37" w:rsidRPr="009A0246" w14:paraId="7C12D55E" w14:textId="77777777">
        <w:tc>
          <w:tcPr>
            <w:tcW w:w="0" w:type="auto"/>
          </w:tcPr>
          <w:p w14:paraId="3BD7DA74" w14:textId="77777777" w:rsidR="00271E37" w:rsidRPr="009A0246" w:rsidRDefault="00271E37">
            <w:pPr>
              <w:jc w:val="left"/>
            </w:pPr>
            <w:r w:rsidRPr="009A0246">
              <w:t>Increase</w:t>
            </w:r>
          </w:p>
        </w:tc>
        <w:tc>
          <w:tcPr>
            <w:tcW w:w="1134" w:type="dxa"/>
            <w:vAlign w:val="center"/>
          </w:tcPr>
          <w:p w14:paraId="62E46D01" w14:textId="77777777" w:rsidR="00271E37" w:rsidRPr="002A53FA" w:rsidRDefault="00271E37">
            <w:pPr>
              <w:rPr>
                <w:b/>
                <w:bCs/>
              </w:rPr>
            </w:pPr>
            <w:r>
              <w:rPr>
                <w:rFonts w:cs="Arial"/>
                <w:b/>
                <w:bCs/>
                <w:color w:val="000000"/>
                <w:szCs w:val="16"/>
              </w:rPr>
              <w:t xml:space="preserve">271 </w:t>
            </w:r>
          </w:p>
        </w:tc>
        <w:tc>
          <w:tcPr>
            <w:tcW w:w="1134" w:type="dxa"/>
            <w:vAlign w:val="center"/>
          </w:tcPr>
          <w:p w14:paraId="7036A989" w14:textId="77777777" w:rsidR="00271E37" w:rsidRPr="002A53FA" w:rsidRDefault="00271E37">
            <w:r w:rsidDel="000F4211">
              <w:rPr>
                <w:rFonts w:cs="Arial"/>
                <w:color w:val="000000"/>
                <w:szCs w:val="16"/>
              </w:rPr>
              <w:t xml:space="preserve">325 </w:t>
            </w:r>
          </w:p>
        </w:tc>
      </w:tr>
      <w:tr w:rsidR="00271E37" w:rsidRPr="009A0246" w14:paraId="43203D83" w14:textId="77777777">
        <w:tc>
          <w:tcPr>
            <w:tcW w:w="0" w:type="auto"/>
          </w:tcPr>
          <w:p w14:paraId="799066DD" w14:textId="77777777" w:rsidR="00271E37" w:rsidRPr="009A0246" w:rsidRDefault="00271E37">
            <w:pPr>
              <w:jc w:val="left"/>
            </w:pPr>
            <w:r w:rsidRPr="009A0246">
              <w:t>Decrease</w:t>
            </w:r>
          </w:p>
        </w:tc>
        <w:tc>
          <w:tcPr>
            <w:tcW w:w="1134" w:type="dxa"/>
            <w:vAlign w:val="center"/>
          </w:tcPr>
          <w:p w14:paraId="33C725E5" w14:textId="77777777" w:rsidR="00271E37" w:rsidRPr="002A53FA" w:rsidRDefault="00271E37">
            <w:pPr>
              <w:rPr>
                <w:b/>
                <w:bCs/>
              </w:rPr>
            </w:pPr>
            <w:r>
              <w:rPr>
                <w:rFonts w:cs="Arial"/>
                <w:b/>
                <w:bCs/>
                <w:color w:val="000000"/>
                <w:szCs w:val="16"/>
              </w:rPr>
              <w:t xml:space="preserve"> - </w:t>
            </w:r>
          </w:p>
        </w:tc>
        <w:tc>
          <w:tcPr>
            <w:tcW w:w="1134" w:type="dxa"/>
            <w:vAlign w:val="center"/>
          </w:tcPr>
          <w:p w14:paraId="7A059489" w14:textId="77777777" w:rsidR="00271E37" w:rsidRPr="002A53FA" w:rsidRDefault="00271E37">
            <w:r w:rsidDel="000F4211">
              <w:rPr>
                <w:rFonts w:cs="Arial"/>
                <w:color w:val="000000"/>
                <w:szCs w:val="16"/>
              </w:rPr>
              <w:t xml:space="preserve"> - </w:t>
            </w:r>
          </w:p>
        </w:tc>
      </w:tr>
      <w:tr w:rsidR="00271E37" w:rsidRPr="009A0246" w14:paraId="4739C62C" w14:textId="77777777">
        <w:tc>
          <w:tcPr>
            <w:tcW w:w="0" w:type="auto"/>
          </w:tcPr>
          <w:p w14:paraId="46E49A3D" w14:textId="77777777" w:rsidR="00271E37" w:rsidRPr="009A0246" w:rsidRDefault="00271E37">
            <w:pPr>
              <w:jc w:val="left"/>
              <w:rPr>
                <w:b/>
                <w:bCs/>
              </w:rPr>
            </w:pPr>
            <w:r w:rsidRPr="009A0246">
              <w:rPr>
                <w:b/>
                <w:bCs/>
              </w:rPr>
              <w:t>Profit or loss</w:t>
            </w:r>
          </w:p>
        </w:tc>
        <w:tc>
          <w:tcPr>
            <w:tcW w:w="1134" w:type="dxa"/>
            <w:vAlign w:val="center"/>
          </w:tcPr>
          <w:p w14:paraId="4AFDF339" w14:textId="77777777" w:rsidR="00271E37" w:rsidRPr="009A0246" w:rsidRDefault="00271E37">
            <w:pPr>
              <w:rPr>
                <w:b/>
                <w:bCs/>
              </w:rPr>
            </w:pPr>
            <w:r>
              <w:rPr>
                <w:rFonts w:cs="Arial"/>
                <w:b/>
                <w:bCs/>
                <w:color w:val="000000"/>
                <w:szCs w:val="16"/>
              </w:rPr>
              <w:t> </w:t>
            </w:r>
          </w:p>
        </w:tc>
        <w:tc>
          <w:tcPr>
            <w:tcW w:w="1134" w:type="dxa"/>
            <w:vAlign w:val="center"/>
          </w:tcPr>
          <w:p w14:paraId="0B689C1D" w14:textId="77777777" w:rsidR="00271E37" w:rsidRPr="002A53FA" w:rsidRDefault="00271E37">
            <w:r>
              <w:rPr>
                <w:rFonts w:cs="Arial"/>
                <w:color w:val="000000"/>
                <w:szCs w:val="16"/>
              </w:rPr>
              <w:t> </w:t>
            </w:r>
          </w:p>
        </w:tc>
      </w:tr>
      <w:tr w:rsidR="00271E37" w:rsidRPr="009A0246" w14:paraId="2E1BBEE3" w14:textId="77777777">
        <w:tc>
          <w:tcPr>
            <w:tcW w:w="0" w:type="auto"/>
          </w:tcPr>
          <w:p w14:paraId="0E746453" w14:textId="77777777" w:rsidR="00271E37" w:rsidRPr="009A0246" w:rsidRDefault="00271E37">
            <w:pPr>
              <w:jc w:val="left"/>
            </w:pPr>
            <w:r w:rsidRPr="009A0246">
              <w:t>Increase</w:t>
            </w:r>
          </w:p>
        </w:tc>
        <w:tc>
          <w:tcPr>
            <w:tcW w:w="1134" w:type="dxa"/>
            <w:vAlign w:val="center"/>
          </w:tcPr>
          <w:p w14:paraId="22396B91" w14:textId="77777777" w:rsidR="00271E37" w:rsidRPr="002A53FA" w:rsidRDefault="00271E37">
            <w:pPr>
              <w:rPr>
                <w:b/>
                <w:bCs/>
              </w:rPr>
            </w:pPr>
            <w:r>
              <w:rPr>
                <w:rFonts w:cs="Arial"/>
                <w:b/>
                <w:bCs/>
                <w:color w:val="000000"/>
                <w:szCs w:val="16"/>
              </w:rPr>
              <w:t xml:space="preserve">271 </w:t>
            </w:r>
          </w:p>
        </w:tc>
        <w:tc>
          <w:tcPr>
            <w:tcW w:w="1134" w:type="dxa"/>
            <w:vAlign w:val="center"/>
          </w:tcPr>
          <w:p w14:paraId="0FE061FC" w14:textId="77777777" w:rsidR="00271E37" w:rsidRPr="002A53FA" w:rsidRDefault="00271E37">
            <w:r w:rsidDel="000F4211">
              <w:rPr>
                <w:rFonts w:cs="Arial"/>
                <w:color w:val="000000"/>
                <w:szCs w:val="16"/>
              </w:rPr>
              <w:t xml:space="preserve">325 </w:t>
            </w:r>
          </w:p>
        </w:tc>
      </w:tr>
      <w:tr w:rsidR="00271E37" w:rsidRPr="009A0246" w14:paraId="3F406DD8" w14:textId="77777777">
        <w:tc>
          <w:tcPr>
            <w:tcW w:w="0" w:type="auto"/>
          </w:tcPr>
          <w:p w14:paraId="7976E919" w14:textId="77777777" w:rsidR="00271E37" w:rsidRPr="009A0246" w:rsidRDefault="00271E37">
            <w:pPr>
              <w:jc w:val="left"/>
            </w:pPr>
            <w:r w:rsidRPr="009A0246">
              <w:t>Decrease</w:t>
            </w:r>
          </w:p>
        </w:tc>
        <w:tc>
          <w:tcPr>
            <w:tcW w:w="1134" w:type="dxa"/>
            <w:vAlign w:val="center"/>
          </w:tcPr>
          <w:p w14:paraId="61D94DBB" w14:textId="77777777" w:rsidR="00271E37" w:rsidRPr="002A53FA" w:rsidRDefault="00271E37">
            <w:pPr>
              <w:rPr>
                <w:b/>
                <w:bCs/>
              </w:rPr>
            </w:pPr>
            <w:r>
              <w:rPr>
                <w:rFonts w:cs="Arial"/>
                <w:b/>
                <w:bCs/>
                <w:color w:val="000000"/>
                <w:szCs w:val="16"/>
              </w:rPr>
              <w:t xml:space="preserve"> - </w:t>
            </w:r>
          </w:p>
        </w:tc>
        <w:tc>
          <w:tcPr>
            <w:tcW w:w="1134" w:type="dxa"/>
            <w:vAlign w:val="center"/>
          </w:tcPr>
          <w:p w14:paraId="6887DD44" w14:textId="77777777" w:rsidR="00271E37" w:rsidRPr="002A53FA" w:rsidRDefault="00271E37">
            <w:r w:rsidDel="000F4211">
              <w:rPr>
                <w:rFonts w:cs="Arial"/>
                <w:color w:val="000000"/>
                <w:szCs w:val="16"/>
              </w:rPr>
              <w:t xml:space="preserve"> - </w:t>
            </w:r>
          </w:p>
        </w:tc>
      </w:tr>
    </w:tbl>
    <w:p w14:paraId="25C2BFC7" w14:textId="77777777" w:rsidR="00271E37" w:rsidRDefault="00271E37" w:rsidP="002E39D4"/>
    <w:p w14:paraId="3B43F3A2" w14:textId="77777777" w:rsidR="00271E37" w:rsidRPr="009A0246" w:rsidRDefault="00271E37">
      <w:pPr>
        <w:pStyle w:val="Heading3"/>
      </w:pPr>
      <w:r w:rsidRPr="009A0246">
        <w:t>f</w:t>
      </w:r>
      <w:r>
        <w:t>.</w:t>
      </w:r>
      <w:r w:rsidRPr="009A0246">
        <w:t xml:space="preserve"> Capital management</w:t>
      </w:r>
    </w:p>
    <w:p w14:paraId="38E66C7D" w14:textId="77777777" w:rsidR="00271E37" w:rsidRPr="0007164E" w:rsidRDefault="00271E37">
      <w:r w:rsidRPr="0007164E">
        <w:t>The Group’s objective is to maintain a strong capital base to support stakeholder confidence and the long</w:t>
      </w:r>
      <w:r w:rsidRPr="0007164E">
        <w:noBreakHyphen/>
        <w:t>term development of the business. Capital is monitored with reference to trading capital, defined as net assets plus net debt. Net debt comprises bank overdrafts, loans and borrowings (as shown in the statement of financial position) less cash and cash equivalents.</w:t>
      </w:r>
    </w:p>
    <w:p w14:paraId="7ADCBAB1" w14:textId="77777777" w:rsidR="00271E37" w:rsidRPr="0007164E" w:rsidRDefault="00271E37">
      <w:pPr>
        <w:spacing w:before="240"/>
      </w:pPr>
      <w:r w:rsidRPr="0007164E">
        <w:t>The Board manages the capital structure through ongoing monitoring of working capital metrics, balance</w:t>
      </w:r>
      <w:r w:rsidRPr="0007164E">
        <w:noBreakHyphen/>
        <w:t>sheet reforecasts, monthly profit and loss performance, weekly cash flow forecasts and daily cash balances. Significant capital expenditure or investment decisions require approval by the Chief Financial Officer and Chief Executive Officer, or by the Board above defined thresholds. There were no changes to the Group’s capital management approach during the year.</w:t>
      </w:r>
    </w:p>
    <w:p w14:paraId="00F31CDA" w14:textId="77777777" w:rsidR="00271E37" w:rsidRPr="0007164E" w:rsidRDefault="00271E37">
      <w:pPr>
        <w:spacing w:before="240"/>
      </w:pPr>
      <w:r w:rsidRPr="0007164E">
        <w:t>The Group’s Articles permit borrowings (including letter</w:t>
      </w:r>
      <w:r w:rsidRPr="0007164E">
        <w:noBreakHyphen/>
        <w:t>of</w:t>
      </w:r>
      <w:r w:rsidRPr="0007164E">
        <w:noBreakHyphen/>
        <w:t>credit facilities) of up to four times equity. This internal limit forms part of the Board’s capital management framework.</w:t>
      </w:r>
    </w:p>
    <w:p w14:paraId="09A6971D" w14:textId="39FB7F84" w:rsidR="00271E37" w:rsidRPr="00480986" w:rsidRDefault="00271E37">
      <w:pPr>
        <w:spacing w:before="240"/>
      </w:pPr>
      <w:r w:rsidRPr="0007164E">
        <w:lastRenderedPageBreak/>
        <w:t xml:space="preserve">The Group had no externally imposed capital requirements at 31 March 2026. The Group’s </w:t>
      </w:r>
      <w:r w:rsidR="00F50831">
        <w:t>R</w:t>
      </w:r>
      <w:r w:rsidRPr="0007164E">
        <w:t>e</w:t>
      </w:r>
      <w:r>
        <w:t>ceivables</w:t>
      </w:r>
      <w:r w:rsidRPr="0007164E">
        <w:t xml:space="preserve"> </w:t>
      </w:r>
      <w:r w:rsidR="00F50831">
        <w:t xml:space="preserve">Finance </w:t>
      </w:r>
      <w:r w:rsidRPr="0007164E">
        <w:t>facility is subject to operational covenants only, and these do not impose restrictions on capital structure, leverage or liquidity.</w:t>
      </w:r>
      <w:r>
        <w:t xml:space="preserve"> </w:t>
      </w:r>
      <w:r w:rsidRPr="0007164E">
        <w:t>Management also monitors average leverage, defined as average monthly net debt before lease liabilities relative to adjusted EBITDA after lease payments.</w:t>
      </w:r>
    </w:p>
    <w:tbl>
      <w:tblPr>
        <w:tblStyle w:val="tableDUL"/>
        <w:tblW w:w="9639" w:type="dxa"/>
        <w:tblLook w:val="04A0" w:firstRow="1" w:lastRow="0" w:firstColumn="1" w:lastColumn="0" w:noHBand="0" w:noVBand="1"/>
      </w:tblPr>
      <w:tblGrid>
        <w:gridCol w:w="6179"/>
        <w:gridCol w:w="1134"/>
        <w:gridCol w:w="1134"/>
        <w:gridCol w:w="1192"/>
      </w:tblGrid>
      <w:tr w:rsidR="00271E37" w:rsidRPr="009A0246" w14:paraId="3A1C4E87" w14:textId="77777777" w:rsidTr="002A53FA">
        <w:tc>
          <w:tcPr>
            <w:tcW w:w="0" w:type="auto"/>
          </w:tcPr>
          <w:p w14:paraId="56FFE4B0" w14:textId="77777777" w:rsidR="00271E37" w:rsidRPr="009A0246" w:rsidRDefault="00271E37" w:rsidP="009A0246">
            <w:pPr>
              <w:jc w:val="left"/>
            </w:pPr>
          </w:p>
        </w:tc>
        <w:tc>
          <w:tcPr>
            <w:tcW w:w="1134" w:type="dxa"/>
          </w:tcPr>
          <w:p w14:paraId="31F51F46" w14:textId="77777777" w:rsidR="00271E37" w:rsidRPr="009A0246" w:rsidRDefault="00271E37" w:rsidP="009A0246"/>
        </w:tc>
        <w:tc>
          <w:tcPr>
            <w:tcW w:w="2326" w:type="dxa"/>
            <w:gridSpan w:val="2"/>
            <w:tcBorders>
              <w:bottom w:val="single" w:sz="4" w:space="0" w:color="auto"/>
            </w:tcBorders>
          </w:tcPr>
          <w:p w14:paraId="23BD8ECF" w14:textId="77777777" w:rsidR="00271E37" w:rsidRPr="009A0246" w:rsidRDefault="00271E37" w:rsidP="009A0246">
            <w:pPr>
              <w:jc w:val="center"/>
            </w:pPr>
            <w:r w:rsidRPr="009A0246">
              <w:t>Equity</w:t>
            </w:r>
          </w:p>
        </w:tc>
      </w:tr>
      <w:tr w:rsidR="00271E37" w:rsidRPr="009A0246" w14:paraId="3767BB3E" w14:textId="77777777" w:rsidTr="002A53FA">
        <w:tc>
          <w:tcPr>
            <w:tcW w:w="0" w:type="auto"/>
          </w:tcPr>
          <w:p w14:paraId="6AFD54C7" w14:textId="77777777" w:rsidR="00271E37" w:rsidRPr="009A0246" w:rsidRDefault="00271E37" w:rsidP="009A0246">
            <w:pPr>
              <w:jc w:val="left"/>
            </w:pPr>
          </w:p>
        </w:tc>
        <w:tc>
          <w:tcPr>
            <w:tcW w:w="1134" w:type="dxa"/>
          </w:tcPr>
          <w:p w14:paraId="13AA37ED" w14:textId="77777777" w:rsidR="00271E37" w:rsidRPr="009A0246" w:rsidRDefault="00271E37" w:rsidP="009A0246"/>
        </w:tc>
        <w:tc>
          <w:tcPr>
            <w:tcW w:w="1134" w:type="dxa"/>
            <w:tcBorders>
              <w:top w:val="single" w:sz="4" w:space="0" w:color="auto"/>
            </w:tcBorders>
          </w:tcPr>
          <w:p w14:paraId="04304CA7" w14:textId="77777777" w:rsidR="00271E37" w:rsidRPr="009A0246" w:rsidRDefault="00271E37" w:rsidP="009A0246"/>
        </w:tc>
        <w:tc>
          <w:tcPr>
            <w:tcW w:w="1192" w:type="dxa"/>
            <w:tcBorders>
              <w:top w:val="single" w:sz="4" w:space="0" w:color="auto"/>
            </w:tcBorders>
          </w:tcPr>
          <w:p w14:paraId="4BF95612" w14:textId="77777777" w:rsidR="00271E37" w:rsidRPr="009A0246" w:rsidRDefault="00271E37" w:rsidP="009A0246">
            <w:r w:rsidRPr="009A0246" w:rsidDel="00455737">
              <w:t xml:space="preserve"> </w:t>
            </w:r>
          </w:p>
        </w:tc>
      </w:tr>
      <w:tr w:rsidR="00271E37" w:rsidRPr="009A0246" w14:paraId="6F4EC1B4" w14:textId="77777777" w:rsidTr="002A53FA">
        <w:tc>
          <w:tcPr>
            <w:tcW w:w="0" w:type="auto"/>
            <w:tcBorders>
              <w:bottom w:val="nil"/>
            </w:tcBorders>
          </w:tcPr>
          <w:p w14:paraId="21871709" w14:textId="77777777" w:rsidR="00271E37" w:rsidRPr="009A0246" w:rsidRDefault="00271E37" w:rsidP="009A0246">
            <w:pPr>
              <w:jc w:val="left"/>
            </w:pPr>
          </w:p>
        </w:tc>
        <w:tc>
          <w:tcPr>
            <w:tcW w:w="1134" w:type="dxa"/>
            <w:tcBorders>
              <w:bottom w:val="nil"/>
            </w:tcBorders>
          </w:tcPr>
          <w:p w14:paraId="568B821E" w14:textId="77777777" w:rsidR="00271E37" w:rsidRPr="009A0246" w:rsidRDefault="00271E37" w:rsidP="009A0246"/>
        </w:tc>
        <w:tc>
          <w:tcPr>
            <w:tcW w:w="1134" w:type="dxa"/>
            <w:tcBorders>
              <w:bottom w:val="nil"/>
            </w:tcBorders>
          </w:tcPr>
          <w:p w14:paraId="410BAE89" w14:textId="77777777" w:rsidR="00271E37" w:rsidRPr="009A0246" w:rsidRDefault="00271E37" w:rsidP="009A0246">
            <w:pPr>
              <w:rPr>
                <w:b/>
                <w:bCs/>
              </w:rPr>
            </w:pPr>
            <w:r w:rsidRPr="009A0246">
              <w:rPr>
                <w:b/>
                <w:bCs/>
              </w:rPr>
              <w:t>202</w:t>
            </w:r>
            <w:r>
              <w:rPr>
                <w:b/>
                <w:bCs/>
              </w:rPr>
              <w:t>6</w:t>
            </w:r>
          </w:p>
        </w:tc>
        <w:tc>
          <w:tcPr>
            <w:tcW w:w="1192" w:type="dxa"/>
            <w:tcBorders>
              <w:bottom w:val="nil"/>
            </w:tcBorders>
          </w:tcPr>
          <w:p w14:paraId="78339E59" w14:textId="77777777" w:rsidR="00271E37" w:rsidRPr="009A0246" w:rsidRDefault="00271E37" w:rsidP="009A0246">
            <w:r w:rsidRPr="009A0246">
              <w:t>202</w:t>
            </w:r>
            <w:r>
              <w:t>5</w:t>
            </w:r>
          </w:p>
        </w:tc>
      </w:tr>
      <w:tr w:rsidR="00271E37" w:rsidRPr="009A0246" w14:paraId="30B53454" w14:textId="77777777" w:rsidTr="002A53FA">
        <w:tc>
          <w:tcPr>
            <w:tcW w:w="0" w:type="auto"/>
            <w:tcBorders>
              <w:bottom w:val="single" w:sz="4" w:space="0" w:color="auto"/>
            </w:tcBorders>
          </w:tcPr>
          <w:p w14:paraId="3B69FC85" w14:textId="77777777" w:rsidR="00271E37" w:rsidRPr="009A0246" w:rsidRDefault="00271E37" w:rsidP="009A0246">
            <w:pPr>
              <w:jc w:val="left"/>
            </w:pPr>
          </w:p>
        </w:tc>
        <w:tc>
          <w:tcPr>
            <w:tcW w:w="1134" w:type="dxa"/>
            <w:tcBorders>
              <w:bottom w:val="single" w:sz="4" w:space="0" w:color="auto"/>
            </w:tcBorders>
          </w:tcPr>
          <w:p w14:paraId="6C0943F8" w14:textId="77777777" w:rsidR="00271E37" w:rsidRPr="009A0246" w:rsidRDefault="00271E37" w:rsidP="009A0246">
            <w:r w:rsidRPr="009A0246">
              <w:t>Note</w:t>
            </w:r>
          </w:p>
        </w:tc>
        <w:tc>
          <w:tcPr>
            <w:tcW w:w="1134" w:type="dxa"/>
            <w:tcBorders>
              <w:bottom w:val="single" w:sz="4" w:space="0" w:color="auto"/>
            </w:tcBorders>
          </w:tcPr>
          <w:p w14:paraId="3A817023" w14:textId="77777777" w:rsidR="00271E37" w:rsidRPr="009A0246" w:rsidRDefault="00271E37" w:rsidP="009A0246">
            <w:pPr>
              <w:rPr>
                <w:b/>
                <w:bCs/>
              </w:rPr>
            </w:pPr>
            <w:r>
              <w:rPr>
                <w:b/>
                <w:bCs/>
              </w:rPr>
              <w:t>£</w:t>
            </w:r>
            <w:r w:rsidRPr="009A0246">
              <w:rPr>
                <w:b/>
                <w:bCs/>
              </w:rPr>
              <w:t>000</w:t>
            </w:r>
          </w:p>
        </w:tc>
        <w:tc>
          <w:tcPr>
            <w:tcW w:w="1192" w:type="dxa"/>
            <w:tcBorders>
              <w:bottom w:val="single" w:sz="4" w:space="0" w:color="auto"/>
            </w:tcBorders>
          </w:tcPr>
          <w:p w14:paraId="12B7D00D" w14:textId="77777777" w:rsidR="00271E37" w:rsidRPr="009A0246" w:rsidRDefault="00271E37" w:rsidP="009A0246">
            <w:r>
              <w:t>£</w:t>
            </w:r>
            <w:r w:rsidRPr="009A0246">
              <w:t>000</w:t>
            </w:r>
          </w:p>
        </w:tc>
      </w:tr>
      <w:tr w:rsidR="00271E37" w:rsidRPr="009A0246" w14:paraId="409A0D8F" w14:textId="77777777">
        <w:tc>
          <w:tcPr>
            <w:tcW w:w="0" w:type="auto"/>
            <w:tcBorders>
              <w:top w:val="single" w:sz="4" w:space="0" w:color="auto"/>
              <w:bottom w:val="nil"/>
            </w:tcBorders>
          </w:tcPr>
          <w:p w14:paraId="32A5376F" w14:textId="77777777" w:rsidR="00271E37" w:rsidRPr="009A0246" w:rsidRDefault="00271E37">
            <w:pPr>
              <w:jc w:val="left"/>
            </w:pPr>
            <w:r w:rsidRPr="009A0246">
              <w:t>Net equity attributable to owners of the Parent Company</w:t>
            </w:r>
          </w:p>
        </w:tc>
        <w:tc>
          <w:tcPr>
            <w:tcW w:w="1134" w:type="dxa"/>
            <w:tcBorders>
              <w:top w:val="single" w:sz="4" w:space="0" w:color="auto"/>
              <w:bottom w:val="nil"/>
            </w:tcBorders>
          </w:tcPr>
          <w:p w14:paraId="074C6AA7" w14:textId="77777777" w:rsidR="00271E37" w:rsidRPr="009A0246" w:rsidRDefault="00271E37"/>
        </w:tc>
        <w:tc>
          <w:tcPr>
            <w:tcW w:w="1134" w:type="dxa"/>
            <w:tcBorders>
              <w:top w:val="single" w:sz="4" w:space="0" w:color="auto"/>
              <w:bottom w:val="nil"/>
            </w:tcBorders>
            <w:vAlign w:val="center"/>
          </w:tcPr>
          <w:p w14:paraId="19A44D88" w14:textId="77777777" w:rsidR="00271E37" w:rsidRPr="00794EE6" w:rsidRDefault="00271E37">
            <w:pPr>
              <w:rPr>
                <w:b/>
                <w:bCs/>
              </w:rPr>
            </w:pPr>
            <w:r>
              <w:rPr>
                <w:rFonts w:cs="Arial"/>
                <w:b/>
                <w:bCs/>
                <w:color w:val="000000"/>
                <w:szCs w:val="16"/>
              </w:rPr>
              <w:t xml:space="preserve">100,501 </w:t>
            </w:r>
          </w:p>
        </w:tc>
        <w:tc>
          <w:tcPr>
            <w:tcW w:w="1192" w:type="dxa"/>
            <w:tcBorders>
              <w:top w:val="single" w:sz="4" w:space="0" w:color="auto"/>
              <w:bottom w:val="nil"/>
            </w:tcBorders>
            <w:vAlign w:val="center"/>
          </w:tcPr>
          <w:p w14:paraId="4F3F0B1C" w14:textId="4F90832D" w:rsidR="00271E37" w:rsidRPr="002A53FA" w:rsidRDefault="00271E37">
            <w:r w:rsidRPr="00B8452B" w:rsidDel="009C45D7">
              <w:rPr>
                <w:rFonts w:cs="Arial"/>
                <w:color w:val="000000"/>
                <w:szCs w:val="16"/>
              </w:rPr>
              <w:t>203,24</w:t>
            </w:r>
            <w:r w:rsidR="008C198A" w:rsidRPr="00B8452B">
              <w:rPr>
                <w:rFonts w:cs="Arial"/>
                <w:color w:val="000000"/>
                <w:szCs w:val="16"/>
              </w:rPr>
              <w:t>4</w:t>
            </w:r>
            <w:r w:rsidDel="009C45D7">
              <w:rPr>
                <w:rFonts w:cs="Arial"/>
                <w:color w:val="000000"/>
                <w:szCs w:val="16"/>
              </w:rPr>
              <w:t xml:space="preserve"> </w:t>
            </w:r>
          </w:p>
        </w:tc>
      </w:tr>
      <w:tr w:rsidR="00271E37" w:rsidRPr="009A0246" w14:paraId="16F3A77F" w14:textId="77777777">
        <w:tc>
          <w:tcPr>
            <w:tcW w:w="0" w:type="auto"/>
            <w:tcBorders>
              <w:bottom w:val="single" w:sz="4" w:space="0" w:color="auto"/>
            </w:tcBorders>
          </w:tcPr>
          <w:p w14:paraId="7106FF5D" w14:textId="77777777" w:rsidR="00271E37" w:rsidRPr="009A0246" w:rsidRDefault="00271E37">
            <w:pPr>
              <w:jc w:val="left"/>
            </w:pPr>
            <w:r w:rsidRPr="009A0246">
              <w:t>Net cash</w:t>
            </w:r>
          </w:p>
        </w:tc>
        <w:tc>
          <w:tcPr>
            <w:tcW w:w="1134" w:type="dxa"/>
            <w:tcBorders>
              <w:bottom w:val="single" w:sz="4" w:space="0" w:color="auto"/>
            </w:tcBorders>
          </w:tcPr>
          <w:p w14:paraId="347F7983" w14:textId="77777777" w:rsidR="00271E37" w:rsidRPr="009A0246" w:rsidRDefault="00271E37">
            <w:r w:rsidRPr="009A0246">
              <w:t>14</w:t>
            </w:r>
          </w:p>
        </w:tc>
        <w:tc>
          <w:tcPr>
            <w:tcW w:w="1134" w:type="dxa"/>
            <w:tcBorders>
              <w:bottom w:val="single" w:sz="4" w:space="0" w:color="auto"/>
            </w:tcBorders>
            <w:vAlign w:val="center"/>
          </w:tcPr>
          <w:p w14:paraId="196571A1" w14:textId="77777777" w:rsidR="00271E37" w:rsidRPr="00794EE6" w:rsidRDefault="00271E37">
            <w:pPr>
              <w:rPr>
                <w:b/>
                <w:bCs/>
              </w:rPr>
            </w:pPr>
            <w:r>
              <w:rPr>
                <w:rFonts w:cs="Arial"/>
                <w:b/>
                <w:bCs/>
                <w:color w:val="000000"/>
                <w:szCs w:val="16"/>
              </w:rPr>
              <w:t>(54,617)</w:t>
            </w:r>
          </w:p>
        </w:tc>
        <w:tc>
          <w:tcPr>
            <w:tcW w:w="1192" w:type="dxa"/>
            <w:tcBorders>
              <w:bottom w:val="single" w:sz="4" w:space="0" w:color="auto"/>
            </w:tcBorders>
            <w:vAlign w:val="center"/>
          </w:tcPr>
          <w:p w14:paraId="63C4FB90" w14:textId="77777777" w:rsidR="00271E37" w:rsidRPr="002A53FA" w:rsidRDefault="00271E37">
            <w:r>
              <w:rPr>
                <w:rFonts w:cs="Arial"/>
                <w:color w:val="000000"/>
                <w:szCs w:val="16"/>
              </w:rPr>
              <w:t>(65,555</w:t>
            </w:r>
            <w:r w:rsidDel="009C45D7">
              <w:rPr>
                <w:rFonts w:cs="Arial"/>
                <w:color w:val="000000"/>
                <w:szCs w:val="16"/>
              </w:rPr>
              <w:t>)</w:t>
            </w:r>
          </w:p>
        </w:tc>
      </w:tr>
      <w:tr w:rsidR="00271E37" w:rsidRPr="009A0246" w14:paraId="42EF2733" w14:textId="77777777">
        <w:tc>
          <w:tcPr>
            <w:tcW w:w="0" w:type="auto"/>
            <w:tcBorders>
              <w:top w:val="single" w:sz="4" w:space="0" w:color="auto"/>
            </w:tcBorders>
          </w:tcPr>
          <w:p w14:paraId="1C6D60FF" w14:textId="77777777" w:rsidR="00271E37" w:rsidRPr="009A0246" w:rsidRDefault="00271E37">
            <w:pPr>
              <w:jc w:val="left"/>
              <w:rPr>
                <w:b/>
                <w:bCs/>
              </w:rPr>
            </w:pPr>
          </w:p>
        </w:tc>
        <w:tc>
          <w:tcPr>
            <w:tcW w:w="1134" w:type="dxa"/>
            <w:tcBorders>
              <w:top w:val="single" w:sz="4" w:space="0" w:color="auto"/>
            </w:tcBorders>
          </w:tcPr>
          <w:p w14:paraId="2B2ED068" w14:textId="77777777" w:rsidR="00271E37" w:rsidRPr="009A0246" w:rsidRDefault="00271E37"/>
        </w:tc>
        <w:tc>
          <w:tcPr>
            <w:tcW w:w="1134" w:type="dxa"/>
            <w:tcBorders>
              <w:top w:val="single" w:sz="4" w:space="0" w:color="auto"/>
            </w:tcBorders>
            <w:vAlign w:val="center"/>
          </w:tcPr>
          <w:p w14:paraId="3DFE0158" w14:textId="77777777" w:rsidR="00271E37" w:rsidRPr="00794EE6" w:rsidRDefault="00271E37">
            <w:pPr>
              <w:rPr>
                <w:b/>
                <w:bCs/>
              </w:rPr>
            </w:pPr>
            <w:r>
              <w:rPr>
                <w:rFonts w:cs="Arial"/>
                <w:b/>
                <w:bCs/>
                <w:color w:val="000000"/>
                <w:szCs w:val="16"/>
              </w:rPr>
              <w:t xml:space="preserve">45,884 </w:t>
            </w:r>
          </w:p>
        </w:tc>
        <w:tc>
          <w:tcPr>
            <w:tcW w:w="1192" w:type="dxa"/>
            <w:tcBorders>
              <w:top w:val="single" w:sz="4" w:space="0" w:color="auto"/>
            </w:tcBorders>
            <w:vAlign w:val="center"/>
          </w:tcPr>
          <w:p w14:paraId="54866575" w14:textId="77777777" w:rsidR="00271E37" w:rsidRPr="002A53FA" w:rsidRDefault="00271E37">
            <w:r>
              <w:rPr>
                <w:rFonts w:cs="Arial"/>
                <w:color w:val="000000"/>
                <w:szCs w:val="16"/>
              </w:rPr>
              <w:t xml:space="preserve">137,687 </w:t>
            </w:r>
          </w:p>
        </w:tc>
      </w:tr>
    </w:tbl>
    <w:p w14:paraId="6BBFA65E" w14:textId="77777777" w:rsidR="00271E37" w:rsidRPr="009A0246" w:rsidRDefault="00271E37">
      <w:pPr>
        <w:pStyle w:val="Heading2"/>
      </w:pPr>
      <w:r w:rsidRPr="009A0246">
        <w:t>25 Capital commitments</w:t>
      </w:r>
    </w:p>
    <w:p w14:paraId="325E51FF" w14:textId="77777777" w:rsidR="00271E37" w:rsidRDefault="00271E37" w:rsidP="002E39D4">
      <w:r>
        <w:t>At 31 March 2026, the Group had outstanding authorised capital commitments to purchase plant and equipment for £0.4 million (2025: £1.6 million).</w:t>
      </w:r>
    </w:p>
    <w:p w14:paraId="677C6233" w14:textId="77777777" w:rsidR="00271E37" w:rsidRPr="009A0246" w:rsidRDefault="00271E37">
      <w:pPr>
        <w:pStyle w:val="Heading2"/>
      </w:pPr>
      <w:r w:rsidRPr="009A0246">
        <w:t>26 Related parties</w:t>
      </w:r>
    </w:p>
    <w:tbl>
      <w:tblPr>
        <w:tblStyle w:val="tableDUL"/>
        <w:tblW w:w="9639" w:type="dxa"/>
        <w:tblLook w:val="04A0" w:firstRow="1" w:lastRow="0" w:firstColumn="1" w:lastColumn="0" w:noHBand="0" w:noVBand="1"/>
      </w:tblPr>
      <w:tblGrid>
        <w:gridCol w:w="7371"/>
        <w:gridCol w:w="1134"/>
        <w:gridCol w:w="1134"/>
      </w:tblGrid>
      <w:tr w:rsidR="00271E37" w:rsidRPr="009A0246" w14:paraId="23009AFD" w14:textId="77777777" w:rsidTr="009A0246">
        <w:tc>
          <w:tcPr>
            <w:tcW w:w="0" w:type="auto"/>
            <w:tcBorders>
              <w:bottom w:val="nil"/>
            </w:tcBorders>
          </w:tcPr>
          <w:p w14:paraId="29D03212" w14:textId="77777777" w:rsidR="00271E37" w:rsidRPr="009A0246" w:rsidRDefault="00271E37" w:rsidP="009A0246">
            <w:pPr>
              <w:jc w:val="left"/>
            </w:pPr>
          </w:p>
        </w:tc>
        <w:tc>
          <w:tcPr>
            <w:tcW w:w="1134" w:type="dxa"/>
            <w:tcBorders>
              <w:bottom w:val="nil"/>
            </w:tcBorders>
          </w:tcPr>
          <w:p w14:paraId="331D9376" w14:textId="77777777" w:rsidR="00271E37" w:rsidRPr="009A0246" w:rsidRDefault="00271E37" w:rsidP="000923EA">
            <w:pPr>
              <w:rPr>
                <w:b/>
                <w:bCs/>
              </w:rPr>
            </w:pPr>
            <w:r w:rsidRPr="009A0246">
              <w:rPr>
                <w:b/>
                <w:bCs/>
              </w:rPr>
              <w:t>202</w:t>
            </w:r>
            <w:r>
              <w:rPr>
                <w:b/>
                <w:bCs/>
              </w:rPr>
              <w:t>6</w:t>
            </w:r>
          </w:p>
        </w:tc>
        <w:tc>
          <w:tcPr>
            <w:tcW w:w="1134" w:type="dxa"/>
            <w:tcBorders>
              <w:bottom w:val="nil"/>
            </w:tcBorders>
          </w:tcPr>
          <w:p w14:paraId="10AEF52E" w14:textId="77777777" w:rsidR="00271E37" w:rsidRPr="009A0246" w:rsidRDefault="00271E37" w:rsidP="000923EA">
            <w:r w:rsidRPr="009A0246">
              <w:t>202</w:t>
            </w:r>
            <w:r>
              <w:t>5</w:t>
            </w:r>
          </w:p>
        </w:tc>
      </w:tr>
      <w:tr w:rsidR="00271E37" w:rsidRPr="009A0246" w14:paraId="4E87DFBE" w14:textId="77777777" w:rsidTr="009A0246">
        <w:tc>
          <w:tcPr>
            <w:tcW w:w="0" w:type="auto"/>
            <w:tcBorders>
              <w:bottom w:val="single" w:sz="4" w:space="0" w:color="auto"/>
            </w:tcBorders>
          </w:tcPr>
          <w:p w14:paraId="69469501" w14:textId="77777777" w:rsidR="00271E37" w:rsidRPr="009A0246" w:rsidRDefault="00271E37" w:rsidP="009A0246">
            <w:pPr>
              <w:jc w:val="left"/>
            </w:pPr>
          </w:p>
        </w:tc>
        <w:tc>
          <w:tcPr>
            <w:tcW w:w="1134" w:type="dxa"/>
            <w:tcBorders>
              <w:bottom w:val="single" w:sz="4" w:space="0" w:color="auto"/>
            </w:tcBorders>
          </w:tcPr>
          <w:p w14:paraId="53CF30F0" w14:textId="77777777" w:rsidR="00271E37" w:rsidRPr="009A0246" w:rsidRDefault="00271E37" w:rsidP="000923EA">
            <w:pPr>
              <w:rPr>
                <w:b/>
                <w:bCs/>
              </w:rPr>
            </w:pPr>
            <w:r>
              <w:rPr>
                <w:b/>
                <w:bCs/>
              </w:rPr>
              <w:t>£</w:t>
            </w:r>
            <w:r w:rsidRPr="009A0246">
              <w:rPr>
                <w:b/>
                <w:bCs/>
              </w:rPr>
              <w:t>000</w:t>
            </w:r>
          </w:p>
        </w:tc>
        <w:tc>
          <w:tcPr>
            <w:tcW w:w="1134" w:type="dxa"/>
            <w:tcBorders>
              <w:bottom w:val="single" w:sz="4" w:space="0" w:color="auto"/>
            </w:tcBorders>
          </w:tcPr>
          <w:p w14:paraId="4E953E67" w14:textId="77777777" w:rsidR="00271E37" w:rsidRPr="009A0246" w:rsidRDefault="00271E37" w:rsidP="000923EA">
            <w:r>
              <w:t>£</w:t>
            </w:r>
            <w:r w:rsidRPr="009A0246">
              <w:t>000</w:t>
            </w:r>
          </w:p>
        </w:tc>
      </w:tr>
      <w:tr w:rsidR="00271E37" w:rsidRPr="009A0246" w14:paraId="4D1126C2" w14:textId="77777777" w:rsidTr="009A0246">
        <w:tc>
          <w:tcPr>
            <w:tcW w:w="0" w:type="auto"/>
            <w:tcBorders>
              <w:top w:val="single" w:sz="4" w:space="0" w:color="auto"/>
            </w:tcBorders>
          </w:tcPr>
          <w:p w14:paraId="4D9F4C32" w14:textId="77777777" w:rsidR="00271E37" w:rsidRPr="009A0246" w:rsidRDefault="00271E37" w:rsidP="009A0246">
            <w:pPr>
              <w:jc w:val="left"/>
              <w:rPr>
                <w:b/>
                <w:bCs/>
              </w:rPr>
            </w:pPr>
            <w:r w:rsidRPr="009A0246">
              <w:rPr>
                <w:b/>
                <w:bCs/>
              </w:rPr>
              <w:t>Sale of goods:</w:t>
            </w:r>
          </w:p>
        </w:tc>
        <w:tc>
          <w:tcPr>
            <w:tcW w:w="1134" w:type="dxa"/>
            <w:tcBorders>
              <w:top w:val="single" w:sz="4" w:space="0" w:color="auto"/>
            </w:tcBorders>
          </w:tcPr>
          <w:p w14:paraId="733B01A3" w14:textId="77777777" w:rsidR="00271E37" w:rsidRPr="009A0246" w:rsidRDefault="00271E37" w:rsidP="000923EA">
            <w:pPr>
              <w:rPr>
                <w:b/>
                <w:bCs/>
              </w:rPr>
            </w:pPr>
          </w:p>
        </w:tc>
        <w:tc>
          <w:tcPr>
            <w:tcW w:w="1134" w:type="dxa"/>
            <w:tcBorders>
              <w:top w:val="single" w:sz="4" w:space="0" w:color="auto"/>
            </w:tcBorders>
          </w:tcPr>
          <w:p w14:paraId="39BAC480" w14:textId="77777777" w:rsidR="00271E37" w:rsidRPr="009A0246" w:rsidRDefault="00271E37" w:rsidP="000923EA"/>
        </w:tc>
      </w:tr>
      <w:tr w:rsidR="00271E37" w:rsidRPr="009A0246" w14:paraId="641B4874" w14:textId="77777777">
        <w:tc>
          <w:tcPr>
            <w:tcW w:w="0" w:type="auto"/>
            <w:tcBorders>
              <w:bottom w:val="nil"/>
            </w:tcBorders>
          </w:tcPr>
          <w:p w14:paraId="2608CC86" w14:textId="77777777" w:rsidR="00271E37" w:rsidRPr="009A0246" w:rsidRDefault="00271E37">
            <w:pPr>
              <w:jc w:val="left"/>
            </w:pPr>
            <w:r w:rsidRPr="009A0246">
              <w:t>Hedlunds Pappers Industri AB</w:t>
            </w:r>
          </w:p>
        </w:tc>
        <w:tc>
          <w:tcPr>
            <w:tcW w:w="1134" w:type="dxa"/>
            <w:tcBorders>
              <w:bottom w:val="nil"/>
            </w:tcBorders>
            <w:vAlign w:val="center"/>
          </w:tcPr>
          <w:p w14:paraId="3A9B07AC" w14:textId="77777777" w:rsidR="00271E37" w:rsidRPr="002A53FA" w:rsidRDefault="00271E37">
            <w:pPr>
              <w:rPr>
                <w:b/>
                <w:bCs/>
              </w:rPr>
            </w:pPr>
            <w:r>
              <w:rPr>
                <w:rFonts w:cs="Arial"/>
                <w:b/>
                <w:bCs/>
                <w:color w:val="000000"/>
                <w:szCs w:val="16"/>
              </w:rPr>
              <w:t xml:space="preserve">290 </w:t>
            </w:r>
          </w:p>
        </w:tc>
        <w:tc>
          <w:tcPr>
            <w:tcW w:w="1134" w:type="dxa"/>
            <w:tcBorders>
              <w:bottom w:val="nil"/>
            </w:tcBorders>
            <w:vAlign w:val="center"/>
          </w:tcPr>
          <w:p w14:paraId="688226E7" w14:textId="77777777" w:rsidR="00271E37" w:rsidRPr="002A53FA" w:rsidRDefault="00271E37">
            <w:r>
              <w:rPr>
                <w:rFonts w:cs="Arial"/>
                <w:color w:val="000000"/>
                <w:szCs w:val="16"/>
              </w:rPr>
              <w:t xml:space="preserve">304 </w:t>
            </w:r>
          </w:p>
        </w:tc>
      </w:tr>
      <w:tr w:rsidR="00271E37" w:rsidRPr="009A0246" w14:paraId="0B87995E" w14:textId="77777777">
        <w:tc>
          <w:tcPr>
            <w:tcW w:w="0" w:type="auto"/>
            <w:tcBorders>
              <w:bottom w:val="single" w:sz="4" w:space="0" w:color="auto"/>
            </w:tcBorders>
          </w:tcPr>
          <w:p w14:paraId="05B7707F" w14:textId="77777777" w:rsidR="00271E37" w:rsidRPr="009A0246" w:rsidRDefault="00271E37">
            <w:pPr>
              <w:jc w:val="left"/>
            </w:pPr>
            <w:r w:rsidRPr="009A0246">
              <w:t xml:space="preserve">Festive Productions Ltd </w:t>
            </w:r>
          </w:p>
        </w:tc>
        <w:tc>
          <w:tcPr>
            <w:tcW w:w="1134" w:type="dxa"/>
            <w:tcBorders>
              <w:bottom w:val="single" w:sz="4" w:space="0" w:color="auto"/>
            </w:tcBorders>
            <w:vAlign w:val="center"/>
          </w:tcPr>
          <w:p w14:paraId="69637041" w14:textId="77777777" w:rsidR="00271E37" w:rsidRPr="002A53FA" w:rsidRDefault="00271E37">
            <w:pPr>
              <w:rPr>
                <w:b/>
                <w:bCs/>
              </w:rPr>
            </w:pPr>
            <w:r>
              <w:rPr>
                <w:rFonts w:cs="Arial"/>
                <w:b/>
                <w:bCs/>
                <w:color w:val="000000"/>
                <w:szCs w:val="16"/>
              </w:rPr>
              <w:t xml:space="preserve">57 </w:t>
            </w:r>
          </w:p>
        </w:tc>
        <w:tc>
          <w:tcPr>
            <w:tcW w:w="1134" w:type="dxa"/>
            <w:tcBorders>
              <w:bottom w:val="single" w:sz="4" w:space="0" w:color="auto"/>
            </w:tcBorders>
            <w:vAlign w:val="center"/>
          </w:tcPr>
          <w:p w14:paraId="26D66FB1" w14:textId="77777777" w:rsidR="00271E37" w:rsidRPr="002A53FA" w:rsidRDefault="00271E37">
            <w:r>
              <w:rPr>
                <w:rFonts w:cs="Arial"/>
                <w:color w:val="000000"/>
                <w:szCs w:val="16"/>
              </w:rPr>
              <w:t xml:space="preserve">12 </w:t>
            </w:r>
          </w:p>
        </w:tc>
      </w:tr>
      <w:tr w:rsidR="00271E37" w:rsidRPr="009A0246" w14:paraId="11928407" w14:textId="77777777">
        <w:tc>
          <w:tcPr>
            <w:tcW w:w="0" w:type="auto"/>
            <w:tcBorders>
              <w:top w:val="single" w:sz="4" w:space="0" w:color="auto"/>
            </w:tcBorders>
          </w:tcPr>
          <w:p w14:paraId="6C136A3C" w14:textId="77777777" w:rsidR="00271E37" w:rsidRPr="009A0246" w:rsidRDefault="00271E37">
            <w:pPr>
              <w:jc w:val="left"/>
            </w:pPr>
          </w:p>
        </w:tc>
        <w:tc>
          <w:tcPr>
            <w:tcW w:w="1134" w:type="dxa"/>
            <w:tcBorders>
              <w:top w:val="single" w:sz="4" w:space="0" w:color="auto"/>
            </w:tcBorders>
            <w:vAlign w:val="center"/>
          </w:tcPr>
          <w:p w14:paraId="3FDF7DC0" w14:textId="77777777" w:rsidR="00271E37" w:rsidRPr="002A53FA" w:rsidRDefault="00271E37">
            <w:pPr>
              <w:rPr>
                <w:b/>
                <w:bCs/>
              </w:rPr>
            </w:pPr>
            <w:r>
              <w:rPr>
                <w:rFonts w:cs="Arial"/>
                <w:b/>
                <w:bCs/>
                <w:color w:val="000000"/>
                <w:szCs w:val="16"/>
              </w:rPr>
              <w:t xml:space="preserve">347 </w:t>
            </w:r>
          </w:p>
        </w:tc>
        <w:tc>
          <w:tcPr>
            <w:tcW w:w="1134" w:type="dxa"/>
            <w:tcBorders>
              <w:top w:val="single" w:sz="4" w:space="0" w:color="auto"/>
            </w:tcBorders>
            <w:vAlign w:val="center"/>
          </w:tcPr>
          <w:p w14:paraId="7BE815A0" w14:textId="77777777" w:rsidR="00271E37" w:rsidRPr="002A53FA" w:rsidRDefault="00271E37">
            <w:r>
              <w:rPr>
                <w:rFonts w:cs="Arial"/>
                <w:color w:val="000000"/>
                <w:szCs w:val="16"/>
              </w:rPr>
              <w:t xml:space="preserve">316 </w:t>
            </w:r>
          </w:p>
        </w:tc>
      </w:tr>
    </w:tbl>
    <w:p w14:paraId="3CDFBF69" w14:textId="77777777" w:rsidR="00271E37" w:rsidRDefault="00271E37" w:rsidP="002E39D4"/>
    <w:p w14:paraId="6EBEE1D4" w14:textId="77777777" w:rsidR="00271E37" w:rsidRDefault="00271E37" w:rsidP="002E39D4">
      <w:r>
        <w:t>There were no outstanding debtor balances in the current year (2025: £nil).</w:t>
      </w:r>
    </w:p>
    <w:p w14:paraId="2BEA752F" w14:textId="77777777" w:rsidR="00271E37" w:rsidRDefault="00271E37" w:rsidP="002E39D4"/>
    <w:p w14:paraId="5C9E4698" w14:textId="77777777" w:rsidR="00271E37" w:rsidRPr="009A0246" w:rsidRDefault="00271E37" w:rsidP="002876C8">
      <w:pPr>
        <w:pStyle w:val="Heading4"/>
        <w:rPr>
          <w:b/>
          <w:bCs/>
        </w:rPr>
      </w:pPr>
      <w:r w:rsidRPr="002876C8">
        <w:rPr>
          <w:rFonts w:ascii="Arial" w:hAnsi="Arial" w:cs="Arial"/>
          <w:b/>
          <w:color w:val="auto"/>
          <w:sz w:val="16"/>
          <w:szCs w:val="16"/>
        </w:rPr>
        <w:t>Identity of related parties and trading</w:t>
      </w:r>
    </w:p>
    <w:p w14:paraId="3F0709BD" w14:textId="77777777" w:rsidR="00271E37" w:rsidRDefault="00271E37" w:rsidP="002E39D4">
      <w:r>
        <w:t>Hedlund Import AB is under the ultimate control of the Hedlund family, who are a major shareholder in the Company. Anders Hedlund is a director of Hedlunds Pappers Industri AB which is under the ultimate control of the Hedlund family, who are a major shareholder in the Company. Festive Productions Ltd is a subsidiary undertaking of Malios Holding AG, a company under the ultimate control of the Hedlund family.</w:t>
      </w:r>
    </w:p>
    <w:p w14:paraId="0C0D6D4F" w14:textId="77777777" w:rsidR="00271E37" w:rsidRDefault="00271E37" w:rsidP="002E39D4"/>
    <w:p w14:paraId="7A271469" w14:textId="77777777" w:rsidR="00271E37" w:rsidRDefault="00271E37" w:rsidP="002E39D4">
      <w:r>
        <w:t>The above trading takes place in the ordinary course of business.</w:t>
      </w:r>
    </w:p>
    <w:p w14:paraId="4847007F" w14:textId="77777777" w:rsidR="00271E37" w:rsidRDefault="00271E37" w:rsidP="002E39D4"/>
    <w:p w14:paraId="66EAE7D1" w14:textId="77777777" w:rsidR="00271E37" w:rsidRPr="009A0246" w:rsidRDefault="00271E37" w:rsidP="002876C8">
      <w:pPr>
        <w:pStyle w:val="Heading4"/>
        <w:rPr>
          <w:b/>
          <w:bCs/>
        </w:rPr>
      </w:pPr>
      <w:r w:rsidRPr="002876C8">
        <w:rPr>
          <w:rFonts w:ascii="Arial" w:hAnsi="Arial" w:cs="Arial"/>
          <w:b/>
          <w:color w:val="auto"/>
          <w:sz w:val="16"/>
          <w:szCs w:val="16"/>
        </w:rPr>
        <w:t>Other related party transactions</w:t>
      </w:r>
    </w:p>
    <w:p w14:paraId="5CCC3B67" w14:textId="415F1A57" w:rsidR="00271E37" w:rsidRDefault="00271E37" w:rsidP="002E39D4">
      <w:r>
        <w:t xml:space="preserve">Directors of the Company and their immediate relatives have an interest in 24% (2025: 24%) of the voting shares of the Company. The shareholdings of Directors and changes during the year are shown in the Directors’ </w:t>
      </w:r>
      <w:r w:rsidRPr="00C3117A">
        <w:t>report</w:t>
      </w:r>
      <w:r w:rsidRPr="00B931EC">
        <w:t>.</w:t>
      </w:r>
    </w:p>
    <w:p w14:paraId="220FCFA3" w14:textId="77777777" w:rsidR="00271E37" w:rsidRDefault="00271E37" w:rsidP="002E39D4"/>
    <w:p w14:paraId="539D654C" w14:textId="77777777" w:rsidR="00271E37" w:rsidRPr="009A0246" w:rsidRDefault="00271E37" w:rsidP="002876C8">
      <w:pPr>
        <w:pStyle w:val="Heading4"/>
        <w:rPr>
          <w:b/>
          <w:bCs/>
        </w:rPr>
      </w:pPr>
      <w:r w:rsidRPr="002876C8">
        <w:rPr>
          <w:rFonts w:ascii="Arial" w:hAnsi="Arial" w:cs="Arial"/>
          <w:b/>
          <w:color w:val="auto"/>
          <w:sz w:val="16"/>
          <w:szCs w:val="16"/>
        </w:rPr>
        <w:t>Directors’ remuneration</w:t>
      </w:r>
    </w:p>
    <w:tbl>
      <w:tblPr>
        <w:tblStyle w:val="tableDUL"/>
        <w:tblW w:w="9639" w:type="dxa"/>
        <w:tblLook w:val="04A0" w:firstRow="1" w:lastRow="0" w:firstColumn="1" w:lastColumn="0" w:noHBand="0" w:noVBand="1"/>
      </w:tblPr>
      <w:tblGrid>
        <w:gridCol w:w="7371"/>
        <w:gridCol w:w="1134"/>
        <w:gridCol w:w="1134"/>
      </w:tblGrid>
      <w:tr w:rsidR="00271E37" w:rsidRPr="009A0246" w14:paraId="2CB78CEB" w14:textId="77777777" w:rsidTr="00DD777C">
        <w:tc>
          <w:tcPr>
            <w:tcW w:w="0" w:type="auto"/>
            <w:tcBorders>
              <w:bottom w:val="nil"/>
            </w:tcBorders>
          </w:tcPr>
          <w:p w14:paraId="58440094" w14:textId="77777777" w:rsidR="00271E37" w:rsidRPr="009A0246" w:rsidRDefault="00271E37" w:rsidP="009A0246">
            <w:pPr>
              <w:jc w:val="left"/>
            </w:pPr>
          </w:p>
        </w:tc>
        <w:tc>
          <w:tcPr>
            <w:tcW w:w="1134" w:type="dxa"/>
            <w:tcBorders>
              <w:bottom w:val="nil"/>
            </w:tcBorders>
          </w:tcPr>
          <w:p w14:paraId="43D72427" w14:textId="77777777" w:rsidR="00271E37" w:rsidRPr="009A0246" w:rsidRDefault="00271E37" w:rsidP="000923EA">
            <w:pPr>
              <w:rPr>
                <w:b/>
                <w:bCs/>
              </w:rPr>
            </w:pPr>
            <w:r w:rsidRPr="009A0246">
              <w:rPr>
                <w:b/>
                <w:bCs/>
              </w:rPr>
              <w:t>202</w:t>
            </w:r>
            <w:r>
              <w:rPr>
                <w:b/>
                <w:bCs/>
              </w:rPr>
              <w:t>6</w:t>
            </w:r>
          </w:p>
        </w:tc>
        <w:tc>
          <w:tcPr>
            <w:tcW w:w="1134" w:type="dxa"/>
            <w:tcBorders>
              <w:bottom w:val="nil"/>
            </w:tcBorders>
          </w:tcPr>
          <w:p w14:paraId="2F92C5B5" w14:textId="77777777" w:rsidR="00271E37" w:rsidRPr="009A0246" w:rsidRDefault="00271E37" w:rsidP="000923EA">
            <w:r w:rsidRPr="009A0246">
              <w:t>202</w:t>
            </w:r>
            <w:r>
              <w:t>5</w:t>
            </w:r>
          </w:p>
        </w:tc>
      </w:tr>
      <w:tr w:rsidR="00271E37" w:rsidRPr="009A0246" w14:paraId="2769B13B" w14:textId="77777777" w:rsidTr="00DD777C">
        <w:tc>
          <w:tcPr>
            <w:tcW w:w="0" w:type="auto"/>
            <w:tcBorders>
              <w:bottom w:val="single" w:sz="4" w:space="0" w:color="auto"/>
            </w:tcBorders>
          </w:tcPr>
          <w:p w14:paraId="18A5D6E2" w14:textId="77777777" w:rsidR="00271E37" w:rsidRPr="009A0246" w:rsidRDefault="00271E37" w:rsidP="009A0246">
            <w:pPr>
              <w:jc w:val="left"/>
            </w:pPr>
          </w:p>
        </w:tc>
        <w:tc>
          <w:tcPr>
            <w:tcW w:w="1134" w:type="dxa"/>
            <w:tcBorders>
              <w:bottom w:val="single" w:sz="4" w:space="0" w:color="auto"/>
            </w:tcBorders>
          </w:tcPr>
          <w:p w14:paraId="2D3168D4" w14:textId="77777777" w:rsidR="00271E37" w:rsidRPr="009A0246" w:rsidRDefault="00271E37" w:rsidP="000923EA">
            <w:pPr>
              <w:rPr>
                <w:b/>
                <w:bCs/>
              </w:rPr>
            </w:pPr>
            <w:r>
              <w:rPr>
                <w:b/>
                <w:bCs/>
              </w:rPr>
              <w:t>£</w:t>
            </w:r>
            <w:r w:rsidRPr="009A0246">
              <w:rPr>
                <w:b/>
                <w:bCs/>
              </w:rPr>
              <w:t>000</w:t>
            </w:r>
          </w:p>
        </w:tc>
        <w:tc>
          <w:tcPr>
            <w:tcW w:w="1134" w:type="dxa"/>
            <w:tcBorders>
              <w:bottom w:val="single" w:sz="4" w:space="0" w:color="auto"/>
            </w:tcBorders>
          </w:tcPr>
          <w:p w14:paraId="5B8F66DA" w14:textId="77777777" w:rsidR="00271E37" w:rsidRPr="009A0246" w:rsidRDefault="00271E37" w:rsidP="000923EA">
            <w:r>
              <w:t>£</w:t>
            </w:r>
            <w:r w:rsidRPr="009A0246">
              <w:t>000</w:t>
            </w:r>
          </w:p>
        </w:tc>
      </w:tr>
      <w:tr w:rsidR="00271E37" w:rsidRPr="009A0246" w14:paraId="748101BF" w14:textId="77777777">
        <w:tc>
          <w:tcPr>
            <w:tcW w:w="0" w:type="auto"/>
            <w:tcBorders>
              <w:top w:val="single" w:sz="4" w:space="0" w:color="auto"/>
              <w:bottom w:val="nil"/>
            </w:tcBorders>
          </w:tcPr>
          <w:p w14:paraId="1CC0FDD3" w14:textId="77777777" w:rsidR="00271E37" w:rsidRPr="009A0246" w:rsidRDefault="00271E37">
            <w:pPr>
              <w:jc w:val="left"/>
            </w:pPr>
            <w:r w:rsidRPr="009A0246">
              <w:t>Short-term employee benefits</w:t>
            </w:r>
          </w:p>
        </w:tc>
        <w:tc>
          <w:tcPr>
            <w:tcW w:w="1134" w:type="dxa"/>
            <w:tcBorders>
              <w:top w:val="single" w:sz="4" w:space="0" w:color="auto"/>
              <w:bottom w:val="nil"/>
            </w:tcBorders>
            <w:vAlign w:val="center"/>
          </w:tcPr>
          <w:p w14:paraId="32D655E1" w14:textId="77777777" w:rsidR="00271E37" w:rsidRPr="002A53FA" w:rsidRDefault="00271E37">
            <w:pPr>
              <w:rPr>
                <w:b/>
                <w:bCs/>
              </w:rPr>
            </w:pPr>
            <w:r>
              <w:rPr>
                <w:rFonts w:cs="Arial"/>
                <w:b/>
                <w:bCs/>
                <w:color w:val="000000"/>
                <w:szCs w:val="16"/>
              </w:rPr>
              <w:t xml:space="preserve">1,704 </w:t>
            </w:r>
          </w:p>
        </w:tc>
        <w:tc>
          <w:tcPr>
            <w:tcW w:w="1134" w:type="dxa"/>
            <w:tcBorders>
              <w:top w:val="single" w:sz="4" w:space="0" w:color="auto"/>
              <w:bottom w:val="nil"/>
            </w:tcBorders>
            <w:vAlign w:val="center"/>
          </w:tcPr>
          <w:p w14:paraId="63A9647D" w14:textId="77777777" w:rsidR="00271E37" w:rsidRPr="002A53FA" w:rsidRDefault="00271E37">
            <w:r>
              <w:rPr>
                <w:rFonts w:cs="Arial"/>
                <w:color w:val="000000"/>
                <w:szCs w:val="16"/>
              </w:rPr>
              <w:t xml:space="preserve">1,387 </w:t>
            </w:r>
          </w:p>
        </w:tc>
      </w:tr>
      <w:tr w:rsidR="00271E37" w:rsidRPr="009A0246" w14:paraId="4924FF80" w14:textId="77777777">
        <w:tc>
          <w:tcPr>
            <w:tcW w:w="0" w:type="auto"/>
            <w:tcBorders>
              <w:bottom w:val="single" w:sz="4" w:space="0" w:color="auto"/>
            </w:tcBorders>
          </w:tcPr>
          <w:p w14:paraId="142D03A3" w14:textId="77777777" w:rsidR="00271E37" w:rsidRPr="009A0246" w:rsidRDefault="00271E37">
            <w:pPr>
              <w:jc w:val="left"/>
            </w:pPr>
            <w:r w:rsidRPr="009A0246">
              <w:t>Share-based payments charge</w:t>
            </w:r>
          </w:p>
        </w:tc>
        <w:tc>
          <w:tcPr>
            <w:tcW w:w="1134" w:type="dxa"/>
            <w:tcBorders>
              <w:bottom w:val="single" w:sz="4" w:space="0" w:color="auto"/>
            </w:tcBorders>
            <w:vAlign w:val="center"/>
          </w:tcPr>
          <w:p w14:paraId="1DF13273" w14:textId="77777777" w:rsidR="00271E37" w:rsidRPr="002A53FA" w:rsidRDefault="00271E37">
            <w:pPr>
              <w:rPr>
                <w:b/>
                <w:bCs/>
              </w:rPr>
            </w:pPr>
            <w:r>
              <w:rPr>
                <w:rFonts w:cs="Arial"/>
                <w:b/>
                <w:bCs/>
                <w:color w:val="000000"/>
                <w:szCs w:val="16"/>
              </w:rPr>
              <w:t xml:space="preserve">236 </w:t>
            </w:r>
          </w:p>
        </w:tc>
        <w:tc>
          <w:tcPr>
            <w:tcW w:w="1134" w:type="dxa"/>
            <w:tcBorders>
              <w:bottom w:val="single" w:sz="4" w:space="0" w:color="auto"/>
            </w:tcBorders>
            <w:vAlign w:val="center"/>
          </w:tcPr>
          <w:p w14:paraId="49291C06" w14:textId="77777777" w:rsidR="00271E37" w:rsidRPr="002A53FA" w:rsidRDefault="00271E37">
            <w:r>
              <w:rPr>
                <w:rFonts w:cs="Arial"/>
                <w:color w:val="000000"/>
                <w:szCs w:val="16"/>
              </w:rPr>
              <w:t xml:space="preserve">302 </w:t>
            </w:r>
          </w:p>
        </w:tc>
      </w:tr>
      <w:tr w:rsidR="00271E37" w:rsidRPr="009A0246" w14:paraId="68E9BDB7" w14:textId="77777777">
        <w:tc>
          <w:tcPr>
            <w:tcW w:w="0" w:type="auto"/>
            <w:tcBorders>
              <w:top w:val="single" w:sz="4" w:space="0" w:color="auto"/>
            </w:tcBorders>
          </w:tcPr>
          <w:p w14:paraId="2B6AABDD" w14:textId="77777777" w:rsidR="00271E37" w:rsidRPr="009A0246" w:rsidRDefault="00271E37">
            <w:pPr>
              <w:jc w:val="left"/>
            </w:pPr>
          </w:p>
        </w:tc>
        <w:tc>
          <w:tcPr>
            <w:tcW w:w="1134" w:type="dxa"/>
            <w:tcBorders>
              <w:top w:val="single" w:sz="4" w:space="0" w:color="auto"/>
            </w:tcBorders>
            <w:vAlign w:val="center"/>
          </w:tcPr>
          <w:p w14:paraId="3650195F" w14:textId="77777777" w:rsidR="00271E37" w:rsidRPr="002A53FA" w:rsidRDefault="00271E37">
            <w:pPr>
              <w:rPr>
                <w:b/>
                <w:bCs/>
              </w:rPr>
            </w:pPr>
            <w:r>
              <w:rPr>
                <w:rFonts w:cs="Arial"/>
                <w:b/>
                <w:bCs/>
                <w:color w:val="000000"/>
                <w:szCs w:val="16"/>
              </w:rPr>
              <w:t xml:space="preserve">1,940 </w:t>
            </w:r>
          </w:p>
        </w:tc>
        <w:tc>
          <w:tcPr>
            <w:tcW w:w="1134" w:type="dxa"/>
            <w:tcBorders>
              <w:top w:val="single" w:sz="4" w:space="0" w:color="auto"/>
            </w:tcBorders>
            <w:vAlign w:val="center"/>
          </w:tcPr>
          <w:p w14:paraId="39EA346B" w14:textId="77777777" w:rsidR="00271E37" w:rsidRPr="002A53FA" w:rsidRDefault="00271E37">
            <w:r>
              <w:rPr>
                <w:rFonts w:cs="Arial"/>
                <w:color w:val="000000"/>
                <w:szCs w:val="16"/>
              </w:rPr>
              <w:t xml:space="preserve">1,689 </w:t>
            </w:r>
          </w:p>
        </w:tc>
      </w:tr>
    </w:tbl>
    <w:p w14:paraId="6A20154E" w14:textId="77777777" w:rsidR="00271E37" w:rsidRDefault="00271E37" w:rsidP="002E39D4"/>
    <w:p w14:paraId="6BDE4CE4" w14:textId="52016BF7" w:rsidR="00271E37" w:rsidRDefault="00271E37" w:rsidP="002E39D4">
      <w:r>
        <w:t>See the Directors’ remuneration report for more detail.</w:t>
      </w:r>
    </w:p>
    <w:p w14:paraId="4A38B4D3" w14:textId="77777777" w:rsidR="00271E37" w:rsidRDefault="00271E37" w:rsidP="002E39D4"/>
    <w:p w14:paraId="7C7DCF00" w14:textId="77777777" w:rsidR="00271E37" w:rsidRPr="009A0246" w:rsidRDefault="00271E37">
      <w:pPr>
        <w:pStyle w:val="Heading2"/>
      </w:pPr>
      <w:r w:rsidRPr="009A0246">
        <w:t>27 Non-controlling interests</w:t>
      </w:r>
    </w:p>
    <w:p w14:paraId="017B36BA" w14:textId="788264CE" w:rsidR="00271E37" w:rsidRPr="004950B4" w:rsidRDefault="00271E37" w:rsidP="004950B4">
      <w:r w:rsidRPr="004950B4">
        <w:t>Set out below is</w:t>
      </w:r>
      <w:r w:rsidR="00A81E64">
        <w:t xml:space="preserve"> the</w:t>
      </w:r>
      <w:r w:rsidRPr="004950B4">
        <w:t xml:space="preserve"> summarised financial information for each subsidiary that has non-controlling interests. IG Design Group Australia Pty L</w:t>
      </w:r>
      <w:r w:rsidR="007F2817">
        <w:t>imited</w:t>
      </w:r>
      <w:r w:rsidRPr="004950B4">
        <w:t xml:space="preserve"> (‘Australia’) is considered a subsidiary of the Group. The Group owns 50% of the share capital but can demonstrate that it has control as required under IFRS. </w:t>
      </w:r>
    </w:p>
    <w:p w14:paraId="6EEF3DA2" w14:textId="77777777" w:rsidR="00271E37" w:rsidRDefault="00271E37" w:rsidP="002E39D4"/>
    <w:tbl>
      <w:tblPr>
        <w:tblStyle w:val="tableDUL"/>
        <w:tblW w:w="9638" w:type="dxa"/>
        <w:tblLook w:val="04A0" w:firstRow="1" w:lastRow="0" w:firstColumn="1" w:lastColumn="0" w:noHBand="0" w:noVBand="1"/>
      </w:tblPr>
      <w:tblGrid>
        <w:gridCol w:w="7370"/>
        <w:gridCol w:w="1134"/>
        <w:gridCol w:w="1134"/>
      </w:tblGrid>
      <w:tr w:rsidR="00271E37" w:rsidRPr="009A0246" w14:paraId="65C31684" w14:textId="77777777">
        <w:tc>
          <w:tcPr>
            <w:tcW w:w="7370" w:type="dxa"/>
          </w:tcPr>
          <w:p w14:paraId="6B1C554E" w14:textId="77777777" w:rsidR="00271E37" w:rsidRPr="00AC02B3" w:rsidRDefault="00271E37">
            <w:pPr>
              <w:tabs>
                <w:tab w:val="left" w:pos="360"/>
              </w:tabs>
              <w:jc w:val="left"/>
            </w:pPr>
          </w:p>
        </w:tc>
        <w:tc>
          <w:tcPr>
            <w:tcW w:w="1134" w:type="dxa"/>
            <w:tcBorders>
              <w:top w:val="nil"/>
              <w:bottom w:val="nil"/>
            </w:tcBorders>
          </w:tcPr>
          <w:p w14:paraId="39017478" w14:textId="77777777" w:rsidR="00271E37" w:rsidRPr="00CF6CFB" w:rsidRDefault="00271E37" w:rsidP="009A0246">
            <w:pPr>
              <w:rPr>
                <w:b/>
                <w:bCs/>
              </w:rPr>
            </w:pPr>
            <w:r w:rsidRPr="00CF6CFB">
              <w:rPr>
                <w:b/>
                <w:bCs/>
              </w:rPr>
              <w:t>202</w:t>
            </w:r>
            <w:r>
              <w:rPr>
                <w:b/>
                <w:bCs/>
              </w:rPr>
              <w:t>6</w:t>
            </w:r>
          </w:p>
        </w:tc>
        <w:tc>
          <w:tcPr>
            <w:tcW w:w="1134" w:type="dxa"/>
            <w:tcBorders>
              <w:top w:val="nil"/>
              <w:bottom w:val="nil"/>
            </w:tcBorders>
          </w:tcPr>
          <w:p w14:paraId="07DDDF10" w14:textId="77777777" w:rsidR="00271E37" w:rsidRPr="009A0246" w:rsidRDefault="00271E37" w:rsidP="009A0246">
            <w:r>
              <w:t>2025</w:t>
            </w:r>
          </w:p>
        </w:tc>
      </w:tr>
      <w:tr w:rsidR="00271E37" w:rsidRPr="009A0246" w14:paraId="54DF65B3" w14:textId="77777777">
        <w:trPr>
          <w:trHeight w:val="187"/>
        </w:trPr>
        <w:tc>
          <w:tcPr>
            <w:tcW w:w="7370" w:type="dxa"/>
            <w:tcBorders>
              <w:bottom w:val="single" w:sz="4" w:space="0" w:color="auto"/>
            </w:tcBorders>
          </w:tcPr>
          <w:p w14:paraId="0843BE84" w14:textId="77777777" w:rsidR="00271E37" w:rsidRPr="009A0246" w:rsidRDefault="00271E37">
            <w:pPr>
              <w:tabs>
                <w:tab w:val="left" w:pos="360"/>
              </w:tabs>
              <w:jc w:val="left"/>
            </w:pPr>
            <w:r w:rsidRPr="00AC02B3">
              <w:t>Non-controlling interest – balance sheet as at 31 March</w:t>
            </w:r>
          </w:p>
        </w:tc>
        <w:tc>
          <w:tcPr>
            <w:tcW w:w="1134" w:type="dxa"/>
            <w:tcBorders>
              <w:top w:val="nil"/>
              <w:bottom w:val="single" w:sz="4" w:space="0" w:color="auto"/>
            </w:tcBorders>
          </w:tcPr>
          <w:p w14:paraId="29F08B65" w14:textId="77777777" w:rsidR="00271E37" w:rsidRPr="00CF6CFB" w:rsidRDefault="00271E37" w:rsidP="009A0246">
            <w:pPr>
              <w:rPr>
                <w:b/>
                <w:bCs/>
              </w:rPr>
            </w:pPr>
            <w:r>
              <w:rPr>
                <w:b/>
                <w:bCs/>
              </w:rPr>
              <w:t>£</w:t>
            </w:r>
            <w:r w:rsidRPr="00CF6CFB">
              <w:rPr>
                <w:b/>
                <w:bCs/>
              </w:rPr>
              <w:t>000</w:t>
            </w:r>
          </w:p>
        </w:tc>
        <w:tc>
          <w:tcPr>
            <w:tcW w:w="1134" w:type="dxa"/>
            <w:tcBorders>
              <w:top w:val="nil"/>
              <w:bottom w:val="single" w:sz="4" w:space="0" w:color="auto"/>
            </w:tcBorders>
          </w:tcPr>
          <w:p w14:paraId="0C207970" w14:textId="77777777" w:rsidR="00271E37" w:rsidRPr="009A0246" w:rsidRDefault="00271E37" w:rsidP="009A0246">
            <w:r>
              <w:t>£</w:t>
            </w:r>
            <w:r w:rsidRPr="009A0246">
              <w:t>000</w:t>
            </w:r>
          </w:p>
        </w:tc>
      </w:tr>
      <w:tr w:rsidR="00271E37" w:rsidRPr="009A0246" w14:paraId="0566E089" w14:textId="77777777">
        <w:tc>
          <w:tcPr>
            <w:tcW w:w="7370" w:type="dxa"/>
            <w:tcBorders>
              <w:top w:val="single" w:sz="4" w:space="0" w:color="auto"/>
            </w:tcBorders>
          </w:tcPr>
          <w:p w14:paraId="194D5DB8" w14:textId="77777777" w:rsidR="00271E37" w:rsidRPr="009A0246" w:rsidRDefault="00271E37">
            <w:pPr>
              <w:jc w:val="left"/>
            </w:pPr>
            <w:r w:rsidRPr="009A0246">
              <w:t>Non-current assets</w:t>
            </w:r>
          </w:p>
        </w:tc>
        <w:tc>
          <w:tcPr>
            <w:tcW w:w="1134" w:type="dxa"/>
            <w:tcBorders>
              <w:top w:val="single" w:sz="4" w:space="0" w:color="auto"/>
            </w:tcBorders>
            <w:vAlign w:val="center"/>
          </w:tcPr>
          <w:p w14:paraId="48111F94" w14:textId="77777777" w:rsidR="00271E37" w:rsidRPr="00CF6CFB" w:rsidRDefault="00271E37">
            <w:pPr>
              <w:rPr>
                <w:b/>
                <w:bCs/>
              </w:rPr>
            </w:pPr>
            <w:r>
              <w:rPr>
                <w:rFonts w:cs="Arial"/>
                <w:b/>
                <w:bCs/>
                <w:color w:val="000000"/>
                <w:szCs w:val="16"/>
              </w:rPr>
              <w:t xml:space="preserve">16,732 </w:t>
            </w:r>
          </w:p>
        </w:tc>
        <w:tc>
          <w:tcPr>
            <w:tcW w:w="1134" w:type="dxa"/>
            <w:tcBorders>
              <w:top w:val="single" w:sz="4" w:space="0" w:color="auto"/>
            </w:tcBorders>
            <w:vAlign w:val="center"/>
          </w:tcPr>
          <w:p w14:paraId="53F55265" w14:textId="77777777" w:rsidR="00271E37" w:rsidRPr="009A0246" w:rsidRDefault="00271E37">
            <w:r>
              <w:rPr>
                <w:rFonts w:cs="Arial"/>
                <w:color w:val="000000"/>
                <w:szCs w:val="16"/>
              </w:rPr>
              <w:t xml:space="preserve">16,536 </w:t>
            </w:r>
          </w:p>
        </w:tc>
      </w:tr>
      <w:tr w:rsidR="00271E37" w:rsidRPr="009A0246" w14:paraId="342108C6" w14:textId="77777777">
        <w:tc>
          <w:tcPr>
            <w:tcW w:w="7370" w:type="dxa"/>
          </w:tcPr>
          <w:p w14:paraId="56C09433" w14:textId="77777777" w:rsidR="00271E37" w:rsidRPr="009A0246" w:rsidRDefault="00271E37">
            <w:pPr>
              <w:jc w:val="left"/>
            </w:pPr>
            <w:r w:rsidRPr="009A0246">
              <w:t>Current assets</w:t>
            </w:r>
          </w:p>
        </w:tc>
        <w:tc>
          <w:tcPr>
            <w:tcW w:w="1134" w:type="dxa"/>
            <w:vAlign w:val="center"/>
          </w:tcPr>
          <w:p w14:paraId="35025DB7" w14:textId="77777777" w:rsidR="00271E37" w:rsidRPr="00CF6CFB" w:rsidRDefault="00271E37">
            <w:pPr>
              <w:rPr>
                <w:b/>
                <w:bCs/>
              </w:rPr>
            </w:pPr>
            <w:r>
              <w:rPr>
                <w:rFonts w:cs="Arial"/>
                <w:b/>
                <w:bCs/>
                <w:color w:val="000000"/>
                <w:szCs w:val="16"/>
              </w:rPr>
              <w:t xml:space="preserve">12,808 </w:t>
            </w:r>
          </w:p>
        </w:tc>
        <w:tc>
          <w:tcPr>
            <w:tcW w:w="1134" w:type="dxa"/>
            <w:vAlign w:val="center"/>
          </w:tcPr>
          <w:p w14:paraId="36D2129E" w14:textId="77777777" w:rsidR="00271E37" w:rsidRPr="009A0246" w:rsidRDefault="00271E37">
            <w:r>
              <w:rPr>
                <w:rFonts w:cs="Arial"/>
                <w:color w:val="000000"/>
                <w:szCs w:val="16"/>
              </w:rPr>
              <w:t xml:space="preserve">11,969 </w:t>
            </w:r>
          </w:p>
        </w:tc>
      </w:tr>
      <w:tr w:rsidR="00271E37" w:rsidRPr="009A0246" w14:paraId="0E63DBCE" w14:textId="77777777">
        <w:tc>
          <w:tcPr>
            <w:tcW w:w="7370" w:type="dxa"/>
          </w:tcPr>
          <w:p w14:paraId="725A5171" w14:textId="77777777" w:rsidR="00271E37" w:rsidRPr="009A0246" w:rsidRDefault="00271E37">
            <w:pPr>
              <w:jc w:val="left"/>
            </w:pPr>
            <w:r w:rsidRPr="009A0246">
              <w:t>Current liabilities</w:t>
            </w:r>
          </w:p>
        </w:tc>
        <w:tc>
          <w:tcPr>
            <w:tcW w:w="1134" w:type="dxa"/>
            <w:vAlign w:val="center"/>
          </w:tcPr>
          <w:p w14:paraId="0DF36120" w14:textId="77777777" w:rsidR="00271E37" w:rsidRPr="00CF6CFB" w:rsidRDefault="00271E37">
            <w:pPr>
              <w:rPr>
                <w:b/>
                <w:bCs/>
              </w:rPr>
            </w:pPr>
            <w:r>
              <w:rPr>
                <w:rFonts w:cs="Arial"/>
                <w:b/>
                <w:bCs/>
                <w:color w:val="000000"/>
                <w:szCs w:val="16"/>
              </w:rPr>
              <w:t>(5,249)</w:t>
            </w:r>
          </w:p>
        </w:tc>
        <w:tc>
          <w:tcPr>
            <w:tcW w:w="1134" w:type="dxa"/>
            <w:vAlign w:val="center"/>
          </w:tcPr>
          <w:p w14:paraId="4CE1D2E1" w14:textId="77777777" w:rsidR="00271E37" w:rsidRPr="009A0246" w:rsidRDefault="00271E37">
            <w:r>
              <w:rPr>
                <w:rFonts w:cs="Arial"/>
                <w:color w:val="000000"/>
                <w:szCs w:val="16"/>
              </w:rPr>
              <w:t>(5,130)</w:t>
            </w:r>
          </w:p>
        </w:tc>
      </w:tr>
      <w:tr w:rsidR="00271E37" w:rsidRPr="009A0246" w14:paraId="3D95A4A2" w14:textId="77777777">
        <w:tc>
          <w:tcPr>
            <w:tcW w:w="7370" w:type="dxa"/>
          </w:tcPr>
          <w:p w14:paraId="27F42E0D" w14:textId="77777777" w:rsidR="00271E37" w:rsidRPr="009A0246" w:rsidRDefault="00271E37">
            <w:pPr>
              <w:jc w:val="left"/>
            </w:pPr>
            <w:r w:rsidRPr="009A0246">
              <w:t>Non-current liabilities</w:t>
            </w:r>
          </w:p>
        </w:tc>
        <w:tc>
          <w:tcPr>
            <w:tcW w:w="1134" w:type="dxa"/>
            <w:vAlign w:val="center"/>
          </w:tcPr>
          <w:p w14:paraId="5D9775BF" w14:textId="77777777" w:rsidR="00271E37" w:rsidRPr="00CF6CFB" w:rsidRDefault="00271E37">
            <w:pPr>
              <w:rPr>
                <w:b/>
                <w:bCs/>
              </w:rPr>
            </w:pPr>
            <w:r>
              <w:rPr>
                <w:rFonts w:cs="Arial"/>
                <w:b/>
                <w:bCs/>
                <w:color w:val="000000"/>
                <w:szCs w:val="16"/>
              </w:rPr>
              <w:t>(12,139)</w:t>
            </w:r>
          </w:p>
        </w:tc>
        <w:tc>
          <w:tcPr>
            <w:tcW w:w="1134" w:type="dxa"/>
            <w:vAlign w:val="center"/>
          </w:tcPr>
          <w:p w14:paraId="168D161A" w14:textId="77777777" w:rsidR="00271E37" w:rsidRPr="009A0246" w:rsidRDefault="00271E37">
            <w:r>
              <w:rPr>
                <w:rFonts w:cs="Arial"/>
                <w:color w:val="000000"/>
                <w:szCs w:val="16"/>
              </w:rPr>
              <w:t>(12,114)</w:t>
            </w:r>
          </w:p>
        </w:tc>
      </w:tr>
    </w:tbl>
    <w:p w14:paraId="30D9B5BE" w14:textId="77777777" w:rsidR="00271E37" w:rsidRDefault="00271E37" w:rsidP="002E39D4"/>
    <w:tbl>
      <w:tblPr>
        <w:tblStyle w:val="tableDUL"/>
        <w:tblW w:w="9638" w:type="dxa"/>
        <w:tblLook w:val="04A0" w:firstRow="1" w:lastRow="0" w:firstColumn="1" w:lastColumn="0" w:noHBand="0" w:noVBand="1"/>
      </w:tblPr>
      <w:tblGrid>
        <w:gridCol w:w="7370"/>
        <w:gridCol w:w="1134"/>
        <w:gridCol w:w="1134"/>
      </w:tblGrid>
      <w:tr w:rsidR="00271E37" w:rsidRPr="009A0246" w14:paraId="7D2FD15D" w14:textId="77777777">
        <w:tc>
          <w:tcPr>
            <w:tcW w:w="7370" w:type="dxa"/>
          </w:tcPr>
          <w:p w14:paraId="2B1DFA2A" w14:textId="77777777" w:rsidR="00271E37" w:rsidRPr="009A0246" w:rsidRDefault="00271E37" w:rsidP="009A0246">
            <w:pPr>
              <w:jc w:val="left"/>
            </w:pPr>
          </w:p>
        </w:tc>
        <w:tc>
          <w:tcPr>
            <w:tcW w:w="1134" w:type="dxa"/>
            <w:tcBorders>
              <w:bottom w:val="nil"/>
            </w:tcBorders>
          </w:tcPr>
          <w:p w14:paraId="3812E351" w14:textId="77777777" w:rsidR="00271E37" w:rsidRPr="009A0246" w:rsidRDefault="00271E37" w:rsidP="009A0246">
            <w:r w:rsidRPr="00CF6CFB">
              <w:rPr>
                <w:b/>
                <w:bCs/>
              </w:rPr>
              <w:t>202</w:t>
            </w:r>
            <w:r>
              <w:rPr>
                <w:b/>
                <w:bCs/>
              </w:rPr>
              <w:t>6</w:t>
            </w:r>
          </w:p>
        </w:tc>
        <w:tc>
          <w:tcPr>
            <w:tcW w:w="1134" w:type="dxa"/>
            <w:tcBorders>
              <w:bottom w:val="nil"/>
            </w:tcBorders>
          </w:tcPr>
          <w:p w14:paraId="47A76DE5" w14:textId="77777777" w:rsidR="00271E37" w:rsidRPr="009A0246" w:rsidRDefault="00271E37" w:rsidP="009A0246">
            <w:r>
              <w:t>2025</w:t>
            </w:r>
          </w:p>
        </w:tc>
      </w:tr>
      <w:tr w:rsidR="00271E37" w:rsidRPr="009A0246" w14:paraId="6D08510F" w14:textId="77777777">
        <w:tc>
          <w:tcPr>
            <w:tcW w:w="7370" w:type="dxa"/>
            <w:tcBorders>
              <w:bottom w:val="single" w:sz="4" w:space="0" w:color="auto"/>
            </w:tcBorders>
          </w:tcPr>
          <w:p w14:paraId="2E7FE18F" w14:textId="77777777" w:rsidR="00271E37" w:rsidRPr="009A0246" w:rsidRDefault="00271E37" w:rsidP="009A0246">
            <w:pPr>
              <w:jc w:val="left"/>
            </w:pPr>
            <w:r w:rsidRPr="009A0246">
              <w:t>Non-controlling interest –</w:t>
            </w:r>
            <w:r>
              <w:t xml:space="preserve"> </w:t>
            </w:r>
            <w:r w:rsidRPr="009A0246">
              <w:t>comprehensive income for the year ended 31 March</w:t>
            </w:r>
          </w:p>
        </w:tc>
        <w:tc>
          <w:tcPr>
            <w:tcW w:w="1134" w:type="dxa"/>
            <w:tcBorders>
              <w:bottom w:val="single" w:sz="4" w:space="0" w:color="auto"/>
            </w:tcBorders>
          </w:tcPr>
          <w:p w14:paraId="7AFCFFB1" w14:textId="77777777" w:rsidR="00271E37" w:rsidRPr="005F2F2B" w:rsidRDefault="00271E37" w:rsidP="009A0246">
            <w:pPr>
              <w:rPr>
                <w:b/>
                <w:bCs/>
              </w:rPr>
            </w:pPr>
            <w:r>
              <w:rPr>
                <w:b/>
                <w:bCs/>
              </w:rPr>
              <w:t>£</w:t>
            </w:r>
            <w:r w:rsidRPr="005F2F2B">
              <w:rPr>
                <w:b/>
                <w:bCs/>
              </w:rPr>
              <w:t>000</w:t>
            </w:r>
          </w:p>
        </w:tc>
        <w:tc>
          <w:tcPr>
            <w:tcW w:w="1134" w:type="dxa"/>
            <w:tcBorders>
              <w:bottom w:val="single" w:sz="4" w:space="0" w:color="auto"/>
            </w:tcBorders>
          </w:tcPr>
          <w:p w14:paraId="56EA13D9" w14:textId="77777777" w:rsidR="00271E37" w:rsidRPr="009A0246" w:rsidRDefault="00271E37" w:rsidP="009A0246">
            <w:r>
              <w:t>£</w:t>
            </w:r>
            <w:r w:rsidRPr="009A0246">
              <w:t>000</w:t>
            </w:r>
          </w:p>
        </w:tc>
      </w:tr>
      <w:tr w:rsidR="00271E37" w:rsidRPr="009A0246" w14:paraId="6FACF7DB" w14:textId="77777777">
        <w:tc>
          <w:tcPr>
            <w:tcW w:w="7370" w:type="dxa"/>
            <w:tcBorders>
              <w:top w:val="single" w:sz="4" w:space="0" w:color="auto"/>
            </w:tcBorders>
          </w:tcPr>
          <w:p w14:paraId="731A957F" w14:textId="77777777" w:rsidR="00271E37" w:rsidRPr="009A0246" w:rsidRDefault="00271E37">
            <w:pPr>
              <w:jc w:val="left"/>
            </w:pPr>
            <w:r w:rsidRPr="009A0246">
              <w:t>Revenue</w:t>
            </w:r>
          </w:p>
        </w:tc>
        <w:tc>
          <w:tcPr>
            <w:tcW w:w="1134" w:type="dxa"/>
            <w:tcBorders>
              <w:top w:val="single" w:sz="4" w:space="0" w:color="auto"/>
            </w:tcBorders>
            <w:vAlign w:val="center"/>
          </w:tcPr>
          <w:p w14:paraId="5DE61C73" w14:textId="77777777" w:rsidR="00271E37" w:rsidRPr="009A0246" w:rsidRDefault="00271E37">
            <w:r>
              <w:rPr>
                <w:rFonts w:cs="Arial"/>
                <w:b/>
                <w:bCs/>
                <w:color w:val="000000"/>
                <w:szCs w:val="16"/>
              </w:rPr>
              <w:t xml:space="preserve">33,534 </w:t>
            </w:r>
          </w:p>
        </w:tc>
        <w:tc>
          <w:tcPr>
            <w:tcW w:w="1134" w:type="dxa"/>
            <w:tcBorders>
              <w:top w:val="single" w:sz="4" w:space="0" w:color="auto"/>
            </w:tcBorders>
            <w:vAlign w:val="center"/>
          </w:tcPr>
          <w:p w14:paraId="5FDE5698" w14:textId="77777777" w:rsidR="00271E37" w:rsidRPr="009A0246" w:rsidRDefault="00271E37">
            <w:r>
              <w:rPr>
                <w:rFonts w:cs="Arial"/>
                <w:color w:val="000000"/>
                <w:szCs w:val="16"/>
              </w:rPr>
              <w:t xml:space="preserve">31,611 </w:t>
            </w:r>
          </w:p>
        </w:tc>
      </w:tr>
      <w:tr w:rsidR="00271E37" w:rsidRPr="009A0246" w14:paraId="2BD253F9" w14:textId="77777777">
        <w:tc>
          <w:tcPr>
            <w:tcW w:w="7370" w:type="dxa"/>
          </w:tcPr>
          <w:p w14:paraId="59AD8950" w14:textId="77777777" w:rsidR="00271E37" w:rsidRPr="009A0246" w:rsidRDefault="00271E37">
            <w:pPr>
              <w:jc w:val="left"/>
            </w:pPr>
            <w:r w:rsidRPr="009A0246">
              <w:t>Profit after tax</w:t>
            </w:r>
          </w:p>
        </w:tc>
        <w:tc>
          <w:tcPr>
            <w:tcW w:w="1134" w:type="dxa"/>
            <w:vAlign w:val="center"/>
          </w:tcPr>
          <w:p w14:paraId="7179AC88" w14:textId="77777777" w:rsidR="00271E37" w:rsidRPr="009A0246" w:rsidRDefault="00271E37">
            <w:r>
              <w:rPr>
                <w:rFonts w:cs="Arial"/>
                <w:b/>
                <w:bCs/>
                <w:color w:val="000000"/>
                <w:szCs w:val="16"/>
              </w:rPr>
              <w:t xml:space="preserve">40 </w:t>
            </w:r>
          </w:p>
        </w:tc>
        <w:tc>
          <w:tcPr>
            <w:tcW w:w="1134" w:type="dxa"/>
            <w:vAlign w:val="center"/>
          </w:tcPr>
          <w:p w14:paraId="63DCE1E1" w14:textId="77777777" w:rsidR="00271E37" w:rsidRPr="009A0246" w:rsidRDefault="00271E37">
            <w:r>
              <w:rPr>
                <w:rFonts w:cs="Arial"/>
                <w:color w:val="000000"/>
                <w:szCs w:val="16"/>
              </w:rPr>
              <w:t xml:space="preserve">596 </w:t>
            </w:r>
          </w:p>
        </w:tc>
      </w:tr>
      <w:tr w:rsidR="00271E37" w:rsidRPr="009A0246" w14:paraId="5E609418" w14:textId="77777777">
        <w:tc>
          <w:tcPr>
            <w:tcW w:w="7370" w:type="dxa"/>
          </w:tcPr>
          <w:p w14:paraId="3EEC4C20" w14:textId="77777777" w:rsidR="00271E37" w:rsidRPr="009A0246" w:rsidRDefault="00271E37">
            <w:pPr>
              <w:jc w:val="left"/>
            </w:pPr>
            <w:r w:rsidRPr="009A0246">
              <w:lastRenderedPageBreak/>
              <w:t>Total comprehensive income</w:t>
            </w:r>
            <w:r>
              <w:t>/(loss)</w:t>
            </w:r>
          </w:p>
        </w:tc>
        <w:tc>
          <w:tcPr>
            <w:tcW w:w="1134" w:type="dxa"/>
            <w:vAlign w:val="center"/>
          </w:tcPr>
          <w:p w14:paraId="0A314B35" w14:textId="77777777" w:rsidR="00271E37" w:rsidRPr="009A0246" w:rsidRDefault="00271E37">
            <w:r>
              <w:rPr>
                <w:rFonts w:cs="Arial"/>
                <w:b/>
                <w:bCs/>
                <w:color w:val="000000"/>
                <w:szCs w:val="16"/>
              </w:rPr>
              <w:t xml:space="preserve">850 </w:t>
            </w:r>
          </w:p>
        </w:tc>
        <w:tc>
          <w:tcPr>
            <w:tcW w:w="1134" w:type="dxa"/>
            <w:vAlign w:val="center"/>
          </w:tcPr>
          <w:p w14:paraId="201EF318" w14:textId="77777777" w:rsidR="00271E37" w:rsidRPr="009A0246" w:rsidRDefault="00271E37">
            <w:r>
              <w:rPr>
                <w:rFonts w:cs="Arial"/>
                <w:color w:val="000000"/>
                <w:szCs w:val="16"/>
              </w:rPr>
              <w:t>(768)</w:t>
            </w:r>
          </w:p>
        </w:tc>
      </w:tr>
    </w:tbl>
    <w:p w14:paraId="3A1E3549" w14:textId="77777777" w:rsidR="00271E37" w:rsidRDefault="00271E37" w:rsidP="002E39D4"/>
    <w:tbl>
      <w:tblPr>
        <w:tblStyle w:val="tableDUL"/>
        <w:tblW w:w="9638" w:type="dxa"/>
        <w:tblLook w:val="04A0" w:firstRow="1" w:lastRow="0" w:firstColumn="1" w:lastColumn="0" w:noHBand="0" w:noVBand="1"/>
      </w:tblPr>
      <w:tblGrid>
        <w:gridCol w:w="7370"/>
        <w:gridCol w:w="1134"/>
        <w:gridCol w:w="1134"/>
      </w:tblGrid>
      <w:tr w:rsidR="00271E37" w:rsidRPr="009A0246" w14:paraId="4BA4153F" w14:textId="77777777">
        <w:tc>
          <w:tcPr>
            <w:tcW w:w="7370" w:type="dxa"/>
          </w:tcPr>
          <w:p w14:paraId="33EEFFD2" w14:textId="77777777" w:rsidR="00271E37" w:rsidRPr="009A0246" w:rsidRDefault="00271E37" w:rsidP="009A0246">
            <w:pPr>
              <w:jc w:val="left"/>
            </w:pPr>
          </w:p>
        </w:tc>
        <w:tc>
          <w:tcPr>
            <w:tcW w:w="1134" w:type="dxa"/>
            <w:tcBorders>
              <w:top w:val="nil"/>
              <w:bottom w:val="nil"/>
            </w:tcBorders>
          </w:tcPr>
          <w:p w14:paraId="72D8EE02" w14:textId="77777777" w:rsidR="00271E37" w:rsidRPr="009A0246" w:rsidRDefault="00271E37" w:rsidP="009A0246">
            <w:r w:rsidRPr="00CF6CFB">
              <w:rPr>
                <w:b/>
                <w:bCs/>
              </w:rPr>
              <w:t>202</w:t>
            </w:r>
            <w:r>
              <w:rPr>
                <w:b/>
                <w:bCs/>
              </w:rPr>
              <w:t>6</w:t>
            </w:r>
          </w:p>
        </w:tc>
        <w:tc>
          <w:tcPr>
            <w:tcW w:w="1134" w:type="dxa"/>
            <w:tcBorders>
              <w:top w:val="nil"/>
              <w:bottom w:val="nil"/>
            </w:tcBorders>
          </w:tcPr>
          <w:p w14:paraId="072FB0F3" w14:textId="77777777" w:rsidR="00271E37" w:rsidRPr="009A0246" w:rsidRDefault="00271E37" w:rsidP="009A0246">
            <w:r>
              <w:t>2025</w:t>
            </w:r>
          </w:p>
        </w:tc>
      </w:tr>
      <w:tr w:rsidR="00271E37" w:rsidRPr="009A0246" w14:paraId="2A43311C" w14:textId="77777777">
        <w:tc>
          <w:tcPr>
            <w:tcW w:w="7370" w:type="dxa"/>
            <w:tcBorders>
              <w:bottom w:val="single" w:sz="4" w:space="0" w:color="auto"/>
            </w:tcBorders>
          </w:tcPr>
          <w:p w14:paraId="70CFE9DA" w14:textId="77777777" w:rsidR="00271E37" w:rsidRPr="009A0246" w:rsidRDefault="00271E37" w:rsidP="009A0246">
            <w:pPr>
              <w:jc w:val="left"/>
            </w:pPr>
            <w:r w:rsidRPr="009A0246">
              <w:t>Non-controlling interest –</w:t>
            </w:r>
            <w:r>
              <w:t xml:space="preserve"> </w:t>
            </w:r>
            <w:r w:rsidRPr="009A0246">
              <w:t>cash flow for the year ended 31 March</w:t>
            </w:r>
          </w:p>
        </w:tc>
        <w:tc>
          <w:tcPr>
            <w:tcW w:w="1134" w:type="dxa"/>
            <w:tcBorders>
              <w:bottom w:val="single" w:sz="4" w:space="0" w:color="auto"/>
            </w:tcBorders>
          </w:tcPr>
          <w:p w14:paraId="734B3379" w14:textId="77777777" w:rsidR="00271E37" w:rsidRPr="00872053" w:rsidRDefault="00271E37" w:rsidP="009A0246">
            <w:pPr>
              <w:rPr>
                <w:b/>
                <w:bCs/>
              </w:rPr>
            </w:pPr>
            <w:r>
              <w:rPr>
                <w:b/>
                <w:bCs/>
              </w:rPr>
              <w:t>£</w:t>
            </w:r>
            <w:r w:rsidRPr="00872053">
              <w:rPr>
                <w:b/>
                <w:bCs/>
              </w:rPr>
              <w:t>000</w:t>
            </w:r>
          </w:p>
        </w:tc>
        <w:tc>
          <w:tcPr>
            <w:tcW w:w="1134" w:type="dxa"/>
            <w:tcBorders>
              <w:bottom w:val="single" w:sz="4" w:space="0" w:color="auto"/>
            </w:tcBorders>
          </w:tcPr>
          <w:p w14:paraId="27029CB9" w14:textId="77777777" w:rsidR="00271E37" w:rsidRPr="009A0246" w:rsidRDefault="00271E37" w:rsidP="009A0246">
            <w:r>
              <w:t>£</w:t>
            </w:r>
            <w:r w:rsidRPr="009A0246">
              <w:t>000</w:t>
            </w:r>
          </w:p>
        </w:tc>
      </w:tr>
      <w:tr w:rsidR="00271E37" w:rsidRPr="009A0246" w14:paraId="663F00BB" w14:textId="77777777">
        <w:tc>
          <w:tcPr>
            <w:tcW w:w="7370" w:type="dxa"/>
            <w:tcBorders>
              <w:top w:val="single" w:sz="4" w:space="0" w:color="auto"/>
            </w:tcBorders>
          </w:tcPr>
          <w:p w14:paraId="6EBFD915" w14:textId="77777777" w:rsidR="00271E37" w:rsidRPr="009A0246" w:rsidRDefault="00271E37">
            <w:pPr>
              <w:jc w:val="left"/>
            </w:pPr>
            <w:r w:rsidRPr="009A0246">
              <w:t>Cash flows from operating activities</w:t>
            </w:r>
          </w:p>
        </w:tc>
        <w:tc>
          <w:tcPr>
            <w:tcW w:w="1134" w:type="dxa"/>
            <w:tcBorders>
              <w:top w:val="single" w:sz="4" w:space="0" w:color="auto"/>
            </w:tcBorders>
            <w:vAlign w:val="center"/>
          </w:tcPr>
          <w:p w14:paraId="50F7F9A2" w14:textId="77777777" w:rsidR="00271E37" w:rsidRPr="009A0246" w:rsidRDefault="00271E37">
            <w:r>
              <w:rPr>
                <w:rFonts w:cs="Arial"/>
                <w:b/>
                <w:bCs/>
                <w:color w:val="000000"/>
                <w:szCs w:val="16"/>
              </w:rPr>
              <w:t xml:space="preserve">2,311 </w:t>
            </w:r>
          </w:p>
        </w:tc>
        <w:tc>
          <w:tcPr>
            <w:tcW w:w="1134" w:type="dxa"/>
            <w:tcBorders>
              <w:top w:val="single" w:sz="4" w:space="0" w:color="auto"/>
            </w:tcBorders>
            <w:vAlign w:val="center"/>
          </w:tcPr>
          <w:p w14:paraId="54309132" w14:textId="77777777" w:rsidR="00271E37" w:rsidRPr="009A0246" w:rsidRDefault="00271E37">
            <w:r>
              <w:rPr>
                <w:rFonts w:cs="Arial"/>
                <w:color w:val="000000"/>
                <w:szCs w:val="16"/>
              </w:rPr>
              <w:t xml:space="preserve">1,989 </w:t>
            </w:r>
          </w:p>
        </w:tc>
      </w:tr>
      <w:tr w:rsidR="00271E37" w:rsidRPr="009A0246" w14:paraId="339AD77C" w14:textId="77777777">
        <w:tc>
          <w:tcPr>
            <w:tcW w:w="7370" w:type="dxa"/>
            <w:tcBorders>
              <w:bottom w:val="nil"/>
            </w:tcBorders>
          </w:tcPr>
          <w:p w14:paraId="1A0BF069" w14:textId="77777777" w:rsidR="00271E37" w:rsidRPr="009A0246" w:rsidRDefault="00271E37">
            <w:pPr>
              <w:jc w:val="left"/>
            </w:pPr>
            <w:r w:rsidRPr="009A0246">
              <w:t>Cash flows from investing activities</w:t>
            </w:r>
          </w:p>
        </w:tc>
        <w:tc>
          <w:tcPr>
            <w:tcW w:w="1134" w:type="dxa"/>
            <w:tcBorders>
              <w:bottom w:val="nil"/>
            </w:tcBorders>
            <w:vAlign w:val="center"/>
          </w:tcPr>
          <w:p w14:paraId="5712A3E4" w14:textId="77777777" w:rsidR="00271E37" w:rsidRPr="009A0246" w:rsidRDefault="00271E37">
            <w:r>
              <w:rPr>
                <w:rFonts w:cs="Arial"/>
                <w:b/>
                <w:bCs/>
                <w:color w:val="000000"/>
                <w:szCs w:val="16"/>
              </w:rPr>
              <w:t>(838)</w:t>
            </w:r>
          </w:p>
        </w:tc>
        <w:tc>
          <w:tcPr>
            <w:tcW w:w="1134" w:type="dxa"/>
            <w:tcBorders>
              <w:bottom w:val="nil"/>
            </w:tcBorders>
            <w:vAlign w:val="center"/>
          </w:tcPr>
          <w:p w14:paraId="01264111" w14:textId="77777777" w:rsidR="00271E37" w:rsidRPr="009A0246" w:rsidRDefault="00271E37">
            <w:r>
              <w:rPr>
                <w:rFonts w:cs="Arial"/>
                <w:color w:val="000000"/>
                <w:szCs w:val="16"/>
              </w:rPr>
              <w:t>(576)</w:t>
            </w:r>
          </w:p>
        </w:tc>
      </w:tr>
      <w:tr w:rsidR="00271E37" w:rsidRPr="009A0246" w14:paraId="76C6A5DB" w14:textId="77777777">
        <w:tc>
          <w:tcPr>
            <w:tcW w:w="7370" w:type="dxa"/>
            <w:tcBorders>
              <w:bottom w:val="single" w:sz="4" w:space="0" w:color="auto"/>
            </w:tcBorders>
          </w:tcPr>
          <w:p w14:paraId="56496D43" w14:textId="77777777" w:rsidR="00271E37" w:rsidRPr="009A0246" w:rsidRDefault="00271E37">
            <w:pPr>
              <w:jc w:val="left"/>
            </w:pPr>
            <w:r w:rsidRPr="009A0246">
              <w:t>Cash flows from financing activities</w:t>
            </w:r>
          </w:p>
        </w:tc>
        <w:tc>
          <w:tcPr>
            <w:tcW w:w="1134" w:type="dxa"/>
            <w:tcBorders>
              <w:bottom w:val="single" w:sz="4" w:space="0" w:color="auto"/>
            </w:tcBorders>
            <w:vAlign w:val="center"/>
          </w:tcPr>
          <w:p w14:paraId="59F1980A" w14:textId="77777777" w:rsidR="00271E37" w:rsidRPr="009A0246" w:rsidRDefault="00271E37">
            <w:r>
              <w:rPr>
                <w:rFonts w:cs="Arial"/>
                <w:b/>
                <w:bCs/>
                <w:color w:val="000000"/>
                <w:szCs w:val="16"/>
              </w:rPr>
              <w:t>(1,521)</w:t>
            </w:r>
          </w:p>
        </w:tc>
        <w:tc>
          <w:tcPr>
            <w:tcW w:w="1134" w:type="dxa"/>
            <w:tcBorders>
              <w:bottom w:val="single" w:sz="4" w:space="0" w:color="auto"/>
            </w:tcBorders>
            <w:vAlign w:val="center"/>
          </w:tcPr>
          <w:p w14:paraId="2462A0FC" w14:textId="77777777" w:rsidR="00271E37" w:rsidRPr="009A0246" w:rsidRDefault="00271E37">
            <w:r>
              <w:rPr>
                <w:rFonts w:cs="Arial"/>
                <w:color w:val="000000"/>
                <w:szCs w:val="16"/>
              </w:rPr>
              <w:t>(2,550)</w:t>
            </w:r>
          </w:p>
        </w:tc>
      </w:tr>
      <w:tr w:rsidR="00271E37" w:rsidRPr="009A0246" w14:paraId="135F97A9" w14:textId="77777777">
        <w:tc>
          <w:tcPr>
            <w:tcW w:w="7370" w:type="dxa"/>
            <w:tcBorders>
              <w:top w:val="single" w:sz="4" w:space="0" w:color="auto"/>
            </w:tcBorders>
          </w:tcPr>
          <w:p w14:paraId="3DD5B93F" w14:textId="77777777" w:rsidR="00271E37" w:rsidRPr="009A0246" w:rsidRDefault="00271E37">
            <w:pPr>
              <w:jc w:val="left"/>
            </w:pPr>
            <w:r w:rsidRPr="009A0246">
              <w:t>Net decrease in cash and cash equivalents</w:t>
            </w:r>
          </w:p>
        </w:tc>
        <w:tc>
          <w:tcPr>
            <w:tcW w:w="1134" w:type="dxa"/>
            <w:tcBorders>
              <w:top w:val="single" w:sz="4" w:space="0" w:color="auto"/>
            </w:tcBorders>
            <w:vAlign w:val="center"/>
          </w:tcPr>
          <w:p w14:paraId="4B3074F0" w14:textId="77777777" w:rsidR="00271E37" w:rsidRPr="009A0246" w:rsidRDefault="00271E37">
            <w:r>
              <w:rPr>
                <w:rFonts w:cs="Arial"/>
                <w:b/>
                <w:bCs/>
                <w:color w:val="000000"/>
                <w:szCs w:val="16"/>
              </w:rPr>
              <w:t>(48)</w:t>
            </w:r>
          </w:p>
        </w:tc>
        <w:tc>
          <w:tcPr>
            <w:tcW w:w="1134" w:type="dxa"/>
            <w:tcBorders>
              <w:top w:val="single" w:sz="4" w:space="0" w:color="auto"/>
            </w:tcBorders>
            <w:vAlign w:val="center"/>
          </w:tcPr>
          <w:p w14:paraId="1D02E6DE" w14:textId="77777777" w:rsidR="00271E37" w:rsidRPr="009A0246" w:rsidRDefault="00271E37">
            <w:r>
              <w:rPr>
                <w:rFonts w:cs="Arial"/>
                <w:color w:val="000000"/>
                <w:szCs w:val="16"/>
              </w:rPr>
              <w:t>(1,137)</w:t>
            </w:r>
          </w:p>
        </w:tc>
      </w:tr>
    </w:tbl>
    <w:p w14:paraId="5549ED09" w14:textId="77777777" w:rsidR="00271E37" w:rsidRDefault="00271E37" w:rsidP="002E39D4"/>
    <w:tbl>
      <w:tblPr>
        <w:tblStyle w:val="tableDUL"/>
        <w:tblW w:w="9638" w:type="dxa"/>
        <w:tblLook w:val="04A0" w:firstRow="1" w:lastRow="0" w:firstColumn="1" w:lastColumn="0" w:noHBand="0" w:noVBand="1"/>
      </w:tblPr>
      <w:tblGrid>
        <w:gridCol w:w="7370"/>
        <w:gridCol w:w="1134"/>
        <w:gridCol w:w="1134"/>
      </w:tblGrid>
      <w:tr w:rsidR="00271E37" w:rsidRPr="00DC7DFD" w14:paraId="6A83C8BC" w14:textId="77777777">
        <w:tc>
          <w:tcPr>
            <w:tcW w:w="7370" w:type="dxa"/>
          </w:tcPr>
          <w:p w14:paraId="1017466B" w14:textId="77777777" w:rsidR="00271E37" w:rsidRPr="00DC7DFD" w:rsidRDefault="00271E37" w:rsidP="00DC7DFD">
            <w:pPr>
              <w:jc w:val="left"/>
            </w:pPr>
          </w:p>
        </w:tc>
        <w:tc>
          <w:tcPr>
            <w:tcW w:w="1134" w:type="dxa"/>
            <w:tcBorders>
              <w:top w:val="nil"/>
              <w:bottom w:val="nil"/>
            </w:tcBorders>
          </w:tcPr>
          <w:p w14:paraId="67F529AC" w14:textId="77777777" w:rsidR="00271E37" w:rsidRPr="00DC7DFD" w:rsidRDefault="00271E37" w:rsidP="00DC7DFD">
            <w:r w:rsidRPr="00CF6CFB">
              <w:rPr>
                <w:b/>
                <w:bCs/>
              </w:rPr>
              <w:t>20</w:t>
            </w:r>
            <w:r>
              <w:rPr>
                <w:b/>
                <w:bCs/>
              </w:rPr>
              <w:t>26</w:t>
            </w:r>
          </w:p>
        </w:tc>
        <w:tc>
          <w:tcPr>
            <w:tcW w:w="1134" w:type="dxa"/>
            <w:tcBorders>
              <w:top w:val="nil"/>
              <w:bottom w:val="nil"/>
            </w:tcBorders>
          </w:tcPr>
          <w:p w14:paraId="434C8B2B" w14:textId="77777777" w:rsidR="00271E37" w:rsidRPr="00DC7DFD" w:rsidRDefault="00271E37" w:rsidP="00DC7DFD">
            <w:r>
              <w:t>2025</w:t>
            </w:r>
          </w:p>
        </w:tc>
      </w:tr>
      <w:tr w:rsidR="00271E37" w:rsidRPr="00DC7DFD" w14:paraId="1DAEB98D" w14:textId="77777777">
        <w:tc>
          <w:tcPr>
            <w:tcW w:w="7370" w:type="dxa"/>
            <w:tcBorders>
              <w:bottom w:val="single" w:sz="4" w:space="0" w:color="auto"/>
            </w:tcBorders>
          </w:tcPr>
          <w:p w14:paraId="5CB8C583" w14:textId="77777777" w:rsidR="00271E37" w:rsidRPr="00DC7DFD" w:rsidRDefault="00271E37" w:rsidP="00DC7DFD">
            <w:pPr>
              <w:jc w:val="left"/>
            </w:pPr>
            <w:r w:rsidRPr="00DC7DFD">
              <w:t>Non-controlling interest –</w:t>
            </w:r>
            <w:r>
              <w:t xml:space="preserve"> movement</w:t>
            </w:r>
            <w:r w:rsidRPr="00DC7DFD">
              <w:t xml:space="preserve"> for the year ended 31 March</w:t>
            </w:r>
          </w:p>
        </w:tc>
        <w:tc>
          <w:tcPr>
            <w:tcW w:w="1134" w:type="dxa"/>
            <w:tcBorders>
              <w:bottom w:val="single" w:sz="4" w:space="0" w:color="auto"/>
            </w:tcBorders>
          </w:tcPr>
          <w:p w14:paraId="377E1E0A" w14:textId="77777777" w:rsidR="00271E37" w:rsidRPr="00872053" w:rsidRDefault="00271E37" w:rsidP="00DC7DFD">
            <w:pPr>
              <w:rPr>
                <w:b/>
                <w:bCs/>
              </w:rPr>
            </w:pPr>
            <w:r w:rsidRPr="00872053">
              <w:rPr>
                <w:b/>
                <w:bCs/>
              </w:rPr>
              <w:t>£000</w:t>
            </w:r>
          </w:p>
        </w:tc>
        <w:tc>
          <w:tcPr>
            <w:tcW w:w="1134" w:type="dxa"/>
            <w:tcBorders>
              <w:bottom w:val="single" w:sz="4" w:space="0" w:color="auto"/>
            </w:tcBorders>
          </w:tcPr>
          <w:p w14:paraId="7C532B3D" w14:textId="77777777" w:rsidR="00271E37" w:rsidRPr="00DC7DFD" w:rsidRDefault="00271E37" w:rsidP="00DC7DFD">
            <w:r>
              <w:t>£</w:t>
            </w:r>
            <w:r w:rsidRPr="00DC7DFD">
              <w:t>000</w:t>
            </w:r>
          </w:p>
        </w:tc>
      </w:tr>
      <w:tr w:rsidR="00271E37" w:rsidRPr="00DC7DFD" w14:paraId="1A6E034A" w14:textId="77777777">
        <w:tc>
          <w:tcPr>
            <w:tcW w:w="7370" w:type="dxa"/>
            <w:tcBorders>
              <w:top w:val="single" w:sz="4" w:space="0" w:color="auto"/>
            </w:tcBorders>
          </w:tcPr>
          <w:p w14:paraId="53110966" w14:textId="77777777" w:rsidR="00271E37" w:rsidRPr="00DC7DFD" w:rsidRDefault="00271E37">
            <w:pPr>
              <w:jc w:val="left"/>
            </w:pPr>
            <w:r w:rsidRPr="00DC7DFD">
              <w:t>Balance as at 1 April</w:t>
            </w:r>
          </w:p>
        </w:tc>
        <w:tc>
          <w:tcPr>
            <w:tcW w:w="1134" w:type="dxa"/>
            <w:tcBorders>
              <w:top w:val="single" w:sz="4" w:space="0" w:color="auto"/>
            </w:tcBorders>
            <w:vAlign w:val="center"/>
          </w:tcPr>
          <w:p w14:paraId="4FA26A37" w14:textId="77777777" w:rsidR="00271E37" w:rsidRPr="009F3B17" w:rsidRDefault="00271E37">
            <w:pPr>
              <w:rPr>
                <w:b/>
                <w:bCs/>
              </w:rPr>
            </w:pPr>
            <w:r w:rsidRPr="009F3B17">
              <w:rPr>
                <w:rFonts w:cs="Arial"/>
                <w:b/>
                <w:bCs/>
                <w:szCs w:val="16"/>
              </w:rPr>
              <w:t xml:space="preserve">5,631 </w:t>
            </w:r>
          </w:p>
        </w:tc>
        <w:tc>
          <w:tcPr>
            <w:tcW w:w="1134" w:type="dxa"/>
            <w:tcBorders>
              <w:top w:val="single" w:sz="4" w:space="0" w:color="auto"/>
            </w:tcBorders>
            <w:vAlign w:val="center"/>
          </w:tcPr>
          <w:p w14:paraId="24D1A9DB" w14:textId="77777777" w:rsidR="00271E37" w:rsidRPr="007F0B54" w:rsidRDefault="00271E37">
            <w:r w:rsidRPr="007F0B54">
              <w:rPr>
                <w:rFonts w:cs="Arial"/>
                <w:szCs w:val="16"/>
              </w:rPr>
              <w:t xml:space="preserve">6,236 </w:t>
            </w:r>
          </w:p>
        </w:tc>
      </w:tr>
      <w:tr w:rsidR="00271E37" w:rsidRPr="00DC7DFD" w14:paraId="44958266" w14:textId="77777777">
        <w:tc>
          <w:tcPr>
            <w:tcW w:w="7370" w:type="dxa"/>
          </w:tcPr>
          <w:p w14:paraId="0980E15D" w14:textId="77777777" w:rsidR="00271E37" w:rsidRPr="00DC7DFD" w:rsidRDefault="00271E37">
            <w:pPr>
              <w:jc w:val="left"/>
            </w:pPr>
            <w:r w:rsidRPr="00DC7DFD">
              <w:t>Share of profits for the year</w:t>
            </w:r>
          </w:p>
        </w:tc>
        <w:tc>
          <w:tcPr>
            <w:tcW w:w="1134" w:type="dxa"/>
            <w:vAlign w:val="center"/>
          </w:tcPr>
          <w:p w14:paraId="30525818" w14:textId="77777777" w:rsidR="00271E37" w:rsidRPr="009F3B17" w:rsidRDefault="00271E37">
            <w:pPr>
              <w:rPr>
                <w:b/>
                <w:bCs/>
              </w:rPr>
            </w:pPr>
            <w:r w:rsidRPr="009F3B17">
              <w:rPr>
                <w:rFonts w:cs="Arial"/>
                <w:b/>
                <w:bCs/>
                <w:szCs w:val="16"/>
              </w:rPr>
              <w:t xml:space="preserve">20 </w:t>
            </w:r>
          </w:p>
        </w:tc>
        <w:tc>
          <w:tcPr>
            <w:tcW w:w="1134" w:type="dxa"/>
            <w:vAlign w:val="center"/>
          </w:tcPr>
          <w:p w14:paraId="620A6A1B" w14:textId="77777777" w:rsidR="00271E37" w:rsidRPr="007F0B54" w:rsidRDefault="00271E37">
            <w:r w:rsidRPr="007F0B54">
              <w:rPr>
                <w:rFonts w:cs="Arial"/>
                <w:szCs w:val="16"/>
              </w:rPr>
              <w:t xml:space="preserve">298 </w:t>
            </w:r>
          </w:p>
        </w:tc>
      </w:tr>
      <w:tr w:rsidR="00271E37" w:rsidRPr="00DC7DFD" w14:paraId="510E0DF4" w14:textId="77777777">
        <w:tc>
          <w:tcPr>
            <w:tcW w:w="7370" w:type="dxa"/>
            <w:tcBorders>
              <w:bottom w:val="nil"/>
            </w:tcBorders>
          </w:tcPr>
          <w:p w14:paraId="36B84ECF" w14:textId="77777777" w:rsidR="00271E37" w:rsidRPr="00DC7DFD" w:rsidRDefault="00271E37">
            <w:pPr>
              <w:jc w:val="left"/>
            </w:pPr>
            <w:r w:rsidRPr="00DC7DFD">
              <w:t>Dividend paid to non-controlling interest</w:t>
            </w:r>
          </w:p>
        </w:tc>
        <w:tc>
          <w:tcPr>
            <w:tcW w:w="1134" w:type="dxa"/>
            <w:tcBorders>
              <w:bottom w:val="nil"/>
            </w:tcBorders>
            <w:vAlign w:val="center"/>
          </w:tcPr>
          <w:p w14:paraId="57B4272D" w14:textId="77777777" w:rsidR="00271E37" w:rsidRPr="009F3B17" w:rsidRDefault="00271E37">
            <w:pPr>
              <w:rPr>
                <w:b/>
                <w:bCs/>
              </w:rPr>
            </w:pPr>
            <w:r w:rsidRPr="009F3B17">
              <w:rPr>
                <w:rFonts w:cs="Arial"/>
                <w:b/>
                <w:bCs/>
                <w:szCs w:val="16"/>
              </w:rPr>
              <w:t xml:space="preserve">- </w:t>
            </w:r>
          </w:p>
        </w:tc>
        <w:tc>
          <w:tcPr>
            <w:tcW w:w="1134" w:type="dxa"/>
            <w:tcBorders>
              <w:bottom w:val="nil"/>
            </w:tcBorders>
            <w:vAlign w:val="center"/>
          </w:tcPr>
          <w:p w14:paraId="354FCA3B" w14:textId="77777777" w:rsidR="00271E37" w:rsidRPr="007F0B54" w:rsidRDefault="00271E37">
            <w:r>
              <w:t>(519)</w:t>
            </w:r>
          </w:p>
        </w:tc>
      </w:tr>
      <w:tr w:rsidR="00271E37" w:rsidRPr="00DC7DFD" w14:paraId="3BB779A6" w14:textId="77777777">
        <w:tc>
          <w:tcPr>
            <w:tcW w:w="7370" w:type="dxa"/>
            <w:tcBorders>
              <w:bottom w:val="single" w:sz="4" w:space="0" w:color="auto"/>
            </w:tcBorders>
          </w:tcPr>
          <w:p w14:paraId="233A1F49" w14:textId="77777777" w:rsidR="00271E37" w:rsidRPr="00DC7DFD" w:rsidRDefault="00271E37">
            <w:pPr>
              <w:jc w:val="left"/>
            </w:pPr>
            <w:r w:rsidRPr="00DC7DFD">
              <w:t>Currency translation</w:t>
            </w:r>
          </w:p>
        </w:tc>
        <w:tc>
          <w:tcPr>
            <w:tcW w:w="1134" w:type="dxa"/>
            <w:tcBorders>
              <w:bottom w:val="single" w:sz="4" w:space="0" w:color="auto"/>
            </w:tcBorders>
          </w:tcPr>
          <w:p w14:paraId="07CEFE9A" w14:textId="77777777" w:rsidR="00271E37" w:rsidRPr="009F3B17" w:rsidRDefault="00271E37">
            <w:pPr>
              <w:rPr>
                <w:b/>
                <w:bCs/>
              </w:rPr>
            </w:pPr>
            <w:r w:rsidRPr="009F3B17">
              <w:rPr>
                <w:b/>
                <w:bCs/>
              </w:rPr>
              <w:t xml:space="preserve">425 </w:t>
            </w:r>
          </w:p>
        </w:tc>
        <w:tc>
          <w:tcPr>
            <w:tcW w:w="1134" w:type="dxa"/>
            <w:tcBorders>
              <w:bottom w:val="single" w:sz="4" w:space="0" w:color="auto"/>
            </w:tcBorders>
          </w:tcPr>
          <w:p w14:paraId="2B0A0D93" w14:textId="77777777" w:rsidR="00271E37" w:rsidRPr="007F0B54" w:rsidRDefault="00271E37">
            <w:r w:rsidRPr="00FC1E07">
              <w:t>(384)</w:t>
            </w:r>
          </w:p>
        </w:tc>
      </w:tr>
      <w:tr w:rsidR="00271E37" w:rsidRPr="00DC7DFD" w14:paraId="33BA37CE" w14:textId="77777777">
        <w:tc>
          <w:tcPr>
            <w:tcW w:w="7370" w:type="dxa"/>
            <w:tcBorders>
              <w:top w:val="single" w:sz="4" w:space="0" w:color="auto"/>
            </w:tcBorders>
          </w:tcPr>
          <w:p w14:paraId="08C2A675" w14:textId="77777777" w:rsidR="00271E37" w:rsidRPr="00DC7DFD" w:rsidRDefault="00271E37">
            <w:pPr>
              <w:jc w:val="left"/>
              <w:rPr>
                <w:b/>
                <w:bCs/>
              </w:rPr>
            </w:pPr>
            <w:r w:rsidRPr="00DC7DFD">
              <w:rPr>
                <w:b/>
                <w:bCs/>
              </w:rPr>
              <w:t>Balance as at 31 March</w:t>
            </w:r>
          </w:p>
        </w:tc>
        <w:tc>
          <w:tcPr>
            <w:tcW w:w="1134" w:type="dxa"/>
            <w:tcBorders>
              <w:top w:val="single" w:sz="4" w:space="0" w:color="auto"/>
            </w:tcBorders>
          </w:tcPr>
          <w:p w14:paraId="2E787F1E" w14:textId="77777777" w:rsidR="00271E37" w:rsidRPr="009F3B17" w:rsidRDefault="00271E37">
            <w:pPr>
              <w:rPr>
                <w:b/>
                <w:bCs/>
              </w:rPr>
            </w:pPr>
            <w:r w:rsidRPr="009F3B17">
              <w:rPr>
                <w:b/>
                <w:bCs/>
              </w:rPr>
              <w:t xml:space="preserve">6,076 </w:t>
            </w:r>
          </w:p>
        </w:tc>
        <w:tc>
          <w:tcPr>
            <w:tcW w:w="1134" w:type="dxa"/>
            <w:tcBorders>
              <w:top w:val="single" w:sz="4" w:space="0" w:color="auto"/>
            </w:tcBorders>
          </w:tcPr>
          <w:p w14:paraId="5FB1669B" w14:textId="77777777" w:rsidR="00271E37" w:rsidRPr="007F0B54" w:rsidRDefault="00271E37">
            <w:r w:rsidRPr="00626EB7">
              <w:t xml:space="preserve">5,631 </w:t>
            </w:r>
          </w:p>
        </w:tc>
      </w:tr>
    </w:tbl>
    <w:p w14:paraId="09FB981B" w14:textId="77777777" w:rsidR="00271E37" w:rsidRDefault="00271E37" w:rsidP="002E39D4"/>
    <w:p w14:paraId="1406F51D" w14:textId="77777777" w:rsidR="00271E37" w:rsidRPr="00693C68" w:rsidRDefault="00271E37">
      <w:pPr>
        <w:pStyle w:val="Heading2"/>
        <w:rPr>
          <w:bCs/>
        </w:rPr>
      </w:pPr>
      <w:r>
        <w:rPr>
          <w:bCs/>
        </w:rPr>
        <w:t>28</w:t>
      </w:r>
      <w:r w:rsidRPr="00693C68">
        <w:rPr>
          <w:bCs/>
        </w:rPr>
        <w:t xml:space="preserve"> Non-adjusting post balance sheet events</w:t>
      </w:r>
    </w:p>
    <w:p w14:paraId="69F620F1" w14:textId="77D78035" w:rsidR="00271E37" w:rsidRPr="00654209" w:rsidRDefault="00271E37">
      <w:r w:rsidRPr="00654209">
        <w:t>On 29 April 2026, the Group completed the acquisition of 100% of the issued share capital of the Glenart group of companies (</w:t>
      </w:r>
      <w:r w:rsidR="001A2B28">
        <w:t>‘</w:t>
      </w:r>
      <w:r w:rsidRPr="00654209">
        <w:t>Glenart</w:t>
      </w:r>
      <w:r w:rsidR="008610E3">
        <w:t>’</w:t>
      </w:r>
      <w:r w:rsidRPr="00654209">
        <w:t>), comprising Glenart Trading</w:t>
      </w:r>
      <w:r>
        <w:t xml:space="preserve"> Proprietary Limited</w:t>
      </w:r>
      <w:r w:rsidRPr="00654209">
        <w:t xml:space="preserve">, Marcorp Marketing </w:t>
      </w:r>
      <w:r>
        <w:t>Consultants Proprietary Limited</w:t>
      </w:r>
      <w:r w:rsidRPr="00654209">
        <w:t xml:space="preserve"> and Glenart Trading L</w:t>
      </w:r>
      <w:r>
        <w:t>imited</w:t>
      </w:r>
      <w:r w:rsidRPr="00654209">
        <w:t>.</w:t>
      </w:r>
      <w:r>
        <w:t xml:space="preserve"> </w:t>
      </w:r>
      <w:r w:rsidRPr="00654209">
        <w:t xml:space="preserve">Glenart is a leading design-led manufacturer and distributor </w:t>
      </w:r>
      <w:r w:rsidR="00075948">
        <w:t xml:space="preserve">in South Africa </w:t>
      </w:r>
      <w:r w:rsidRPr="00654209">
        <w:t xml:space="preserve">of products </w:t>
      </w:r>
      <w:r w:rsidR="006B196E">
        <w:t>predominantly within the Celebrate category</w:t>
      </w:r>
      <w:r w:rsidRPr="00654209">
        <w:t>. The acquisition strengthens the Group’s presence in the region and further enhances its product offering and customer relationships.</w:t>
      </w:r>
    </w:p>
    <w:p w14:paraId="225A9B5D" w14:textId="77777777" w:rsidR="00271E37" w:rsidRPr="00654209" w:rsidRDefault="00271E37">
      <w:r w:rsidRPr="00654209">
        <w:t>The aggregate consideration for the acquisition is based on a multiple of Glenart’s EBITDA and comprises:</w:t>
      </w:r>
    </w:p>
    <w:p w14:paraId="09070226" w14:textId="562074CC" w:rsidR="00271E37" w:rsidRPr="00654209" w:rsidRDefault="00271E37" w:rsidP="005B0EAC">
      <w:pPr>
        <w:numPr>
          <w:ilvl w:val="0"/>
          <w:numId w:val="49"/>
        </w:numPr>
      </w:pPr>
      <w:r w:rsidRPr="00654209">
        <w:t xml:space="preserve">an initial cash consideration </w:t>
      </w:r>
      <w:r w:rsidRPr="00D50533">
        <w:t>of ZAR 7</w:t>
      </w:r>
      <w:r w:rsidR="008E5833">
        <w:t>6</w:t>
      </w:r>
      <w:r w:rsidRPr="00D50533">
        <w:t>.</w:t>
      </w:r>
      <w:r w:rsidR="008E0653" w:rsidRPr="00D50533">
        <w:t>5</w:t>
      </w:r>
      <w:r w:rsidRPr="00D50533">
        <w:t xml:space="preserve"> million</w:t>
      </w:r>
      <w:r w:rsidRPr="00654209">
        <w:t xml:space="preserve"> (£3.</w:t>
      </w:r>
      <w:r>
        <w:t>4</w:t>
      </w:r>
      <w:r w:rsidRPr="00654209">
        <w:t xml:space="preserve"> million) pa</w:t>
      </w:r>
      <w:r>
        <w:t>id</w:t>
      </w:r>
      <w:r w:rsidRPr="00654209">
        <w:t xml:space="preserve"> on completion;</w:t>
      </w:r>
      <w:r w:rsidR="00D315FF">
        <w:t xml:space="preserve"> and</w:t>
      </w:r>
    </w:p>
    <w:p w14:paraId="311C56CE" w14:textId="43B90B29" w:rsidR="00346DD5" w:rsidRPr="00EE7811" w:rsidRDefault="00271E37" w:rsidP="000B5461">
      <w:pPr>
        <w:numPr>
          <w:ilvl w:val="0"/>
          <w:numId w:val="49"/>
        </w:numPr>
      </w:pPr>
      <w:r w:rsidRPr="00654209">
        <w:t>deferred</w:t>
      </w:r>
      <w:r w:rsidR="000C70FE">
        <w:t xml:space="preserve"> </w:t>
      </w:r>
      <w:r w:rsidRPr="00654209">
        <w:t xml:space="preserve">consideration </w:t>
      </w:r>
      <w:r w:rsidR="00603F19" w:rsidRPr="00782C91">
        <w:rPr>
          <w:rFonts w:eastAsia="MS Mincho" w:cs="Arial"/>
          <w:szCs w:val="16"/>
        </w:rPr>
        <w:t>and</w:t>
      </w:r>
      <w:r w:rsidR="00603F19">
        <w:rPr>
          <w:rFonts w:eastAsia="MS Mincho" w:cs="Arial"/>
          <w:szCs w:val="16"/>
        </w:rPr>
        <w:t xml:space="preserve"> </w:t>
      </w:r>
      <w:r w:rsidR="00603F19" w:rsidRPr="00782C91">
        <w:rPr>
          <w:rFonts w:eastAsia="MS Mincho" w:cs="Arial"/>
          <w:szCs w:val="16"/>
        </w:rPr>
        <w:t xml:space="preserve">additional performance </w:t>
      </w:r>
      <w:r w:rsidR="002019CD">
        <w:rPr>
          <w:rFonts w:eastAsia="MS Mincho" w:cs="Arial"/>
          <w:szCs w:val="16"/>
        </w:rPr>
        <w:t>related</w:t>
      </w:r>
      <w:r w:rsidR="00603F19" w:rsidRPr="00782C91">
        <w:rPr>
          <w:rFonts w:eastAsia="MS Mincho" w:cs="Arial"/>
          <w:szCs w:val="16"/>
        </w:rPr>
        <w:t xml:space="preserve"> consideration linked to EBITDA </w:t>
      </w:r>
      <w:r w:rsidR="00E8382E" w:rsidRPr="00654209">
        <w:t>payable over the three years following completion</w:t>
      </w:r>
      <w:r w:rsidR="00745468">
        <w:t>,</w:t>
      </w:r>
      <w:r w:rsidR="00E8382E">
        <w:t xml:space="preserve"> </w:t>
      </w:r>
      <w:r w:rsidR="00346DD5" w:rsidRPr="00EE7811">
        <w:t xml:space="preserve">with a minimum of </w:t>
      </w:r>
      <w:r w:rsidR="00FB6948">
        <w:t xml:space="preserve">ZAR </w:t>
      </w:r>
      <w:r w:rsidR="003427F7">
        <w:t>42.6 million (</w:t>
      </w:r>
      <w:r w:rsidR="00346DD5" w:rsidRPr="00EE7811">
        <w:t>£1.9 million</w:t>
      </w:r>
      <w:r w:rsidR="003427F7">
        <w:t>)</w:t>
      </w:r>
      <w:r w:rsidR="001A56DF">
        <w:t xml:space="preserve"> </w:t>
      </w:r>
      <w:r w:rsidR="00D96564">
        <w:t xml:space="preserve">and </w:t>
      </w:r>
      <w:r w:rsidR="00346DD5" w:rsidRPr="00EE7811">
        <w:t>no maximum cap, contingent on future business performance</w:t>
      </w:r>
      <w:r w:rsidR="00D315FF">
        <w:t>.</w:t>
      </w:r>
    </w:p>
    <w:p w14:paraId="7CFFB9F7" w14:textId="3E276D12" w:rsidR="00271E37" w:rsidRPr="00654209" w:rsidRDefault="00271E37">
      <w:r w:rsidRPr="00654209">
        <w:t xml:space="preserve">The acquisition will be accounted for as a business combination under IFRS 3, with the Group recognising the identifiable assets acquired and liabilities assumed at their provisional fair values at the acquisition date. The determination of the final fair values and resulting goodwill is ongoing and will be finalised within </w:t>
      </w:r>
      <w:r w:rsidR="00EF337C">
        <w:t>twelve</w:t>
      </w:r>
      <w:r w:rsidR="00EF337C" w:rsidRPr="00654209">
        <w:t xml:space="preserve"> </w:t>
      </w:r>
      <w:r w:rsidRPr="00654209">
        <w:t>months of acquisition.</w:t>
      </w:r>
    </w:p>
    <w:p w14:paraId="798E4691" w14:textId="77777777" w:rsidR="00271E37" w:rsidRPr="00186B7D" w:rsidRDefault="00271E37" w:rsidP="00186B7D"/>
    <w:p w14:paraId="0EA261EE" w14:textId="0114BF1C" w:rsidR="00705A2E" w:rsidRDefault="009E5F12" w:rsidP="008858D5">
      <w:pPr>
        <w:spacing w:line="276" w:lineRule="auto"/>
        <w:rPr>
          <w:rFonts w:eastAsia="MS Mincho" w:cs="Arial"/>
          <w:szCs w:val="16"/>
        </w:rPr>
      </w:pPr>
      <w:r w:rsidRPr="009E5F12">
        <w:rPr>
          <w:rFonts w:eastAsia="MS Mincho" w:cs="Arial"/>
          <w:szCs w:val="16"/>
        </w:rPr>
        <w:t>After the reporting period, the Board approved a share buyback of up to 10% of the Company's issued share capital, under the authority granted by shareholders at the 2025 AGM and to be funded from distributable reserves. All shares purchased will be cancelled, reducing the Company's issued share capital. The Company intends to commence the programme on 16 June 2026.</w:t>
      </w:r>
    </w:p>
    <w:p w14:paraId="66052DDE" w14:textId="77777777" w:rsidR="00705A2E" w:rsidRPr="008858D5" w:rsidRDefault="00705A2E" w:rsidP="008858D5">
      <w:pPr>
        <w:spacing w:line="276" w:lineRule="auto"/>
        <w:rPr>
          <w:rFonts w:eastAsia="MS Mincho" w:cs="Arial"/>
          <w:szCs w:val="16"/>
        </w:rPr>
      </w:pPr>
    </w:p>
    <w:p w14:paraId="433D92B0" w14:textId="7B8C098F" w:rsidR="000B0B92" w:rsidRDefault="000B0B92">
      <w:pPr>
        <w:rPr>
          <w:rFonts w:cs="Times New Roman (Body CS)"/>
          <w:b/>
          <w:caps/>
          <w:sz w:val="24"/>
        </w:rPr>
      </w:pPr>
    </w:p>
    <w:sectPr w:rsidR="000B0B92" w:rsidSect="00273FBC">
      <w:footerReference w:type="default" r:id="rId11"/>
      <w:pgSz w:w="11906" w:h="16838"/>
      <w:pgMar w:top="709" w:right="1134" w:bottom="993" w:left="1134" w:header="720" w:footer="720" w:gutter="0"/>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9EED" w14:textId="77777777" w:rsidR="007B4E4E" w:rsidRDefault="007B4E4E" w:rsidP="00746FA1">
      <w:pPr>
        <w:spacing w:line="240" w:lineRule="auto"/>
      </w:pPr>
      <w:r>
        <w:separator/>
      </w:r>
    </w:p>
  </w:endnote>
  <w:endnote w:type="continuationSeparator" w:id="0">
    <w:p w14:paraId="32966F02" w14:textId="77777777" w:rsidR="007B4E4E" w:rsidRDefault="007B4E4E" w:rsidP="00746FA1">
      <w:pPr>
        <w:spacing w:line="240" w:lineRule="auto"/>
      </w:pPr>
      <w:r>
        <w:continuationSeparator/>
      </w:r>
    </w:p>
  </w:endnote>
  <w:endnote w:type="continuationNotice" w:id="1">
    <w:p w14:paraId="7A10D331" w14:textId="77777777" w:rsidR="007B4E4E" w:rsidRDefault="007B4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HelveticaNeueLT Pro 55 Roman">
    <w:altName w:val="Arial"/>
    <w:panose1 w:val="00000000000000000000"/>
    <w:charset w:val="4D"/>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20814"/>
      <w:docPartObj>
        <w:docPartGallery w:val="Page Numbers (Bottom of Page)"/>
        <w:docPartUnique/>
      </w:docPartObj>
    </w:sdtPr>
    <w:sdtEndPr>
      <w:rPr>
        <w:noProof/>
      </w:rPr>
    </w:sdtEndPr>
    <w:sdtContent>
      <w:p w14:paraId="014B8823" w14:textId="2DCA59FD" w:rsidR="00D800F7" w:rsidRDefault="00D800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68B2B2" w14:textId="77777777" w:rsidR="00D800F7" w:rsidRDefault="00D80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D97E" w14:textId="77777777" w:rsidR="007B4E4E" w:rsidRDefault="007B4E4E" w:rsidP="00746FA1">
      <w:pPr>
        <w:spacing w:line="240" w:lineRule="auto"/>
      </w:pPr>
      <w:r>
        <w:separator/>
      </w:r>
    </w:p>
  </w:footnote>
  <w:footnote w:type="continuationSeparator" w:id="0">
    <w:p w14:paraId="546DEF3B" w14:textId="77777777" w:rsidR="007B4E4E" w:rsidRDefault="007B4E4E" w:rsidP="00746FA1">
      <w:pPr>
        <w:spacing w:line="240" w:lineRule="auto"/>
      </w:pPr>
      <w:r>
        <w:continuationSeparator/>
      </w:r>
    </w:p>
  </w:footnote>
  <w:footnote w:type="continuationNotice" w:id="1">
    <w:p w14:paraId="6E026E9C" w14:textId="77777777" w:rsidR="007B4E4E" w:rsidRDefault="007B4E4E">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gc36fmG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3B3"/>
    <w:multiLevelType w:val="multilevel"/>
    <w:tmpl w:val="76948860"/>
    <w:lvl w:ilvl="0">
      <w:start w:val="1"/>
      <w:numFmt w:val="lowerLetter"/>
      <w:pStyle w:val="NoSpacing"/>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Letter"/>
      <w:lvlText w:val="%3."/>
      <w:lvlJc w:val="left"/>
      <w:pPr>
        <w:tabs>
          <w:tab w:val="num" w:pos="3240"/>
        </w:tabs>
        <w:ind w:left="3240" w:hanging="360"/>
      </w:pPr>
      <w:rPr>
        <w:rFonts w:hint="default"/>
      </w:r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Letter"/>
      <w:lvlText w:val="%6."/>
      <w:lvlJc w:val="left"/>
      <w:pPr>
        <w:tabs>
          <w:tab w:val="num" w:pos="5400"/>
        </w:tabs>
        <w:ind w:left="5400" w:hanging="360"/>
      </w:pPr>
      <w:rPr>
        <w:rFonts w:hint="default"/>
      </w:rPr>
    </w:lvl>
    <w:lvl w:ilvl="6">
      <w:start w:val="1"/>
      <w:numFmt w:val="lowerLetter"/>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Letter"/>
      <w:lvlText w:val="%9."/>
      <w:lvlJc w:val="left"/>
      <w:pPr>
        <w:tabs>
          <w:tab w:val="num" w:pos="7560"/>
        </w:tabs>
        <w:ind w:left="7560" w:hanging="360"/>
      </w:pPr>
      <w:rPr>
        <w:rFonts w:hint="default"/>
      </w:rPr>
    </w:lvl>
  </w:abstractNum>
  <w:abstractNum w:abstractNumId="1" w15:restartNumberingAfterBreak="0">
    <w:nsid w:val="01931021"/>
    <w:multiLevelType w:val="hybridMultilevel"/>
    <w:tmpl w:val="0A0A7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01214"/>
    <w:multiLevelType w:val="hybridMultilevel"/>
    <w:tmpl w:val="CB4E17EE"/>
    <w:lvl w:ilvl="0" w:tplc="08090001">
      <w:start w:val="1"/>
      <w:numFmt w:val="bullet"/>
      <w:lvlText w:val=""/>
      <w:lvlJc w:val="left"/>
      <w:pPr>
        <w:ind w:left="720" w:hanging="360"/>
      </w:pPr>
      <w:rPr>
        <w:rFonts w:ascii="Symbol" w:hAnsi="Symbol" w:hint="default"/>
      </w:rPr>
    </w:lvl>
    <w:lvl w:ilvl="1" w:tplc="488CAE1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62A85"/>
    <w:multiLevelType w:val="hybridMultilevel"/>
    <w:tmpl w:val="F02C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D5265"/>
    <w:multiLevelType w:val="hybridMultilevel"/>
    <w:tmpl w:val="4D2A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A2FEE"/>
    <w:multiLevelType w:val="hybridMultilevel"/>
    <w:tmpl w:val="CDE20C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8A6AB7"/>
    <w:multiLevelType w:val="hybridMultilevel"/>
    <w:tmpl w:val="6E74ED96"/>
    <w:lvl w:ilvl="0" w:tplc="A6105996">
      <w:start w:val="1"/>
      <w:numFmt w:val="bullet"/>
      <w:pStyle w:val="LBbullets2"/>
      <w:lvlText w:val=""/>
      <w:lvlJc w:val="left"/>
      <w:pPr>
        <w:tabs>
          <w:tab w:val="num" w:pos="567"/>
        </w:tabs>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C53BA9"/>
    <w:multiLevelType w:val="hybridMultilevel"/>
    <w:tmpl w:val="F54A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C03FD"/>
    <w:multiLevelType w:val="hybridMultilevel"/>
    <w:tmpl w:val="FFFFFFFF"/>
    <w:lvl w:ilvl="0" w:tplc="FB208700">
      <w:start w:val="1"/>
      <w:numFmt w:val="bullet"/>
      <w:lvlText w:val=""/>
      <w:lvlJc w:val="left"/>
      <w:pPr>
        <w:ind w:left="720" w:hanging="360"/>
      </w:pPr>
      <w:rPr>
        <w:rFonts w:ascii="Symbol" w:hAnsi="Symbol" w:hint="default"/>
      </w:rPr>
    </w:lvl>
    <w:lvl w:ilvl="1" w:tplc="A432A5AC">
      <w:start w:val="1"/>
      <w:numFmt w:val="bullet"/>
      <w:lvlText w:val="o"/>
      <w:lvlJc w:val="left"/>
      <w:pPr>
        <w:ind w:left="1440" w:hanging="360"/>
      </w:pPr>
      <w:rPr>
        <w:rFonts w:ascii="Courier New" w:hAnsi="Courier New" w:hint="default"/>
      </w:rPr>
    </w:lvl>
    <w:lvl w:ilvl="2" w:tplc="5FA84006">
      <w:start w:val="1"/>
      <w:numFmt w:val="bullet"/>
      <w:lvlText w:val=""/>
      <w:lvlJc w:val="left"/>
      <w:pPr>
        <w:ind w:left="2160" w:hanging="360"/>
      </w:pPr>
      <w:rPr>
        <w:rFonts w:ascii="Wingdings" w:hAnsi="Wingdings" w:hint="default"/>
      </w:rPr>
    </w:lvl>
    <w:lvl w:ilvl="3" w:tplc="8902A250">
      <w:start w:val="1"/>
      <w:numFmt w:val="bullet"/>
      <w:lvlText w:val=""/>
      <w:lvlJc w:val="left"/>
      <w:pPr>
        <w:ind w:left="2880" w:hanging="360"/>
      </w:pPr>
      <w:rPr>
        <w:rFonts w:ascii="Symbol" w:hAnsi="Symbol" w:hint="default"/>
      </w:rPr>
    </w:lvl>
    <w:lvl w:ilvl="4" w:tplc="6D605FAE">
      <w:start w:val="1"/>
      <w:numFmt w:val="bullet"/>
      <w:lvlText w:val="o"/>
      <w:lvlJc w:val="left"/>
      <w:pPr>
        <w:ind w:left="3600" w:hanging="360"/>
      </w:pPr>
      <w:rPr>
        <w:rFonts w:ascii="Courier New" w:hAnsi="Courier New" w:hint="default"/>
      </w:rPr>
    </w:lvl>
    <w:lvl w:ilvl="5" w:tplc="0232A434">
      <w:start w:val="1"/>
      <w:numFmt w:val="bullet"/>
      <w:lvlText w:val=""/>
      <w:lvlJc w:val="left"/>
      <w:pPr>
        <w:ind w:left="4320" w:hanging="360"/>
      </w:pPr>
      <w:rPr>
        <w:rFonts w:ascii="Wingdings" w:hAnsi="Wingdings" w:hint="default"/>
      </w:rPr>
    </w:lvl>
    <w:lvl w:ilvl="6" w:tplc="CB701D06">
      <w:start w:val="1"/>
      <w:numFmt w:val="bullet"/>
      <w:lvlText w:val=""/>
      <w:lvlJc w:val="left"/>
      <w:pPr>
        <w:ind w:left="5040" w:hanging="360"/>
      </w:pPr>
      <w:rPr>
        <w:rFonts w:ascii="Symbol" w:hAnsi="Symbol" w:hint="default"/>
      </w:rPr>
    </w:lvl>
    <w:lvl w:ilvl="7" w:tplc="BC98929E">
      <w:start w:val="1"/>
      <w:numFmt w:val="bullet"/>
      <w:lvlText w:val="o"/>
      <w:lvlJc w:val="left"/>
      <w:pPr>
        <w:ind w:left="5760" w:hanging="360"/>
      </w:pPr>
      <w:rPr>
        <w:rFonts w:ascii="Courier New" w:hAnsi="Courier New" w:hint="default"/>
      </w:rPr>
    </w:lvl>
    <w:lvl w:ilvl="8" w:tplc="37D44E8C">
      <w:start w:val="1"/>
      <w:numFmt w:val="bullet"/>
      <w:lvlText w:val=""/>
      <w:lvlJc w:val="left"/>
      <w:pPr>
        <w:ind w:left="6480" w:hanging="360"/>
      </w:pPr>
      <w:rPr>
        <w:rFonts w:ascii="Wingdings" w:hAnsi="Wingdings" w:hint="default"/>
      </w:rPr>
    </w:lvl>
  </w:abstractNum>
  <w:abstractNum w:abstractNumId="9" w15:restartNumberingAfterBreak="0">
    <w:nsid w:val="0EA33D5E"/>
    <w:multiLevelType w:val="multilevel"/>
    <w:tmpl w:val="A27ABC8E"/>
    <w:styleLink w:val="CurrentList2"/>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9328D9"/>
    <w:multiLevelType w:val="hybridMultilevel"/>
    <w:tmpl w:val="E124DDB8"/>
    <w:lvl w:ilvl="0" w:tplc="9D54508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2F54CD"/>
    <w:multiLevelType w:val="hybridMultilevel"/>
    <w:tmpl w:val="06A4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624EC2"/>
    <w:multiLevelType w:val="hybridMultilevel"/>
    <w:tmpl w:val="A9CEB0B6"/>
    <w:lvl w:ilvl="0" w:tplc="5C0C918E">
      <w:start w:val="1"/>
      <w:numFmt w:val="decimal"/>
      <w:pStyle w:val="LBfootnotes"/>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60846"/>
    <w:multiLevelType w:val="hybridMultilevel"/>
    <w:tmpl w:val="2F82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1F9B7"/>
    <w:multiLevelType w:val="hybridMultilevel"/>
    <w:tmpl w:val="B00659CE"/>
    <w:lvl w:ilvl="0" w:tplc="92624808">
      <w:start w:val="1"/>
      <w:numFmt w:val="decimal"/>
      <w:lvlText w:val="(%1)"/>
      <w:lvlJc w:val="left"/>
      <w:pPr>
        <w:ind w:left="360" w:hanging="360"/>
      </w:pPr>
    </w:lvl>
    <w:lvl w:ilvl="1" w:tplc="F2AA11C2">
      <w:start w:val="1"/>
      <w:numFmt w:val="lowerLetter"/>
      <w:lvlText w:val="%2."/>
      <w:lvlJc w:val="left"/>
      <w:pPr>
        <w:ind w:left="1440" w:hanging="360"/>
      </w:pPr>
    </w:lvl>
    <w:lvl w:ilvl="2" w:tplc="B6B84A7E">
      <w:start w:val="1"/>
      <w:numFmt w:val="lowerRoman"/>
      <w:lvlText w:val="%3."/>
      <w:lvlJc w:val="right"/>
      <w:pPr>
        <w:ind w:left="2160" w:hanging="180"/>
      </w:pPr>
    </w:lvl>
    <w:lvl w:ilvl="3" w:tplc="221E1E5C">
      <w:start w:val="1"/>
      <w:numFmt w:val="decimal"/>
      <w:lvlText w:val="%4."/>
      <w:lvlJc w:val="left"/>
      <w:pPr>
        <w:ind w:left="2880" w:hanging="360"/>
      </w:pPr>
    </w:lvl>
    <w:lvl w:ilvl="4" w:tplc="2BC0C8F8">
      <w:start w:val="1"/>
      <w:numFmt w:val="lowerLetter"/>
      <w:lvlText w:val="%5."/>
      <w:lvlJc w:val="left"/>
      <w:pPr>
        <w:ind w:left="3600" w:hanging="360"/>
      </w:pPr>
    </w:lvl>
    <w:lvl w:ilvl="5" w:tplc="8334DE98">
      <w:start w:val="1"/>
      <w:numFmt w:val="lowerRoman"/>
      <w:lvlText w:val="%6."/>
      <w:lvlJc w:val="right"/>
      <w:pPr>
        <w:ind w:left="4320" w:hanging="180"/>
      </w:pPr>
    </w:lvl>
    <w:lvl w:ilvl="6" w:tplc="EE5E33C8">
      <w:start w:val="1"/>
      <w:numFmt w:val="decimal"/>
      <w:lvlText w:val="%7."/>
      <w:lvlJc w:val="left"/>
      <w:pPr>
        <w:ind w:left="5040" w:hanging="360"/>
      </w:pPr>
    </w:lvl>
    <w:lvl w:ilvl="7" w:tplc="E77ACF80">
      <w:start w:val="1"/>
      <w:numFmt w:val="lowerLetter"/>
      <w:lvlText w:val="%8."/>
      <w:lvlJc w:val="left"/>
      <w:pPr>
        <w:ind w:left="5760" w:hanging="360"/>
      </w:pPr>
    </w:lvl>
    <w:lvl w:ilvl="8" w:tplc="10FE221A">
      <w:start w:val="1"/>
      <w:numFmt w:val="lowerRoman"/>
      <w:lvlText w:val="%9."/>
      <w:lvlJc w:val="right"/>
      <w:pPr>
        <w:ind w:left="6480" w:hanging="180"/>
      </w:pPr>
    </w:lvl>
  </w:abstractNum>
  <w:abstractNum w:abstractNumId="15" w15:restartNumberingAfterBreak="0">
    <w:nsid w:val="22DE49FB"/>
    <w:multiLevelType w:val="multilevel"/>
    <w:tmpl w:val="E7C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411FA"/>
    <w:multiLevelType w:val="hybridMultilevel"/>
    <w:tmpl w:val="8F00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2B67A0"/>
    <w:multiLevelType w:val="hybridMultilevel"/>
    <w:tmpl w:val="4E16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E4113E"/>
    <w:multiLevelType w:val="hybridMultilevel"/>
    <w:tmpl w:val="57C8E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6B2215"/>
    <w:multiLevelType w:val="hybridMultilevel"/>
    <w:tmpl w:val="5E4E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E17610D"/>
    <w:multiLevelType w:val="multilevel"/>
    <w:tmpl w:val="F95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44DA5"/>
    <w:multiLevelType w:val="hybridMultilevel"/>
    <w:tmpl w:val="EC7613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1716A77"/>
    <w:multiLevelType w:val="hybridMultilevel"/>
    <w:tmpl w:val="DAA20EE4"/>
    <w:lvl w:ilvl="0" w:tplc="7B5AA9A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C05427"/>
    <w:multiLevelType w:val="hybridMultilevel"/>
    <w:tmpl w:val="5F00D93A"/>
    <w:lvl w:ilvl="0" w:tplc="3E90A14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DA1CA"/>
    <w:multiLevelType w:val="hybridMultilevel"/>
    <w:tmpl w:val="A78C1FFA"/>
    <w:lvl w:ilvl="0" w:tplc="3F82ABE6">
      <w:start w:val="1"/>
      <w:numFmt w:val="bullet"/>
      <w:lvlText w:val=""/>
      <w:lvlJc w:val="left"/>
      <w:pPr>
        <w:ind w:left="720" w:hanging="360"/>
      </w:pPr>
      <w:rPr>
        <w:rFonts w:ascii="Symbol" w:hAnsi="Symbol" w:hint="default"/>
      </w:rPr>
    </w:lvl>
    <w:lvl w:ilvl="1" w:tplc="18DCFEA0">
      <w:start w:val="1"/>
      <w:numFmt w:val="bullet"/>
      <w:lvlText w:val="o"/>
      <w:lvlJc w:val="left"/>
      <w:pPr>
        <w:ind w:left="1440" w:hanging="360"/>
      </w:pPr>
      <w:rPr>
        <w:rFonts w:ascii="Courier New" w:hAnsi="Courier New" w:hint="default"/>
      </w:rPr>
    </w:lvl>
    <w:lvl w:ilvl="2" w:tplc="C8C6DE28">
      <w:start w:val="1"/>
      <w:numFmt w:val="bullet"/>
      <w:lvlText w:val=""/>
      <w:lvlJc w:val="left"/>
      <w:pPr>
        <w:ind w:left="2160" w:hanging="360"/>
      </w:pPr>
      <w:rPr>
        <w:rFonts w:ascii="Wingdings" w:hAnsi="Wingdings" w:hint="default"/>
      </w:rPr>
    </w:lvl>
    <w:lvl w:ilvl="3" w:tplc="25C67218">
      <w:start w:val="1"/>
      <w:numFmt w:val="bullet"/>
      <w:lvlText w:val=""/>
      <w:lvlJc w:val="left"/>
      <w:pPr>
        <w:ind w:left="2880" w:hanging="360"/>
      </w:pPr>
      <w:rPr>
        <w:rFonts w:ascii="Symbol" w:hAnsi="Symbol" w:hint="default"/>
      </w:rPr>
    </w:lvl>
    <w:lvl w:ilvl="4" w:tplc="7F2408DE">
      <w:start w:val="1"/>
      <w:numFmt w:val="bullet"/>
      <w:lvlText w:val="o"/>
      <w:lvlJc w:val="left"/>
      <w:pPr>
        <w:ind w:left="3600" w:hanging="360"/>
      </w:pPr>
      <w:rPr>
        <w:rFonts w:ascii="Courier New" w:hAnsi="Courier New" w:hint="default"/>
      </w:rPr>
    </w:lvl>
    <w:lvl w:ilvl="5" w:tplc="7F6E0AF4">
      <w:start w:val="1"/>
      <w:numFmt w:val="bullet"/>
      <w:lvlText w:val=""/>
      <w:lvlJc w:val="left"/>
      <w:pPr>
        <w:ind w:left="4320" w:hanging="360"/>
      </w:pPr>
      <w:rPr>
        <w:rFonts w:ascii="Wingdings" w:hAnsi="Wingdings" w:hint="default"/>
      </w:rPr>
    </w:lvl>
    <w:lvl w:ilvl="6" w:tplc="73FE7C26">
      <w:start w:val="1"/>
      <w:numFmt w:val="bullet"/>
      <w:lvlText w:val=""/>
      <w:lvlJc w:val="left"/>
      <w:pPr>
        <w:ind w:left="5040" w:hanging="360"/>
      </w:pPr>
      <w:rPr>
        <w:rFonts w:ascii="Symbol" w:hAnsi="Symbol" w:hint="default"/>
      </w:rPr>
    </w:lvl>
    <w:lvl w:ilvl="7" w:tplc="589A9EDE">
      <w:start w:val="1"/>
      <w:numFmt w:val="bullet"/>
      <w:lvlText w:val="o"/>
      <w:lvlJc w:val="left"/>
      <w:pPr>
        <w:ind w:left="5760" w:hanging="360"/>
      </w:pPr>
      <w:rPr>
        <w:rFonts w:ascii="Courier New" w:hAnsi="Courier New" w:hint="default"/>
      </w:rPr>
    </w:lvl>
    <w:lvl w:ilvl="8" w:tplc="575CDF20">
      <w:start w:val="1"/>
      <w:numFmt w:val="bullet"/>
      <w:lvlText w:val=""/>
      <w:lvlJc w:val="left"/>
      <w:pPr>
        <w:ind w:left="6480" w:hanging="360"/>
      </w:pPr>
      <w:rPr>
        <w:rFonts w:ascii="Wingdings" w:hAnsi="Wingdings" w:hint="default"/>
      </w:rPr>
    </w:lvl>
  </w:abstractNum>
  <w:abstractNum w:abstractNumId="25" w15:restartNumberingAfterBreak="0">
    <w:nsid w:val="3FE920C7"/>
    <w:multiLevelType w:val="multilevel"/>
    <w:tmpl w:val="58B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71DDE"/>
    <w:multiLevelType w:val="hybridMultilevel"/>
    <w:tmpl w:val="D1F2E7A6"/>
    <w:lvl w:ilvl="0" w:tplc="6242DDFA">
      <w:start w:val="1"/>
      <w:numFmt w:val="decimal"/>
      <w:pStyle w:val="numberedlist"/>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3D17E8"/>
    <w:multiLevelType w:val="hybridMultilevel"/>
    <w:tmpl w:val="B3AE913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5D5AA7"/>
    <w:multiLevelType w:val="hybridMultilevel"/>
    <w:tmpl w:val="B81819CE"/>
    <w:lvl w:ilvl="0" w:tplc="4C7C825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5C680B6"/>
    <w:multiLevelType w:val="hybridMultilevel"/>
    <w:tmpl w:val="233E8D8E"/>
    <w:lvl w:ilvl="0" w:tplc="2A36C2DA">
      <w:start w:val="1"/>
      <w:numFmt w:val="bullet"/>
      <w:lvlText w:val=""/>
      <w:lvlJc w:val="left"/>
      <w:pPr>
        <w:ind w:left="720" w:hanging="360"/>
      </w:pPr>
      <w:rPr>
        <w:rFonts w:ascii="Symbol" w:hAnsi="Symbol" w:hint="default"/>
      </w:rPr>
    </w:lvl>
    <w:lvl w:ilvl="1" w:tplc="B508A334">
      <w:start w:val="1"/>
      <w:numFmt w:val="bullet"/>
      <w:lvlText w:val="o"/>
      <w:lvlJc w:val="left"/>
      <w:pPr>
        <w:ind w:left="1440" w:hanging="360"/>
      </w:pPr>
      <w:rPr>
        <w:rFonts w:ascii="Courier New" w:hAnsi="Courier New" w:hint="default"/>
      </w:rPr>
    </w:lvl>
    <w:lvl w:ilvl="2" w:tplc="798697DE">
      <w:start w:val="1"/>
      <w:numFmt w:val="bullet"/>
      <w:lvlText w:val=""/>
      <w:lvlJc w:val="left"/>
      <w:pPr>
        <w:ind w:left="2160" w:hanging="360"/>
      </w:pPr>
      <w:rPr>
        <w:rFonts w:ascii="Wingdings" w:hAnsi="Wingdings" w:hint="default"/>
      </w:rPr>
    </w:lvl>
    <w:lvl w:ilvl="3" w:tplc="C77A42CE">
      <w:start w:val="1"/>
      <w:numFmt w:val="bullet"/>
      <w:lvlText w:val=""/>
      <w:lvlJc w:val="left"/>
      <w:pPr>
        <w:ind w:left="2880" w:hanging="360"/>
      </w:pPr>
      <w:rPr>
        <w:rFonts w:ascii="Symbol" w:hAnsi="Symbol" w:hint="default"/>
      </w:rPr>
    </w:lvl>
    <w:lvl w:ilvl="4" w:tplc="4DB824A0">
      <w:start w:val="1"/>
      <w:numFmt w:val="bullet"/>
      <w:lvlText w:val="o"/>
      <w:lvlJc w:val="left"/>
      <w:pPr>
        <w:ind w:left="3600" w:hanging="360"/>
      </w:pPr>
      <w:rPr>
        <w:rFonts w:ascii="Courier New" w:hAnsi="Courier New" w:hint="default"/>
      </w:rPr>
    </w:lvl>
    <w:lvl w:ilvl="5" w:tplc="5AD4E178">
      <w:start w:val="1"/>
      <w:numFmt w:val="bullet"/>
      <w:lvlText w:val=""/>
      <w:lvlJc w:val="left"/>
      <w:pPr>
        <w:ind w:left="4320" w:hanging="360"/>
      </w:pPr>
      <w:rPr>
        <w:rFonts w:ascii="Wingdings" w:hAnsi="Wingdings" w:hint="default"/>
      </w:rPr>
    </w:lvl>
    <w:lvl w:ilvl="6" w:tplc="7EF8673A">
      <w:start w:val="1"/>
      <w:numFmt w:val="bullet"/>
      <w:lvlText w:val=""/>
      <w:lvlJc w:val="left"/>
      <w:pPr>
        <w:ind w:left="5040" w:hanging="360"/>
      </w:pPr>
      <w:rPr>
        <w:rFonts w:ascii="Symbol" w:hAnsi="Symbol" w:hint="default"/>
      </w:rPr>
    </w:lvl>
    <w:lvl w:ilvl="7" w:tplc="87764E40">
      <w:start w:val="1"/>
      <w:numFmt w:val="bullet"/>
      <w:lvlText w:val="o"/>
      <w:lvlJc w:val="left"/>
      <w:pPr>
        <w:ind w:left="5760" w:hanging="360"/>
      </w:pPr>
      <w:rPr>
        <w:rFonts w:ascii="Courier New" w:hAnsi="Courier New" w:hint="default"/>
      </w:rPr>
    </w:lvl>
    <w:lvl w:ilvl="8" w:tplc="77F459D2">
      <w:start w:val="1"/>
      <w:numFmt w:val="bullet"/>
      <w:lvlText w:val=""/>
      <w:lvlJc w:val="left"/>
      <w:pPr>
        <w:ind w:left="6480" w:hanging="360"/>
      </w:pPr>
      <w:rPr>
        <w:rFonts w:ascii="Wingdings" w:hAnsi="Wingdings" w:hint="default"/>
      </w:rPr>
    </w:lvl>
  </w:abstractNum>
  <w:abstractNum w:abstractNumId="30" w15:restartNumberingAfterBreak="0">
    <w:nsid w:val="469A4D20"/>
    <w:multiLevelType w:val="multilevel"/>
    <w:tmpl w:val="2E0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DF191B"/>
    <w:multiLevelType w:val="hybridMultilevel"/>
    <w:tmpl w:val="2F7623B2"/>
    <w:lvl w:ilvl="0" w:tplc="203AD7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8EF37E4"/>
    <w:multiLevelType w:val="hybridMultilevel"/>
    <w:tmpl w:val="C7A0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FF3277"/>
    <w:multiLevelType w:val="multilevel"/>
    <w:tmpl w:val="6518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292F2E"/>
    <w:multiLevelType w:val="hybridMultilevel"/>
    <w:tmpl w:val="696262D8"/>
    <w:lvl w:ilvl="0" w:tplc="828221E6">
      <w:start w:val="1"/>
      <w:numFmt w:val="decimal"/>
      <w:pStyle w:val="LBfootnotes2"/>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9E792B"/>
    <w:multiLevelType w:val="hybridMultilevel"/>
    <w:tmpl w:val="66649228"/>
    <w:lvl w:ilvl="0" w:tplc="3E90A14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5171E1"/>
    <w:multiLevelType w:val="multilevel"/>
    <w:tmpl w:val="160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6605D4"/>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A5401A"/>
    <w:multiLevelType w:val="hybridMultilevel"/>
    <w:tmpl w:val="E55CB2D4"/>
    <w:lvl w:ilvl="0" w:tplc="03A055E6">
      <w:start w:val="1"/>
      <w:numFmt w:val="lowerLetter"/>
      <w:pStyle w:val="aLBfootnote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3F33C6"/>
    <w:multiLevelType w:val="hybridMultilevel"/>
    <w:tmpl w:val="EB106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42E0D"/>
    <w:multiLevelType w:val="multilevel"/>
    <w:tmpl w:val="489255F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052240"/>
    <w:multiLevelType w:val="multilevel"/>
    <w:tmpl w:val="6E3C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81CB6"/>
    <w:multiLevelType w:val="hybridMultilevel"/>
    <w:tmpl w:val="561A93F0"/>
    <w:lvl w:ilvl="0" w:tplc="CA08430E">
      <w:start w:val="1"/>
      <w:numFmt w:val="lowerLetter"/>
      <w:lvlText w:val="(%1)"/>
      <w:lvlJc w:val="left"/>
      <w:pPr>
        <w:ind w:left="360" w:hanging="360"/>
      </w:pPr>
      <w:rPr>
        <w:rFonts w:ascii="Arial" w:eastAsiaTheme="minorEastAsia" w:hAnsi="Arial"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3862149"/>
    <w:multiLevelType w:val="hybridMultilevel"/>
    <w:tmpl w:val="E190F886"/>
    <w:lvl w:ilvl="0" w:tplc="E1E0DE1E">
      <w:start w:val="1"/>
      <w:numFmt w:val="bullet"/>
      <w:pStyle w:val="LBbulle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276B8"/>
    <w:multiLevelType w:val="hybridMultilevel"/>
    <w:tmpl w:val="0554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C10DA"/>
    <w:multiLevelType w:val="hybridMultilevel"/>
    <w:tmpl w:val="EEE67F14"/>
    <w:lvl w:ilvl="0" w:tplc="785838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C547D7"/>
    <w:multiLevelType w:val="hybridMultilevel"/>
    <w:tmpl w:val="8BB87EC0"/>
    <w:lvl w:ilvl="0" w:tplc="FF400318">
      <w:start w:val="1"/>
      <w:numFmt w:val="decimal"/>
      <w:pStyle w:val="LBnumberedlist"/>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F91CF9"/>
    <w:multiLevelType w:val="hybridMultilevel"/>
    <w:tmpl w:val="030647B2"/>
    <w:lvl w:ilvl="0" w:tplc="60FE466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8639871">
    <w:abstractNumId w:val="43"/>
  </w:num>
  <w:num w:numId="2" w16cid:durableId="164591069">
    <w:abstractNumId w:val="40"/>
  </w:num>
  <w:num w:numId="3" w16cid:durableId="2063674945">
    <w:abstractNumId w:val="9"/>
  </w:num>
  <w:num w:numId="4" w16cid:durableId="1321638">
    <w:abstractNumId w:val="6"/>
  </w:num>
  <w:num w:numId="5" w16cid:durableId="1861041693">
    <w:abstractNumId w:val="26"/>
  </w:num>
  <w:num w:numId="6" w16cid:durableId="399981648">
    <w:abstractNumId w:val="46"/>
  </w:num>
  <w:num w:numId="7" w16cid:durableId="2115244568">
    <w:abstractNumId w:val="12"/>
  </w:num>
  <w:num w:numId="8" w16cid:durableId="766773624">
    <w:abstractNumId w:val="34"/>
  </w:num>
  <w:num w:numId="9" w16cid:durableId="1640188615">
    <w:abstractNumId w:val="42"/>
  </w:num>
  <w:num w:numId="10" w16cid:durableId="767701684">
    <w:abstractNumId w:val="10"/>
  </w:num>
  <w:num w:numId="11" w16cid:durableId="712928554">
    <w:abstractNumId w:val="47"/>
  </w:num>
  <w:num w:numId="12" w16cid:durableId="127287192">
    <w:abstractNumId w:val="21"/>
  </w:num>
  <w:num w:numId="13" w16cid:durableId="1530530654">
    <w:abstractNumId w:val="27"/>
  </w:num>
  <w:num w:numId="14" w16cid:durableId="783114970">
    <w:abstractNumId w:val="31"/>
  </w:num>
  <w:num w:numId="15" w16cid:durableId="446892770">
    <w:abstractNumId w:val="28"/>
  </w:num>
  <w:num w:numId="16" w16cid:durableId="553154349">
    <w:abstractNumId w:val="22"/>
  </w:num>
  <w:num w:numId="17" w16cid:durableId="1133912032">
    <w:abstractNumId w:val="20"/>
  </w:num>
  <w:num w:numId="18" w16cid:durableId="1430003160">
    <w:abstractNumId w:val="33"/>
  </w:num>
  <w:num w:numId="19" w16cid:durableId="132716234">
    <w:abstractNumId w:val="8"/>
  </w:num>
  <w:num w:numId="20" w16cid:durableId="1848444830">
    <w:abstractNumId w:val="37"/>
  </w:num>
  <w:num w:numId="21" w16cid:durableId="1477212654">
    <w:abstractNumId w:val="38"/>
  </w:num>
  <w:num w:numId="22" w16cid:durableId="325524343">
    <w:abstractNumId w:val="38"/>
    <w:lvlOverride w:ilvl="0">
      <w:startOverride w:val="1"/>
    </w:lvlOverride>
  </w:num>
  <w:num w:numId="23" w16cid:durableId="1343169506">
    <w:abstractNumId w:val="38"/>
    <w:lvlOverride w:ilvl="0">
      <w:startOverride w:val="1"/>
    </w:lvlOverride>
  </w:num>
  <w:num w:numId="24" w16cid:durableId="706372003">
    <w:abstractNumId w:val="38"/>
    <w:lvlOverride w:ilvl="0">
      <w:startOverride w:val="1"/>
    </w:lvlOverride>
  </w:num>
  <w:num w:numId="25" w16cid:durableId="1334526889">
    <w:abstractNumId w:val="38"/>
    <w:lvlOverride w:ilvl="0">
      <w:startOverride w:val="1"/>
    </w:lvlOverride>
  </w:num>
  <w:num w:numId="26" w16cid:durableId="993533533">
    <w:abstractNumId w:val="38"/>
    <w:lvlOverride w:ilvl="0">
      <w:startOverride w:val="1"/>
    </w:lvlOverride>
  </w:num>
  <w:num w:numId="27" w16cid:durableId="1446803849">
    <w:abstractNumId w:val="38"/>
    <w:lvlOverride w:ilvl="0">
      <w:startOverride w:val="1"/>
    </w:lvlOverride>
  </w:num>
  <w:num w:numId="28" w16cid:durableId="1898583394">
    <w:abstractNumId w:val="38"/>
    <w:lvlOverride w:ilvl="0">
      <w:startOverride w:val="1"/>
    </w:lvlOverride>
  </w:num>
  <w:num w:numId="29" w16cid:durableId="640891841">
    <w:abstractNumId w:val="3"/>
  </w:num>
  <w:num w:numId="30" w16cid:durableId="1937446050">
    <w:abstractNumId w:val="16"/>
  </w:num>
  <w:num w:numId="31" w16cid:durableId="1685012233">
    <w:abstractNumId w:val="18"/>
  </w:num>
  <w:num w:numId="32" w16cid:durableId="504974919">
    <w:abstractNumId w:val="45"/>
  </w:num>
  <w:num w:numId="33" w16cid:durableId="842478399">
    <w:abstractNumId w:val="38"/>
    <w:lvlOverride w:ilvl="0">
      <w:startOverride w:val="1"/>
    </w:lvlOverride>
  </w:num>
  <w:num w:numId="34" w16cid:durableId="1480077352">
    <w:abstractNumId w:val="23"/>
  </w:num>
  <w:num w:numId="35" w16cid:durableId="241454711">
    <w:abstractNumId w:val="1"/>
  </w:num>
  <w:num w:numId="36" w16cid:durableId="1485505308">
    <w:abstractNumId w:val="44"/>
  </w:num>
  <w:num w:numId="37" w16cid:durableId="932084374">
    <w:abstractNumId w:val="13"/>
  </w:num>
  <w:num w:numId="38" w16cid:durableId="234246259">
    <w:abstractNumId w:val="4"/>
  </w:num>
  <w:num w:numId="39" w16cid:durableId="1913809100">
    <w:abstractNumId w:val="17"/>
  </w:num>
  <w:num w:numId="40" w16cid:durableId="605697591">
    <w:abstractNumId w:val="19"/>
  </w:num>
  <w:num w:numId="41" w16cid:durableId="1588223635">
    <w:abstractNumId w:val="2"/>
  </w:num>
  <w:num w:numId="42" w16cid:durableId="402722095">
    <w:abstractNumId w:val="14"/>
  </w:num>
  <w:num w:numId="43" w16cid:durableId="1912882409">
    <w:abstractNumId w:val="35"/>
  </w:num>
  <w:num w:numId="44" w16cid:durableId="233439658">
    <w:abstractNumId w:val="7"/>
  </w:num>
  <w:num w:numId="45" w16cid:durableId="1007907675">
    <w:abstractNumId w:val="32"/>
  </w:num>
  <w:num w:numId="46" w16cid:durableId="1467239985">
    <w:abstractNumId w:val="39"/>
  </w:num>
  <w:num w:numId="47" w16cid:durableId="495650813">
    <w:abstractNumId w:val="15"/>
  </w:num>
  <w:num w:numId="48" w16cid:durableId="1444349680">
    <w:abstractNumId w:val="36"/>
  </w:num>
  <w:num w:numId="49" w16cid:durableId="1962304346">
    <w:abstractNumId w:val="25"/>
  </w:num>
  <w:num w:numId="50" w16cid:durableId="1169294285">
    <w:abstractNumId w:val="29"/>
  </w:num>
  <w:num w:numId="51" w16cid:durableId="1373573579">
    <w:abstractNumId w:val="24"/>
  </w:num>
  <w:num w:numId="52" w16cid:durableId="1370110918">
    <w:abstractNumId w:val="41"/>
  </w:num>
  <w:num w:numId="53" w16cid:durableId="1922566083">
    <w:abstractNumId w:val="30"/>
  </w:num>
  <w:num w:numId="54" w16cid:durableId="1541086403">
    <w:abstractNumId w:val="0"/>
  </w:num>
  <w:num w:numId="55" w16cid:durableId="1191525543">
    <w:abstractNumId w:val="11"/>
  </w:num>
  <w:num w:numId="56" w16cid:durableId="2001342890">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EE"/>
    <w:rsid w:val="00000120"/>
    <w:rsid w:val="0000079E"/>
    <w:rsid w:val="000007C3"/>
    <w:rsid w:val="00000C0E"/>
    <w:rsid w:val="00001194"/>
    <w:rsid w:val="00001471"/>
    <w:rsid w:val="000016F3"/>
    <w:rsid w:val="00001A81"/>
    <w:rsid w:val="00001AEB"/>
    <w:rsid w:val="00001B7C"/>
    <w:rsid w:val="00002328"/>
    <w:rsid w:val="00002480"/>
    <w:rsid w:val="000024FD"/>
    <w:rsid w:val="00002810"/>
    <w:rsid w:val="000028A2"/>
    <w:rsid w:val="00002A63"/>
    <w:rsid w:val="00002A7A"/>
    <w:rsid w:val="00002C56"/>
    <w:rsid w:val="00002C71"/>
    <w:rsid w:val="00002E02"/>
    <w:rsid w:val="00003040"/>
    <w:rsid w:val="00003204"/>
    <w:rsid w:val="00003317"/>
    <w:rsid w:val="0000343A"/>
    <w:rsid w:val="000035D2"/>
    <w:rsid w:val="0000370D"/>
    <w:rsid w:val="00003A58"/>
    <w:rsid w:val="00003B37"/>
    <w:rsid w:val="00003D8F"/>
    <w:rsid w:val="00004134"/>
    <w:rsid w:val="0000424A"/>
    <w:rsid w:val="0000477E"/>
    <w:rsid w:val="00004D70"/>
    <w:rsid w:val="00004E48"/>
    <w:rsid w:val="000051F7"/>
    <w:rsid w:val="000053D3"/>
    <w:rsid w:val="00005416"/>
    <w:rsid w:val="00005B23"/>
    <w:rsid w:val="00005D09"/>
    <w:rsid w:val="000062D5"/>
    <w:rsid w:val="00006474"/>
    <w:rsid w:val="000065C9"/>
    <w:rsid w:val="00006AEC"/>
    <w:rsid w:val="00006CA7"/>
    <w:rsid w:val="00006D7B"/>
    <w:rsid w:val="000075F5"/>
    <w:rsid w:val="00007625"/>
    <w:rsid w:val="000078AB"/>
    <w:rsid w:val="0000793C"/>
    <w:rsid w:val="00007B71"/>
    <w:rsid w:val="00007C58"/>
    <w:rsid w:val="00007E8E"/>
    <w:rsid w:val="00010555"/>
    <w:rsid w:val="00010BDB"/>
    <w:rsid w:val="00010D24"/>
    <w:rsid w:val="00010E42"/>
    <w:rsid w:val="0001119F"/>
    <w:rsid w:val="00011581"/>
    <w:rsid w:val="00011DA9"/>
    <w:rsid w:val="00012113"/>
    <w:rsid w:val="0001220A"/>
    <w:rsid w:val="00012365"/>
    <w:rsid w:val="00012399"/>
    <w:rsid w:val="000125BD"/>
    <w:rsid w:val="000126F3"/>
    <w:rsid w:val="00012C2E"/>
    <w:rsid w:val="000130F1"/>
    <w:rsid w:val="00013170"/>
    <w:rsid w:val="0001356E"/>
    <w:rsid w:val="000138A5"/>
    <w:rsid w:val="00013BC0"/>
    <w:rsid w:val="00013BD2"/>
    <w:rsid w:val="00013BF5"/>
    <w:rsid w:val="00013EC6"/>
    <w:rsid w:val="000140B9"/>
    <w:rsid w:val="000144DB"/>
    <w:rsid w:val="00014719"/>
    <w:rsid w:val="00014749"/>
    <w:rsid w:val="00014B9D"/>
    <w:rsid w:val="00014C71"/>
    <w:rsid w:val="00014C90"/>
    <w:rsid w:val="0001501D"/>
    <w:rsid w:val="00015052"/>
    <w:rsid w:val="00015082"/>
    <w:rsid w:val="0001523C"/>
    <w:rsid w:val="000158AD"/>
    <w:rsid w:val="00015D64"/>
    <w:rsid w:val="00015ECD"/>
    <w:rsid w:val="000161A3"/>
    <w:rsid w:val="00016244"/>
    <w:rsid w:val="00016389"/>
    <w:rsid w:val="000164FC"/>
    <w:rsid w:val="000167A4"/>
    <w:rsid w:val="00016893"/>
    <w:rsid w:val="00016B1F"/>
    <w:rsid w:val="00017156"/>
    <w:rsid w:val="00017190"/>
    <w:rsid w:val="000172A2"/>
    <w:rsid w:val="00017759"/>
    <w:rsid w:val="00017AA7"/>
    <w:rsid w:val="00017C15"/>
    <w:rsid w:val="00017D33"/>
    <w:rsid w:val="00020584"/>
    <w:rsid w:val="000218A6"/>
    <w:rsid w:val="00021B30"/>
    <w:rsid w:val="00021CDA"/>
    <w:rsid w:val="00021D8C"/>
    <w:rsid w:val="000229DE"/>
    <w:rsid w:val="00022AA5"/>
    <w:rsid w:val="00023525"/>
    <w:rsid w:val="000238E6"/>
    <w:rsid w:val="0002392B"/>
    <w:rsid w:val="00023A00"/>
    <w:rsid w:val="00024173"/>
    <w:rsid w:val="00024362"/>
    <w:rsid w:val="00024A2D"/>
    <w:rsid w:val="000254BA"/>
    <w:rsid w:val="0002556E"/>
    <w:rsid w:val="000257D2"/>
    <w:rsid w:val="00025967"/>
    <w:rsid w:val="00025AE4"/>
    <w:rsid w:val="00025BC7"/>
    <w:rsid w:val="00025C2C"/>
    <w:rsid w:val="00025C30"/>
    <w:rsid w:val="000260FE"/>
    <w:rsid w:val="000261D6"/>
    <w:rsid w:val="00026209"/>
    <w:rsid w:val="00026600"/>
    <w:rsid w:val="000266EA"/>
    <w:rsid w:val="0002677D"/>
    <w:rsid w:val="00026975"/>
    <w:rsid w:val="00026D78"/>
    <w:rsid w:val="00026D95"/>
    <w:rsid w:val="00026EF6"/>
    <w:rsid w:val="000270F3"/>
    <w:rsid w:val="00027282"/>
    <w:rsid w:val="00027342"/>
    <w:rsid w:val="00027504"/>
    <w:rsid w:val="00027C4E"/>
    <w:rsid w:val="0002AF12"/>
    <w:rsid w:val="0003001E"/>
    <w:rsid w:val="000300A0"/>
    <w:rsid w:val="000302B3"/>
    <w:rsid w:val="000302B5"/>
    <w:rsid w:val="00030402"/>
    <w:rsid w:val="00030843"/>
    <w:rsid w:val="00030922"/>
    <w:rsid w:val="000309FE"/>
    <w:rsid w:val="0003135E"/>
    <w:rsid w:val="000319E9"/>
    <w:rsid w:val="00031A5A"/>
    <w:rsid w:val="00031C06"/>
    <w:rsid w:val="00032137"/>
    <w:rsid w:val="000325C7"/>
    <w:rsid w:val="00032A7A"/>
    <w:rsid w:val="00032D19"/>
    <w:rsid w:val="00032EAE"/>
    <w:rsid w:val="00032FF0"/>
    <w:rsid w:val="000331A1"/>
    <w:rsid w:val="000332F5"/>
    <w:rsid w:val="0003360A"/>
    <w:rsid w:val="00033699"/>
    <w:rsid w:val="0003398F"/>
    <w:rsid w:val="00033AF0"/>
    <w:rsid w:val="00033E24"/>
    <w:rsid w:val="00034246"/>
    <w:rsid w:val="0003451E"/>
    <w:rsid w:val="000345C0"/>
    <w:rsid w:val="00034C64"/>
    <w:rsid w:val="00034D69"/>
    <w:rsid w:val="00035091"/>
    <w:rsid w:val="00035C52"/>
    <w:rsid w:val="00036092"/>
    <w:rsid w:val="000361FC"/>
    <w:rsid w:val="0003624D"/>
    <w:rsid w:val="000363FF"/>
    <w:rsid w:val="00036962"/>
    <w:rsid w:val="00036AAD"/>
    <w:rsid w:val="000374B5"/>
    <w:rsid w:val="0003792D"/>
    <w:rsid w:val="000379C9"/>
    <w:rsid w:val="000400AC"/>
    <w:rsid w:val="000400CF"/>
    <w:rsid w:val="00040251"/>
    <w:rsid w:val="00040321"/>
    <w:rsid w:val="00040BFB"/>
    <w:rsid w:val="00040C7F"/>
    <w:rsid w:val="00040EA9"/>
    <w:rsid w:val="000412F3"/>
    <w:rsid w:val="00041366"/>
    <w:rsid w:val="00041461"/>
    <w:rsid w:val="000417C2"/>
    <w:rsid w:val="00042138"/>
    <w:rsid w:val="0004227E"/>
    <w:rsid w:val="00042590"/>
    <w:rsid w:val="00042627"/>
    <w:rsid w:val="0004327F"/>
    <w:rsid w:val="000434E9"/>
    <w:rsid w:val="0004354E"/>
    <w:rsid w:val="00044128"/>
    <w:rsid w:val="0004420D"/>
    <w:rsid w:val="00044760"/>
    <w:rsid w:val="00044A8A"/>
    <w:rsid w:val="00044D16"/>
    <w:rsid w:val="00044E52"/>
    <w:rsid w:val="0004591E"/>
    <w:rsid w:val="00045A3A"/>
    <w:rsid w:val="00045A50"/>
    <w:rsid w:val="00045C20"/>
    <w:rsid w:val="00045D41"/>
    <w:rsid w:val="00045DA2"/>
    <w:rsid w:val="00045E1A"/>
    <w:rsid w:val="000468A3"/>
    <w:rsid w:val="00046A58"/>
    <w:rsid w:val="00046BF9"/>
    <w:rsid w:val="00046E77"/>
    <w:rsid w:val="00046FB9"/>
    <w:rsid w:val="0004726D"/>
    <w:rsid w:val="00047511"/>
    <w:rsid w:val="00047576"/>
    <w:rsid w:val="00047633"/>
    <w:rsid w:val="00047BBD"/>
    <w:rsid w:val="00047CB4"/>
    <w:rsid w:val="00047CC6"/>
    <w:rsid w:val="00047CDD"/>
    <w:rsid w:val="00047D9E"/>
    <w:rsid w:val="00047FEA"/>
    <w:rsid w:val="00050316"/>
    <w:rsid w:val="00050441"/>
    <w:rsid w:val="00050794"/>
    <w:rsid w:val="00050924"/>
    <w:rsid w:val="000517AB"/>
    <w:rsid w:val="000517DF"/>
    <w:rsid w:val="00051B2F"/>
    <w:rsid w:val="0005233A"/>
    <w:rsid w:val="000524E9"/>
    <w:rsid w:val="000525E7"/>
    <w:rsid w:val="00052EE5"/>
    <w:rsid w:val="0005371A"/>
    <w:rsid w:val="00053B10"/>
    <w:rsid w:val="00053D4C"/>
    <w:rsid w:val="00053E6B"/>
    <w:rsid w:val="000542A9"/>
    <w:rsid w:val="0005450D"/>
    <w:rsid w:val="00054A19"/>
    <w:rsid w:val="00054F2F"/>
    <w:rsid w:val="00055498"/>
    <w:rsid w:val="00055679"/>
    <w:rsid w:val="000556F6"/>
    <w:rsid w:val="000559A2"/>
    <w:rsid w:val="00055DC9"/>
    <w:rsid w:val="000567AC"/>
    <w:rsid w:val="000568DD"/>
    <w:rsid w:val="00056BB3"/>
    <w:rsid w:val="000602DE"/>
    <w:rsid w:val="0006038A"/>
    <w:rsid w:val="000607D9"/>
    <w:rsid w:val="00060BE7"/>
    <w:rsid w:val="00060C2A"/>
    <w:rsid w:val="00061204"/>
    <w:rsid w:val="0006159C"/>
    <w:rsid w:val="00061744"/>
    <w:rsid w:val="0006189D"/>
    <w:rsid w:val="000618FB"/>
    <w:rsid w:val="00061BE2"/>
    <w:rsid w:val="00062AD6"/>
    <w:rsid w:val="00062AF6"/>
    <w:rsid w:val="00062B94"/>
    <w:rsid w:val="00062F24"/>
    <w:rsid w:val="00062FAA"/>
    <w:rsid w:val="0006319B"/>
    <w:rsid w:val="000631E0"/>
    <w:rsid w:val="000633C2"/>
    <w:rsid w:val="00063706"/>
    <w:rsid w:val="00063C22"/>
    <w:rsid w:val="00064068"/>
    <w:rsid w:val="0006455A"/>
    <w:rsid w:val="000645C9"/>
    <w:rsid w:val="00064D76"/>
    <w:rsid w:val="00065456"/>
    <w:rsid w:val="00065790"/>
    <w:rsid w:val="00065835"/>
    <w:rsid w:val="00065865"/>
    <w:rsid w:val="00065A98"/>
    <w:rsid w:val="00065B28"/>
    <w:rsid w:val="00065C16"/>
    <w:rsid w:val="00065D8B"/>
    <w:rsid w:val="000662DF"/>
    <w:rsid w:val="00066B21"/>
    <w:rsid w:val="00066C0E"/>
    <w:rsid w:val="00066F50"/>
    <w:rsid w:val="00066FEF"/>
    <w:rsid w:val="000678E6"/>
    <w:rsid w:val="00067996"/>
    <w:rsid w:val="000679B0"/>
    <w:rsid w:val="00067A35"/>
    <w:rsid w:val="00067BAC"/>
    <w:rsid w:val="00067BE0"/>
    <w:rsid w:val="00067BE4"/>
    <w:rsid w:val="00067C50"/>
    <w:rsid w:val="00067E7A"/>
    <w:rsid w:val="00070055"/>
    <w:rsid w:val="000703CF"/>
    <w:rsid w:val="00070977"/>
    <w:rsid w:val="00070AAC"/>
    <w:rsid w:val="00070B46"/>
    <w:rsid w:val="00070ECD"/>
    <w:rsid w:val="0007102F"/>
    <w:rsid w:val="000715E9"/>
    <w:rsid w:val="000719CB"/>
    <w:rsid w:val="00072572"/>
    <w:rsid w:val="000725BA"/>
    <w:rsid w:val="000727C5"/>
    <w:rsid w:val="00072999"/>
    <w:rsid w:val="00072B3B"/>
    <w:rsid w:val="00072D4D"/>
    <w:rsid w:val="000731E0"/>
    <w:rsid w:val="000735C6"/>
    <w:rsid w:val="000736CD"/>
    <w:rsid w:val="000737DE"/>
    <w:rsid w:val="00073A8F"/>
    <w:rsid w:val="00073E3E"/>
    <w:rsid w:val="00073F26"/>
    <w:rsid w:val="000744BE"/>
    <w:rsid w:val="000744F4"/>
    <w:rsid w:val="000745BC"/>
    <w:rsid w:val="0007466E"/>
    <w:rsid w:val="00074723"/>
    <w:rsid w:val="000747EC"/>
    <w:rsid w:val="00074928"/>
    <w:rsid w:val="00074AC6"/>
    <w:rsid w:val="00074B46"/>
    <w:rsid w:val="00075065"/>
    <w:rsid w:val="0007525A"/>
    <w:rsid w:val="00075358"/>
    <w:rsid w:val="00075500"/>
    <w:rsid w:val="00075948"/>
    <w:rsid w:val="00075ABA"/>
    <w:rsid w:val="00075CB5"/>
    <w:rsid w:val="000760BC"/>
    <w:rsid w:val="000760C8"/>
    <w:rsid w:val="00076386"/>
    <w:rsid w:val="00076B1D"/>
    <w:rsid w:val="00076D1A"/>
    <w:rsid w:val="000774CC"/>
    <w:rsid w:val="000778C8"/>
    <w:rsid w:val="0007792D"/>
    <w:rsid w:val="000779B7"/>
    <w:rsid w:val="00077BC7"/>
    <w:rsid w:val="00077D30"/>
    <w:rsid w:val="00077FDC"/>
    <w:rsid w:val="00080130"/>
    <w:rsid w:val="00080572"/>
    <w:rsid w:val="00080774"/>
    <w:rsid w:val="0008083F"/>
    <w:rsid w:val="00080D9E"/>
    <w:rsid w:val="0008113C"/>
    <w:rsid w:val="0008144B"/>
    <w:rsid w:val="00081947"/>
    <w:rsid w:val="00081AA4"/>
    <w:rsid w:val="00081BBD"/>
    <w:rsid w:val="00082178"/>
    <w:rsid w:val="0008250D"/>
    <w:rsid w:val="0008269B"/>
    <w:rsid w:val="00082778"/>
    <w:rsid w:val="00082875"/>
    <w:rsid w:val="00082A5F"/>
    <w:rsid w:val="00082AFB"/>
    <w:rsid w:val="00082EAC"/>
    <w:rsid w:val="00083268"/>
    <w:rsid w:val="000835B1"/>
    <w:rsid w:val="0008368B"/>
    <w:rsid w:val="00083FCC"/>
    <w:rsid w:val="00084CDF"/>
    <w:rsid w:val="00084D38"/>
    <w:rsid w:val="000853DF"/>
    <w:rsid w:val="0008593E"/>
    <w:rsid w:val="00085CA6"/>
    <w:rsid w:val="000865F1"/>
    <w:rsid w:val="00087081"/>
    <w:rsid w:val="000879BC"/>
    <w:rsid w:val="000901C5"/>
    <w:rsid w:val="000907BF"/>
    <w:rsid w:val="00090980"/>
    <w:rsid w:val="00090A24"/>
    <w:rsid w:val="00090D6F"/>
    <w:rsid w:val="00090EE0"/>
    <w:rsid w:val="00091510"/>
    <w:rsid w:val="000919A4"/>
    <w:rsid w:val="00091C0C"/>
    <w:rsid w:val="00091E76"/>
    <w:rsid w:val="00091F30"/>
    <w:rsid w:val="00091FB1"/>
    <w:rsid w:val="00092086"/>
    <w:rsid w:val="000923EA"/>
    <w:rsid w:val="0009243F"/>
    <w:rsid w:val="000926DB"/>
    <w:rsid w:val="000928DA"/>
    <w:rsid w:val="000930E6"/>
    <w:rsid w:val="00093C1C"/>
    <w:rsid w:val="00093CF1"/>
    <w:rsid w:val="00093F48"/>
    <w:rsid w:val="00093FA7"/>
    <w:rsid w:val="00094152"/>
    <w:rsid w:val="0009415F"/>
    <w:rsid w:val="000949D5"/>
    <w:rsid w:val="00094B3D"/>
    <w:rsid w:val="00094BC1"/>
    <w:rsid w:val="00094C16"/>
    <w:rsid w:val="00094F09"/>
    <w:rsid w:val="00094F6A"/>
    <w:rsid w:val="000953AF"/>
    <w:rsid w:val="000956D8"/>
    <w:rsid w:val="00095873"/>
    <w:rsid w:val="00095CBE"/>
    <w:rsid w:val="00095DA4"/>
    <w:rsid w:val="0009638B"/>
    <w:rsid w:val="000963C6"/>
    <w:rsid w:val="00096686"/>
    <w:rsid w:val="00096995"/>
    <w:rsid w:val="00096C9A"/>
    <w:rsid w:val="00096DDC"/>
    <w:rsid w:val="00096F71"/>
    <w:rsid w:val="00097117"/>
    <w:rsid w:val="000971F1"/>
    <w:rsid w:val="000972E3"/>
    <w:rsid w:val="00097380"/>
    <w:rsid w:val="000977C1"/>
    <w:rsid w:val="00097A15"/>
    <w:rsid w:val="00097F45"/>
    <w:rsid w:val="000A001F"/>
    <w:rsid w:val="000A0BF6"/>
    <w:rsid w:val="000A125E"/>
    <w:rsid w:val="000A18E8"/>
    <w:rsid w:val="000A239B"/>
    <w:rsid w:val="000A2552"/>
    <w:rsid w:val="000A2E19"/>
    <w:rsid w:val="000A2F3D"/>
    <w:rsid w:val="000A2FE7"/>
    <w:rsid w:val="000A323F"/>
    <w:rsid w:val="000A34BD"/>
    <w:rsid w:val="000A352A"/>
    <w:rsid w:val="000A3679"/>
    <w:rsid w:val="000A3C1E"/>
    <w:rsid w:val="000A40FE"/>
    <w:rsid w:val="000A43B6"/>
    <w:rsid w:val="000A44A4"/>
    <w:rsid w:val="000A4734"/>
    <w:rsid w:val="000A47C3"/>
    <w:rsid w:val="000A480D"/>
    <w:rsid w:val="000A49D8"/>
    <w:rsid w:val="000A5012"/>
    <w:rsid w:val="000A621B"/>
    <w:rsid w:val="000A6343"/>
    <w:rsid w:val="000A6BA3"/>
    <w:rsid w:val="000A6E7C"/>
    <w:rsid w:val="000A6F97"/>
    <w:rsid w:val="000A7219"/>
    <w:rsid w:val="000A73F4"/>
    <w:rsid w:val="000A74B1"/>
    <w:rsid w:val="000A7E40"/>
    <w:rsid w:val="000A7EF2"/>
    <w:rsid w:val="000B0175"/>
    <w:rsid w:val="000B0A65"/>
    <w:rsid w:val="000B0B92"/>
    <w:rsid w:val="000B0E1C"/>
    <w:rsid w:val="000B0F7D"/>
    <w:rsid w:val="000B1A18"/>
    <w:rsid w:val="000B1B52"/>
    <w:rsid w:val="000B1CDA"/>
    <w:rsid w:val="000B1D51"/>
    <w:rsid w:val="000B1E12"/>
    <w:rsid w:val="000B23E3"/>
    <w:rsid w:val="000B24BB"/>
    <w:rsid w:val="000B2581"/>
    <w:rsid w:val="000B2949"/>
    <w:rsid w:val="000B2973"/>
    <w:rsid w:val="000B2DED"/>
    <w:rsid w:val="000B2E5F"/>
    <w:rsid w:val="000B35A6"/>
    <w:rsid w:val="000B3E3E"/>
    <w:rsid w:val="000B4069"/>
    <w:rsid w:val="000B4166"/>
    <w:rsid w:val="000B43D3"/>
    <w:rsid w:val="000B45C4"/>
    <w:rsid w:val="000B4605"/>
    <w:rsid w:val="000B477F"/>
    <w:rsid w:val="000B4C6A"/>
    <w:rsid w:val="000B4F36"/>
    <w:rsid w:val="000B517B"/>
    <w:rsid w:val="000B545E"/>
    <w:rsid w:val="000B5461"/>
    <w:rsid w:val="000B54BC"/>
    <w:rsid w:val="000B59AC"/>
    <w:rsid w:val="000B6118"/>
    <w:rsid w:val="000B6AA7"/>
    <w:rsid w:val="000B74CE"/>
    <w:rsid w:val="000B7C9D"/>
    <w:rsid w:val="000B7D2B"/>
    <w:rsid w:val="000C033F"/>
    <w:rsid w:val="000C055B"/>
    <w:rsid w:val="000C0D5C"/>
    <w:rsid w:val="000C155C"/>
    <w:rsid w:val="000C159C"/>
    <w:rsid w:val="000C163E"/>
    <w:rsid w:val="000C1880"/>
    <w:rsid w:val="000C1959"/>
    <w:rsid w:val="000C1C4B"/>
    <w:rsid w:val="000C1EF1"/>
    <w:rsid w:val="000C2383"/>
    <w:rsid w:val="000C2391"/>
    <w:rsid w:val="000C23D4"/>
    <w:rsid w:val="000C2536"/>
    <w:rsid w:val="000C2810"/>
    <w:rsid w:val="000C2CAC"/>
    <w:rsid w:val="000C3024"/>
    <w:rsid w:val="000C3246"/>
    <w:rsid w:val="000C330E"/>
    <w:rsid w:val="000C3430"/>
    <w:rsid w:val="000C347F"/>
    <w:rsid w:val="000C3A73"/>
    <w:rsid w:val="000C3C0A"/>
    <w:rsid w:val="000C3ED3"/>
    <w:rsid w:val="000C4055"/>
    <w:rsid w:val="000C43D4"/>
    <w:rsid w:val="000C47F4"/>
    <w:rsid w:val="000C4B8C"/>
    <w:rsid w:val="000C5072"/>
    <w:rsid w:val="000C5222"/>
    <w:rsid w:val="000C566B"/>
    <w:rsid w:val="000C577D"/>
    <w:rsid w:val="000C57B3"/>
    <w:rsid w:val="000C6CF5"/>
    <w:rsid w:val="000C6FE3"/>
    <w:rsid w:val="000C70FE"/>
    <w:rsid w:val="000C750E"/>
    <w:rsid w:val="000C7581"/>
    <w:rsid w:val="000C7EA3"/>
    <w:rsid w:val="000D03CC"/>
    <w:rsid w:val="000D06DA"/>
    <w:rsid w:val="000D0F18"/>
    <w:rsid w:val="000D14FA"/>
    <w:rsid w:val="000D1A83"/>
    <w:rsid w:val="000D1B56"/>
    <w:rsid w:val="000D1F6C"/>
    <w:rsid w:val="000D1F96"/>
    <w:rsid w:val="000D2458"/>
    <w:rsid w:val="000D24A2"/>
    <w:rsid w:val="000D25F9"/>
    <w:rsid w:val="000D2837"/>
    <w:rsid w:val="000D28DB"/>
    <w:rsid w:val="000D35B2"/>
    <w:rsid w:val="000D36D5"/>
    <w:rsid w:val="000D36E6"/>
    <w:rsid w:val="000D3C23"/>
    <w:rsid w:val="000D3E2F"/>
    <w:rsid w:val="000D4046"/>
    <w:rsid w:val="000D41C4"/>
    <w:rsid w:val="000D47A9"/>
    <w:rsid w:val="000D49AC"/>
    <w:rsid w:val="000D4ADC"/>
    <w:rsid w:val="000D4B0E"/>
    <w:rsid w:val="000D4C8E"/>
    <w:rsid w:val="000D529D"/>
    <w:rsid w:val="000D62B7"/>
    <w:rsid w:val="000D6665"/>
    <w:rsid w:val="000D6696"/>
    <w:rsid w:val="000D6A3C"/>
    <w:rsid w:val="000D7152"/>
    <w:rsid w:val="000D79CA"/>
    <w:rsid w:val="000D7C1B"/>
    <w:rsid w:val="000E005D"/>
    <w:rsid w:val="000E0119"/>
    <w:rsid w:val="000E04FE"/>
    <w:rsid w:val="000E05D1"/>
    <w:rsid w:val="000E091C"/>
    <w:rsid w:val="000E0A17"/>
    <w:rsid w:val="000E0C92"/>
    <w:rsid w:val="000E0F8C"/>
    <w:rsid w:val="000E10B8"/>
    <w:rsid w:val="000E1114"/>
    <w:rsid w:val="000E1468"/>
    <w:rsid w:val="000E1475"/>
    <w:rsid w:val="000E1789"/>
    <w:rsid w:val="000E1879"/>
    <w:rsid w:val="000E19E4"/>
    <w:rsid w:val="000E1C7B"/>
    <w:rsid w:val="000E236A"/>
    <w:rsid w:val="000E262A"/>
    <w:rsid w:val="000E2CDA"/>
    <w:rsid w:val="000E301E"/>
    <w:rsid w:val="000E3106"/>
    <w:rsid w:val="000E39C7"/>
    <w:rsid w:val="000E3EF7"/>
    <w:rsid w:val="000E422C"/>
    <w:rsid w:val="000E4AC2"/>
    <w:rsid w:val="000E4EDF"/>
    <w:rsid w:val="000E4F5C"/>
    <w:rsid w:val="000E5085"/>
    <w:rsid w:val="000E5399"/>
    <w:rsid w:val="000E5580"/>
    <w:rsid w:val="000E5646"/>
    <w:rsid w:val="000E609F"/>
    <w:rsid w:val="000E6969"/>
    <w:rsid w:val="000E6AD0"/>
    <w:rsid w:val="000E6BDC"/>
    <w:rsid w:val="000E6CB7"/>
    <w:rsid w:val="000E7138"/>
    <w:rsid w:val="000E720C"/>
    <w:rsid w:val="000E72DE"/>
    <w:rsid w:val="000E7627"/>
    <w:rsid w:val="000E76D0"/>
    <w:rsid w:val="000E795C"/>
    <w:rsid w:val="000E7D3E"/>
    <w:rsid w:val="000F0175"/>
    <w:rsid w:val="000F0385"/>
    <w:rsid w:val="000F1989"/>
    <w:rsid w:val="000F1C96"/>
    <w:rsid w:val="000F1CB3"/>
    <w:rsid w:val="000F2153"/>
    <w:rsid w:val="000F21C8"/>
    <w:rsid w:val="000F2298"/>
    <w:rsid w:val="000F22EF"/>
    <w:rsid w:val="000F24C5"/>
    <w:rsid w:val="000F26AE"/>
    <w:rsid w:val="000F273B"/>
    <w:rsid w:val="000F329A"/>
    <w:rsid w:val="000F360B"/>
    <w:rsid w:val="000F3D26"/>
    <w:rsid w:val="000F3E63"/>
    <w:rsid w:val="000F3F4C"/>
    <w:rsid w:val="000F3FF3"/>
    <w:rsid w:val="000F4074"/>
    <w:rsid w:val="000F41BA"/>
    <w:rsid w:val="000F4A02"/>
    <w:rsid w:val="000F4E62"/>
    <w:rsid w:val="000F52EE"/>
    <w:rsid w:val="000F5597"/>
    <w:rsid w:val="000F57CD"/>
    <w:rsid w:val="000F5937"/>
    <w:rsid w:val="000F5B1E"/>
    <w:rsid w:val="000F5B60"/>
    <w:rsid w:val="000F5FE5"/>
    <w:rsid w:val="000F606C"/>
    <w:rsid w:val="000F612E"/>
    <w:rsid w:val="000F6147"/>
    <w:rsid w:val="000F66E2"/>
    <w:rsid w:val="000F6836"/>
    <w:rsid w:val="000F694F"/>
    <w:rsid w:val="000F6A14"/>
    <w:rsid w:val="000F6B5F"/>
    <w:rsid w:val="000F7468"/>
    <w:rsid w:val="000F751C"/>
    <w:rsid w:val="000F78CA"/>
    <w:rsid w:val="000F7EAD"/>
    <w:rsid w:val="000F7F34"/>
    <w:rsid w:val="00100365"/>
    <w:rsid w:val="001008BA"/>
    <w:rsid w:val="00100A65"/>
    <w:rsid w:val="00100AE1"/>
    <w:rsid w:val="00100E24"/>
    <w:rsid w:val="0010153E"/>
    <w:rsid w:val="0010180C"/>
    <w:rsid w:val="0010193E"/>
    <w:rsid w:val="00101D1B"/>
    <w:rsid w:val="00101DE4"/>
    <w:rsid w:val="00101FA6"/>
    <w:rsid w:val="00102918"/>
    <w:rsid w:val="00102D06"/>
    <w:rsid w:val="0010300D"/>
    <w:rsid w:val="00103855"/>
    <w:rsid w:val="00103A7B"/>
    <w:rsid w:val="00103DFB"/>
    <w:rsid w:val="00103E2C"/>
    <w:rsid w:val="00104078"/>
    <w:rsid w:val="001042DF"/>
    <w:rsid w:val="0010457B"/>
    <w:rsid w:val="00104A3D"/>
    <w:rsid w:val="00104B2A"/>
    <w:rsid w:val="00104D66"/>
    <w:rsid w:val="0010545D"/>
    <w:rsid w:val="00105990"/>
    <w:rsid w:val="001059E2"/>
    <w:rsid w:val="00105AA3"/>
    <w:rsid w:val="00105E20"/>
    <w:rsid w:val="001060B8"/>
    <w:rsid w:val="0010623E"/>
    <w:rsid w:val="001064FD"/>
    <w:rsid w:val="00106567"/>
    <w:rsid w:val="00106989"/>
    <w:rsid w:val="00106B0F"/>
    <w:rsid w:val="00106C29"/>
    <w:rsid w:val="00106E8B"/>
    <w:rsid w:val="00107565"/>
    <w:rsid w:val="00107811"/>
    <w:rsid w:val="001078DF"/>
    <w:rsid w:val="0010799B"/>
    <w:rsid w:val="00107A70"/>
    <w:rsid w:val="0011000D"/>
    <w:rsid w:val="0011014D"/>
    <w:rsid w:val="00110212"/>
    <w:rsid w:val="00110397"/>
    <w:rsid w:val="001104AC"/>
    <w:rsid w:val="00110A04"/>
    <w:rsid w:val="00110A6C"/>
    <w:rsid w:val="00110AE4"/>
    <w:rsid w:val="00110FD9"/>
    <w:rsid w:val="0011108D"/>
    <w:rsid w:val="001110EA"/>
    <w:rsid w:val="001110EB"/>
    <w:rsid w:val="00111FEF"/>
    <w:rsid w:val="00112090"/>
    <w:rsid w:val="0011221C"/>
    <w:rsid w:val="001125DC"/>
    <w:rsid w:val="00112783"/>
    <w:rsid w:val="00112E1C"/>
    <w:rsid w:val="00112F62"/>
    <w:rsid w:val="001134B2"/>
    <w:rsid w:val="00113638"/>
    <w:rsid w:val="00113A8D"/>
    <w:rsid w:val="00113C9F"/>
    <w:rsid w:val="00114195"/>
    <w:rsid w:val="00114730"/>
    <w:rsid w:val="001149A4"/>
    <w:rsid w:val="00114A0C"/>
    <w:rsid w:val="0011504D"/>
    <w:rsid w:val="001151E0"/>
    <w:rsid w:val="001152AC"/>
    <w:rsid w:val="001153E5"/>
    <w:rsid w:val="00115455"/>
    <w:rsid w:val="001154E1"/>
    <w:rsid w:val="0011563A"/>
    <w:rsid w:val="001159A9"/>
    <w:rsid w:val="00115E04"/>
    <w:rsid w:val="00116849"/>
    <w:rsid w:val="00116DCA"/>
    <w:rsid w:val="001170FF"/>
    <w:rsid w:val="0011745A"/>
    <w:rsid w:val="00117659"/>
    <w:rsid w:val="00117CA9"/>
    <w:rsid w:val="00117ED1"/>
    <w:rsid w:val="00120445"/>
    <w:rsid w:val="00120647"/>
    <w:rsid w:val="001208B0"/>
    <w:rsid w:val="00120CE1"/>
    <w:rsid w:val="00120DBB"/>
    <w:rsid w:val="001210CA"/>
    <w:rsid w:val="001212C0"/>
    <w:rsid w:val="001212F3"/>
    <w:rsid w:val="00121405"/>
    <w:rsid w:val="00121491"/>
    <w:rsid w:val="0012168A"/>
    <w:rsid w:val="00121959"/>
    <w:rsid w:val="00121D6A"/>
    <w:rsid w:val="001220E6"/>
    <w:rsid w:val="00122F25"/>
    <w:rsid w:val="00123A00"/>
    <w:rsid w:val="00123CCD"/>
    <w:rsid w:val="00123FAA"/>
    <w:rsid w:val="0012448B"/>
    <w:rsid w:val="001246A4"/>
    <w:rsid w:val="001248AC"/>
    <w:rsid w:val="00124945"/>
    <w:rsid w:val="00124B73"/>
    <w:rsid w:val="00124CE5"/>
    <w:rsid w:val="00124DCE"/>
    <w:rsid w:val="00124DE0"/>
    <w:rsid w:val="001252A1"/>
    <w:rsid w:val="00125439"/>
    <w:rsid w:val="00125A96"/>
    <w:rsid w:val="00125AB6"/>
    <w:rsid w:val="00125C71"/>
    <w:rsid w:val="00125F1E"/>
    <w:rsid w:val="001263AF"/>
    <w:rsid w:val="001266B6"/>
    <w:rsid w:val="00126A14"/>
    <w:rsid w:val="00126B8B"/>
    <w:rsid w:val="0012704B"/>
    <w:rsid w:val="001271C3"/>
    <w:rsid w:val="001273B2"/>
    <w:rsid w:val="0012740E"/>
    <w:rsid w:val="00127487"/>
    <w:rsid w:val="00127858"/>
    <w:rsid w:val="00127E71"/>
    <w:rsid w:val="00127F6D"/>
    <w:rsid w:val="00130221"/>
    <w:rsid w:val="001302C0"/>
    <w:rsid w:val="001304FF"/>
    <w:rsid w:val="001308CD"/>
    <w:rsid w:val="00131447"/>
    <w:rsid w:val="00131B3D"/>
    <w:rsid w:val="00131D00"/>
    <w:rsid w:val="00131D7E"/>
    <w:rsid w:val="00132311"/>
    <w:rsid w:val="001323DC"/>
    <w:rsid w:val="001327E6"/>
    <w:rsid w:val="0013294E"/>
    <w:rsid w:val="00132AC4"/>
    <w:rsid w:val="00132C83"/>
    <w:rsid w:val="0013302D"/>
    <w:rsid w:val="00133448"/>
    <w:rsid w:val="00133A84"/>
    <w:rsid w:val="00133D40"/>
    <w:rsid w:val="00133D78"/>
    <w:rsid w:val="00133E4B"/>
    <w:rsid w:val="001340E3"/>
    <w:rsid w:val="0013413A"/>
    <w:rsid w:val="00134217"/>
    <w:rsid w:val="00134422"/>
    <w:rsid w:val="00134481"/>
    <w:rsid w:val="00134582"/>
    <w:rsid w:val="001348FA"/>
    <w:rsid w:val="00134D05"/>
    <w:rsid w:val="0013547F"/>
    <w:rsid w:val="00135BDF"/>
    <w:rsid w:val="00135E98"/>
    <w:rsid w:val="00135F2E"/>
    <w:rsid w:val="00136007"/>
    <w:rsid w:val="001365C1"/>
    <w:rsid w:val="001365D7"/>
    <w:rsid w:val="0013727D"/>
    <w:rsid w:val="00137689"/>
    <w:rsid w:val="001379A4"/>
    <w:rsid w:val="00137C5D"/>
    <w:rsid w:val="00140093"/>
    <w:rsid w:val="001408FA"/>
    <w:rsid w:val="00140C5C"/>
    <w:rsid w:val="00140EA6"/>
    <w:rsid w:val="00140F4C"/>
    <w:rsid w:val="00140FF6"/>
    <w:rsid w:val="00141494"/>
    <w:rsid w:val="00141767"/>
    <w:rsid w:val="00141885"/>
    <w:rsid w:val="0014189B"/>
    <w:rsid w:val="00141965"/>
    <w:rsid w:val="00141DDD"/>
    <w:rsid w:val="00142136"/>
    <w:rsid w:val="001421FA"/>
    <w:rsid w:val="001426E7"/>
    <w:rsid w:val="00142DDB"/>
    <w:rsid w:val="00142E18"/>
    <w:rsid w:val="00143186"/>
    <w:rsid w:val="00143BD4"/>
    <w:rsid w:val="00143EEF"/>
    <w:rsid w:val="00144233"/>
    <w:rsid w:val="001444EA"/>
    <w:rsid w:val="00144581"/>
    <w:rsid w:val="00144A81"/>
    <w:rsid w:val="00144C8C"/>
    <w:rsid w:val="00145046"/>
    <w:rsid w:val="00145879"/>
    <w:rsid w:val="0014589B"/>
    <w:rsid w:val="001458E1"/>
    <w:rsid w:val="00145BCE"/>
    <w:rsid w:val="00145BDF"/>
    <w:rsid w:val="00146079"/>
    <w:rsid w:val="001464D6"/>
    <w:rsid w:val="001465F3"/>
    <w:rsid w:val="00146709"/>
    <w:rsid w:val="0014696B"/>
    <w:rsid w:val="00146DBF"/>
    <w:rsid w:val="001472F1"/>
    <w:rsid w:val="00147395"/>
    <w:rsid w:val="001476E8"/>
    <w:rsid w:val="001477B7"/>
    <w:rsid w:val="0014789B"/>
    <w:rsid w:val="00147AB3"/>
    <w:rsid w:val="00147ACB"/>
    <w:rsid w:val="00147F93"/>
    <w:rsid w:val="0015012C"/>
    <w:rsid w:val="001501C9"/>
    <w:rsid w:val="001509A6"/>
    <w:rsid w:val="001509EF"/>
    <w:rsid w:val="00150EFD"/>
    <w:rsid w:val="00151010"/>
    <w:rsid w:val="001510FB"/>
    <w:rsid w:val="001512E2"/>
    <w:rsid w:val="00152093"/>
    <w:rsid w:val="0015274B"/>
    <w:rsid w:val="00152772"/>
    <w:rsid w:val="00152D37"/>
    <w:rsid w:val="001532FB"/>
    <w:rsid w:val="00153465"/>
    <w:rsid w:val="001535D8"/>
    <w:rsid w:val="001538D6"/>
    <w:rsid w:val="00153B25"/>
    <w:rsid w:val="00153D12"/>
    <w:rsid w:val="00153E2E"/>
    <w:rsid w:val="001542F7"/>
    <w:rsid w:val="001543A5"/>
    <w:rsid w:val="001543AA"/>
    <w:rsid w:val="001548E9"/>
    <w:rsid w:val="00154917"/>
    <w:rsid w:val="001549E2"/>
    <w:rsid w:val="00154B60"/>
    <w:rsid w:val="00154E1A"/>
    <w:rsid w:val="00154F05"/>
    <w:rsid w:val="0015559E"/>
    <w:rsid w:val="001559FA"/>
    <w:rsid w:val="00156002"/>
    <w:rsid w:val="0015635C"/>
    <w:rsid w:val="00156AF5"/>
    <w:rsid w:val="00156EA4"/>
    <w:rsid w:val="0015761D"/>
    <w:rsid w:val="00157A46"/>
    <w:rsid w:val="00157C0F"/>
    <w:rsid w:val="00157D61"/>
    <w:rsid w:val="00157FE9"/>
    <w:rsid w:val="001601ED"/>
    <w:rsid w:val="00160278"/>
    <w:rsid w:val="001603E5"/>
    <w:rsid w:val="00160E54"/>
    <w:rsid w:val="001619EB"/>
    <w:rsid w:val="00161AB2"/>
    <w:rsid w:val="00161B10"/>
    <w:rsid w:val="00161E13"/>
    <w:rsid w:val="0016221D"/>
    <w:rsid w:val="00162833"/>
    <w:rsid w:val="001628E2"/>
    <w:rsid w:val="0016295E"/>
    <w:rsid w:val="00162C5E"/>
    <w:rsid w:val="0016304F"/>
    <w:rsid w:val="00163495"/>
    <w:rsid w:val="00163C99"/>
    <w:rsid w:val="0016402A"/>
    <w:rsid w:val="001645FF"/>
    <w:rsid w:val="00164BBE"/>
    <w:rsid w:val="00164CA2"/>
    <w:rsid w:val="00164F73"/>
    <w:rsid w:val="001650EF"/>
    <w:rsid w:val="001653C3"/>
    <w:rsid w:val="00165480"/>
    <w:rsid w:val="001656CC"/>
    <w:rsid w:val="00165A22"/>
    <w:rsid w:val="0016603F"/>
    <w:rsid w:val="0016627E"/>
    <w:rsid w:val="001663B1"/>
    <w:rsid w:val="00166434"/>
    <w:rsid w:val="00166552"/>
    <w:rsid w:val="00166A1A"/>
    <w:rsid w:val="00167387"/>
    <w:rsid w:val="0016775C"/>
    <w:rsid w:val="0016790E"/>
    <w:rsid w:val="001707E2"/>
    <w:rsid w:val="00170F77"/>
    <w:rsid w:val="00171335"/>
    <w:rsid w:val="00171499"/>
    <w:rsid w:val="001714DC"/>
    <w:rsid w:val="00171534"/>
    <w:rsid w:val="00171C8C"/>
    <w:rsid w:val="00171E37"/>
    <w:rsid w:val="00171F6B"/>
    <w:rsid w:val="00172084"/>
    <w:rsid w:val="0017253D"/>
    <w:rsid w:val="00172617"/>
    <w:rsid w:val="00172B3F"/>
    <w:rsid w:val="00172B55"/>
    <w:rsid w:val="00172BDD"/>
    <w:rsid w:val="00172CC4"/>
    <w:rsid w:val="0017337E"/>
    <w:rsid w:val="00173480"/>
    <w:rsid w:val="00173667"/>
    <w:rsid w:val="00173729"/>
    <w:rsid w:val="00173812"/>
    <w:rsid w:val="00174034"/>
    <w:rsid w:val="0017456F"/>
    <w:rsid w:val="00174594"/>
    <w:rsid w:val="0017484C"/>
    <w:rsid w:val="001748FA"/>
    <w:rsid w:val="001749A4"/>
    <w:rsid w:val="00174B16"/>
    <w:rsid w:val="00174B1E"/>
    <w:rsid w:val="00174C77"/>
    <w:rsid w:val="00174CCA"/>
    <w:rsid w:val="00174F36"/>
    <w:rsid w:val="0017519D"/>
    <w:rsid w:val="001751F1"/>
    <w:rsid w:val="001752FE"/>
    <w:rsid w:val="001757AE"/>
    <w:rsid w:val="00175BB3"/>
    <w:rsid w:val="00175CE6"/>
    <w:rsid w:val="00175EA2"/>
    <w:rsid w:val="00176164"/>
    <w:rsid w:val="00176493"/>
    <w:rsid w:val="001766FA"/>
    <w:rsid w:val="0017694E"/>
    <w:rsid w:val="00176B7B"/>
    <w:rsid w:val="00176BBE"/>
    <w:rsid w:val="00177576"/>
    <w:rsid w:val="001776E7"/>
    <w:rsid w:val="00177835"/>
    <w:rsid w:val="00177856"/>
    <w:rsid w:val="00177981"/>
    <w:rsid w:val="00177DDA"/>
    <w:rsid w:val="0017A4AC"/>
    <w:rsid w:val="0018000A"/>
    <w:rsid w:val="001801D3"/>
    <w:rsid w:val="0018090A"/>
    <w:rsid w:val="00180F56"/>
    <w:rsid w:val="00180F96"/>
    <w:rsid w:val="00181814"/>
    <w:rsid w:val="00181B81"/>
    <w:rsid w:val="00181D4F"/>
    <w:rsid w:val="00181D80"/>
    <w:rsid w:val="00182291"/>
    <w:rsid w:val="00183111"/>
    <w:rsid w:val="00183F8B"/>
    <w:rsid w:val="0018408B"/>
    <w:rsid w:val="00184159"/>
    <w:rsid w:val="00184F85"/>
    <w:rsid w:val="00185122"/>
    <w:rsid w:val="00185204"/>
    <w:rsid w:val="00185C7C"/>
    <w:rsid w:val="00185F4E"/>
    <w:rsid w:val="001861FE"/>
    <w:rsid w:val="00186208"/>
    <w:rsid w:val="001865AD"/>
    <w:rsid w:val="00186B7D"/>
    <w:rsid w:val="00186E31"/>
    <w:rsid w:val="00186F30"/>
    <w:rsid w:val="00187017"/>
    <w:rsid w:val="0018714E"/>
    <w:rsid w:val="0018721A"/>
    <w:rsid w:val="00187372"/>
    <w:rsid w:val="0018752B"/>
    <w:rsid w:val="0018753B"/>
    <w:rsid w:val="0018773C"/>
    <w:rsid w:val="00187B6C"/>
    <w:rsid w:val="00187C14"/>
    <w:rsid w:val="00187C6F"/>
    <w:rsid w:val="00190106"/>
    <w:rsid w:val="00190674"/>
    <w:rsid w:val="00190922"/>
    <w:rsid w:val="001909FA"/>
    <w:rsid w:val="00190C1F"/>
    <w:rsid w:val="00190FF3"/>
    <w:rsid w:val="00191700"/>
    <w:rsid w:val="001917C0"/>
    <w:rsid w:val="00191B15"/>
    <w:rsid w:val="00192943"/>
    <w:rsid w:val="00192D5B"/>
    <w:rsid w:val="00192E0A"/>
    <w:rsid w:val="001931AC"/>
    <w:rsid w:val="0019321E"/>
    <w:rsid w:val="001932D6"/>
    <w:rsid w:val="00193304"/>
    <w:rsid w:val="001934CC"/>
    <w:rsid w:val="00193787"/>
    <w:rsid w:val="00193C68"/>
    <w:rsid w:val="00193CE1"/>
    <w:rsid w:val="00193E81"/>
    <w:rsid w:val="0019414B"/>
    <w:rsid w:val="0019449C"/>
    <w:rsid w:val="0019451E"/>
    <w:rsid w:val="001945E7"/>
    <w:rsid w:val="00194A10"/>
    <w:rsid w:val="00194B77"/>
    <w:rsid w:val="00194BB3"/>
    <w:rsid w:val="00194C84"/>
    <w:rsid w:val="00194F29"/>
    <w:rsid w:val="00195039"/>
    <w:rsid w:val="00195228"/>
    <w:rsid w:val="00195336"/>
    <w:rsid w:val="00195A3A"/>
    <w:rsid w:val="00195D6E"/>
    <w:rsid w:val="00195F7E"/>
    <w:rsid w:val="001960E7"/>
    <w:rsid w:val="00196285"/>
    <w:rsid w:val="00196B32"/>
    <w:rsid w:val="00196BF6"/>
    <w:rsid w:val="00196D4B"/>
    <w:rsid w:val="00197A1B"/>
    <w:rsid w:val="00197AEB"/>
    <w:rsid w:val="001A069C"/>
    <w:rsid w:val="001A08FC"/>
    <w:rsid w:val="001A0935"/>
    <w:rsid w:val="001A0977"/>
    <w:rsid w:val="001A0D51"/>
    <w:rsid w:val="001A0FEC"/>
    <w:rsid w:val="001A1530"/>
    <w:rsid w:val="001A1681"/>
    <w:rsid w:val="001A1CA5"/>
    <w:rsid w:val="001A1D9B"/>
    <w:rsid w:val="001A2873"/>
    <w:rsid w:val="001A2B28"/>
    <w:rsid w:val="001A3263"/>
    <w:rsid w:val="001A32BE"/>
    <w:rsid w:val="001A3399"/>
    <w:rsid w:val="001A34C0"/>
    <w:rsid w:val="001A3CA1"/>
    <w:rsid w:val="001A3E4A"/>
    <w:rsid w:val="001A437B"/>
    <w:rsid w:val="001A440F"/>
    <w:rsid w:val="001A492E"/>
    <w:rsid w:val="001A493B"/>
    <w:rsid w:val="001A4A11"/>
    <w:rsid w:val="001A4A20"/>
    <w:rsid w:val="001A4A6E"/>
    <w:rsid w:val="001A4EFA"/>
    <w:rsid w:val="001A5013"/>
    <w:rsid w:val="001A56DF"/>
    <w:rsid w:val="001A6296"/>
    <w:rsid w:val="001A6A80"/>
    <w:rsid w:val="001A6B29"/>
    <w:rsid w:val="001A6E17"/>
    <w:rsid w:val="001A6EAE"/>
    <w:rsid w:val="001A7046"/>
    <w:rsid w:val="001A71E6"/>
    <w:rsid w:val="001A742E"/>
    <w:rsid w:val="001A7815"/>
    <w:rsid w:val="001A7864"/>
    <w:rsid w:val="001A7A10"/>
    <w:rsid w:val="001A7D0C"/>
    <w:rsid w:val="001B018F"/>
    <w:rsid w:val="001B01AB"/>
    <w:rsid w:val="001B0237"/>
    <w:rsid w:val="001B0269"/>
    <w:rsid w:val="001B06FE"/>
    <w:rsid w:val="001B10B4"/>
    <w:rsid w:val="001B11C8"/>
    <w:rsid w:val="001B19CC"/>
    <w:rsid w:val="001B1CC6"/>
    <w:rsid w:val="001B2767"/>
    <w:rsid w:val="001B28E4"/>
    <w:rsid w:val="001B2B97"/>
    <w:rsid w:val="001B2D13"/>
    <w:rsid w:val="001B2EBF"/>
    <w:rsid w:val="001B2EF3"/>
    <w:rsid w:val="001B31C6"/>
    <w:rsid w:val="001B32A2"/>
    <w:rsid w:val="001B33E7"/>
    <w:rsid w:val="001B3BB0"/>
    <w:rsid w:val="001B3D40"/>
    <w:rsid w:val="001B43D0"/>
    <w:rsid w:val="001B4515"/>
    <w:rsid w:val="001B4584"/>
    <w:rsid w:val="001B4717"/>
    <w:rsid w:val="001B4D6E"/>
    <w:rsid w:val="001B4D88"/>
    <w:rsid w:val="001B500B"/>
    <w:rsid w:val="001B515E"/>
    <w:rsid w:val="001B5199"/>
    <w:rsid w:val="001B571A"/>
    <w:rsid w:val="001B59DE"/>
    <w:rsid w:val="001B5A83"/>
    <w:rsid w:val="001B5C3B"/>
    <w:rsid w:val="001B5C82"/>
    <w:rsid w:val="001B5E19"/>
    <w:rsid w:val="001B603E"/>
    <w:rsid w:val="001B6B01"/>
    <w:rsid w:val="001B6E9D"/>
    <w:rsid w:val="001B6F3A"/>
    <w:rsid w:val="001B6FF5"/>
    <w:rsid w:val="001B79EE"/>
    <w:rsid w:val="001B7A96"/>
    <w:rsid w:val="001B7F01"/>
    <w:rsid w:val="001C0128"/>
    <w:rsid w:val="001C05E7"/>
    <w:rsid w:val="001C075A"/>
    <w:rsid w:val="001C0A69"/>
    <w:rsid w:val="001C0F02"/>
    <w:rsid w:val="001C1387"/>
    <w:rsid w:val="001C1851"/>
    <w:rsid w:val="001C1888"/>
    <w:rsid w:val="001C1B9A"/>
    <w:rsid w:val="001C1C2B"/>
    <w:rsid w:val="001C1C9B"/>
    <w:rsid w:val="001C210C"/>
    <w:rsid w:val="001C2122"/>
    <w:rsid w:val="001C23F1"/>
    <w:rsid w:val="001C2595"/>
    <w:rsid w:val="001C25E7"/>
    <w:rsid w:val="001C265C"/>
    <w:rsid w:val="001C2A25"/>
    <w:rsid w:val="001C2A69"/>
    <w:rsid w:val="001C2B86"/>
    <w:rsid w:val="001C2EA8"/>
    <w:rsid w:val="001C2F6C"/>
    <w:rsid w:val="001C349B"/>
    <w:rsid w:val="001C35D8"/>
    <w:rsid w:val="001C3770"/>
    <w:rsid w:val="001C3801"/>
    <w:rsid w:val="001C3A4B"/>
    <w:rsid w:val="001C3A96"/>
    <w:rsid w:val="001C3B3C"/>
    <w:rsid w:val="001C3FA6"/>
    <w:rsid w:val="001C49B6"/>
    <w:rsid w:val="001C50C6"/>
    <w:rsid w:val="001C5D90"/>
    <w:rsid w:val="001C5EC6"/>
    <w:rsid w:val="001C5F50"/>
    <w:rsid w:val="001C5FBF"/>
    <w:rsid w:val="001C66A8"/>
    <w:rsid w:val="001C66CB"/>
    <w:rsid w:val="001C6922"/>
    <w:rsid w:val="001C6AF9"/>
    <w:rsid w:val="001C6BA0"/>
    <w:rsid w:val="001C6E66"/>
    <w:rsid w:val="001C7272"/>
    <w:rsid w:val="001C741C"/>
    <w:rsid w:val="001C74AF"/>
    <w:rsid w:val="001C764B"/>
    <w:rsid w:val="001C765B"/>
    <w:rsid w:val="001C7678"/>
    <w:rsid w:val="001C7685"/>
    <w:rsid w:val="001C7810"/>
    <w:rsid w:val="001C7CB8"/>
    <w:rsid w:val="001D0019"/>
    <w:rsid w:val="001D04B0"/>
    <w:rsid w:val="001D1375"/>
    <w:rsid w:val="001D1788"/>
    <w:rsid w:val="001D1B18"/>
    <w:rsid w:val="001D24FE"/>
    <w:rsid w:val="001D2B0F"/>
    <w:rsid w:val="001D3100"/>
    <w:rsid w:val="001D31A6"/>
    <w:rsid w:val="001D381B"/>
    <w:rsid w:val="001D3838"/>
    <w:rsid w:val="001D3D6E"/>
    <w:rsid w:val="001D405D"/>
    <w:rsid w:val="001D4086"/>
    <w:rsid w:val="001D45B1"/>
    <w:rsid w:val="001D489A"/>
    <w:rsid w:val="001D57CC"/>
    <w:rsid w:val="001D59B2"/>
    <w:rsid w:val="001D5DF9"/>
    <w:rsid w:val="001D5F10"/>
    <w:rsid w:val="001D613D"/>
    <w:rsid w:val="001D62E3"/>
    <w:rsid w:val="001D66B3"/>
    <w:rsid w:val="001D6733"/>
    <w:rsid w:val="001D675A"/>
    <w:rsid w:val="001D6A5D"/>
    <w:rsid w:val="001D6EB2"/>
    <w:rsid w:val="001D72A7"/>
    <w:rsid w:val="001D736D"/>
    <w:rsid w:val="001D76A8"/>
    <w:rsid w:val="001D7A33"/>
    <w:rsid w:val="001D7AAD"/>
    <w:rsid w:val="001D7B15"/>
    <w:rsid w:val="001D7C3F"/>
    <w:rsid w:val="001E02E5"/>
    <w:rsid w:val="001E0317"/>
    <w:rsid w:val="001E0343"/>
    <w:rsid w:val="001E09F4"/>
    <w:rsid w:val="001E0D9C"/>
    <w:rsid w:val="001E1087"/>
    <w:rsid w:val="001E1175"/>
    <w:rsid w:val="001E1ACE"/>
    <w:rsid w:val="001E1FD7"/>
    <w:rsid w:val="001E2899"/>
    <w:rsid w:val="001E28B5"/>
    <w:rsid w:val="001E2934"/>
    <w:rsid w:val="001E3122"/>
    <w:rsid w:val="001E317A"/>
    <w:rsid w:val="001E325E"/>
    <w:rsid w:val="001E393C"/>
    <w:rsid w:val="001E39A5"/>
    <w:rsid w:val="001E4D16"/>
    <w:rsid w:val="001E4DA0"/>
    <w:rsid w:val="001E50AD"/>
    <w:rsid w:val="001E5172"/>
    <w:rsid w:val="001E5247"/>
    <w:rsid w:val="001E546B"/>
    <w:rsid w:val="001E55A3"/>
    <w:rsid w:val="001E5601"/>
    <w:rsid w:val="001E56DD"/>
    <w:rsid w:val="001E5AA1"/>
    <w:rsid w:val="001E5B15"/>
    <w:rsid w:val="001E5C8E"/>
    <w:rsid w:val="001E5CEE"/>
    <w:rsid w:val="001E6539"/>
    <w:rsid w:val="001E65B1"/>
    <w:rsid w:val="001E661D"/>
    <w:rsid w:val="001E66C5"/>
    <w:rsid w:val="001E686A"/>
    <w:rsid w:val="001E6B75"/>
    <w:rsid w:val="001E6C4C"/>
    <w:rsid w:val="001E6CF9"/>
    <w:rsid w:val="001E6F7A"/>
    <w:rsid w:val="001E729A"/>
    <w:rsid w:val="001E72A6"/>
    <w:rsid w:val="001E7351"/>
    <w:rsid w:val="001E7462"/>
    <w:rsid w:val="001E7474"/>
    <w:rsid w:val="001E75DE"/>
    <w:rsid w:val="001E76CE"/>
    <w:rsid w:val="001E78C6"/>
    <w:rsid w:val="001E79CE"/>
    <w:rsid w:val="001E7B71"/>
    <w:rsid w:val="001E7D30"/>
    <w:rsid w:val="001F0193"/>
    <w:rsid w:val="001F05CE"/>
    <w:rsid w:val="001F05FC"/>
    <w:rsid w:val="001F06A7"/>
    <w:rsid w:val="001F074D"/>
    <w:rsid w:val="001F0852"/>
    <w:rsid w:val="001F0B4B"/>
    <w:rsid w:val="001F0E36"/>
    <w:rsid w:val="001F0EF8"/>
    <w:rsid w:val="001F14F8"/>
    <w:rsid w:val="001F17DB"/>
    <w:rsid w:val="001F1AA7"/>
    <w:rsid w:val="001F1C9B"/>
    <w:rsid w:val="001F1F55"/>
    <w:rsid w:val="001F21E7"/>
    <w:rsid w:val="001F2218"/>
    <w:rsid w:val="001F2F7B"/>
    <w:rsid w:val="001F3267"/>
    <w:rsid w:val="001F3486"/>
    <w:rsid w:val="001F3769"/>
    <w:rsid w:val="001F3A18"/>
    <w:rsid w:val="001F3AAC"/>
    <w:rsid w:val="001F3CE2"/>
    <w:rsid w:val="001F4761"/>
    <w:rsid w:val="001F4A3C"/>
    <w:rsid w:val="001F4E0C"/>
    <w:rsid w:val="001F4F8B"/>
    <w:rsid w:val="001F50CA"/>
    <w:rsid w:val="001F528B"/>
    <w:rsid w:val="001F56F2"/>
    <w:rsid w:val="001F56F8"/>
    <w:rsid w:val="001F5B17"/>
    <w:rsid w:val="001F621C"/>
    <w:rsid w:val="001F6230"/>
    <w:rsid w:val="001F62B8"/>
    <w:rsid w:val="001F6349"/>
    <w:rsid w:val="001F6F5D"/>
    <w:rsid w:val="001F7048"/>
    <w:rsid w:val="001F720C"/>
    <w:rsid w:val="001F7655"/>
    <w:rsid w:val="001F7D1B"/>
    <w:rsid w:val="001F7F29"/>
    <w:rsid w:val="002007C7"/>
    <w:rsid w:val="00200A15"/>
    <w:rsid w:val="00200A75"/>
    <w:rsid w:val="00200A8C"/>
    <w:rsid w:val="00201101"/>
    <w:rsid w:val="00201218"/>
    <w:rsid w:val="00201220"/>
    <w:rsid w:val="00201595"/>
    <w:rsid w:val="00201672"/>
    <w:rsid w:val="00201734"/>
    <w:rsid w:val="00201830"/>
    <w:rsid w:val="002019CD"/>
    <w:rsid w:val="002019FE"/>
    <w:rsid w:val="00201DB9"/>
    <w:rsid w:val="00202258"/>
    <w:rsid w:val="00202403"/>
    <w:rsid w:val="00202528"/>
    <w:rsid w:val="00202553"/>
    <w:rsid w:val="00202CCF"/>
    <w:rsid w:val="00203294"/>
    <w:rsid w:val="00203565"/>
    <w:rsid w:val="00203B64"/>
    <w:rsid w:val="00203D54"/>
    <w:rsid w:val="00203D97"/>
    <w:rsid w:val="00203EFE"/>
    <w:rsid w:val="002040DE"/>
    <w:rsid w:val="0020418B"/>
    <w:rsid w:val="0020459D"/>
    <w:rsid w:val="002049AE"/>
    <w:rsid w:val="00204A28"/>
    <w:rsid w:val="00204A63"/>
    <w:rsid w:val="00204B5E"/>
    <w:rsid w:val="00204BA5"/>
    <w:rsid w:val="00204CD9"/>
    <w:rsid w:val="00204E5E"/>
    <w:rsid w:val="00204E9D"/>
    <w:rsid w:val="00205076"/>
    <w:rsid w:val="002051C8"/>
    <w:rsid w:val="002053E7"/>
    <w:rsid w:val="00205900"/>
    <w:rsid w:val="00205E5C"/>
    <w:rsid w:val="00205FE9"/>
    <w:rsid w:val="00206518"/>
    <w:rsid w:val="00206785"/>
    <w:rsid w:val="00206A7D"/>
    <w:rsid w:val="00206D56"/>
    <w:rsid w:val="002071E3"/>
    <w:rsid w:val="002072B9"/>
    <w:rsid w:val="00207442"/>
    <w:rsid w:val="002074FA"/>
    <w:rsid w:val="00207698"/>
    <w:rsid w:val="0020777F"/>
    <w:rsid w:val="00207B6E"/>
    <w:rsid w:val="00207B7A"/>
    <w:rsid w:val="00207FEB"/>
    <w:rsid w:val="00210D35"/>
    <w:rsid w:val="00211164"/>
    <w:rsid w:val="0021120E"/>
    <w:rsid w:val="00211613"/>
    <w:rsid w:val="002118F1"/>
    <w:rsid w:val="002119FB"/>
    <w:rsid w:val="00211A7A"/>
    <w:rsid w:val="00211C50"/>
    <w:rsid w:val="00211EA1"/>
    <w:rsid w:val="00212090"/>
    <w:rsid w:val="002125B7"/>
    <w:rsid w:val="00212601"/>
    <w:rsid w:val="00212ABB"/>
    <w:rsid w:val="00212C45"/>
    <w:rsid w:val="00212C7F"/>
    <w:rsid w:val="00212CE3"/>
    <w:rsid w:val="00212EAE"/>
    <w:rsid w:val="00212F3B"/>
    <w:rsid w:val="00213065"/>
    <w:rsid w:val="002132A2"/>
    <w:rsid w:val="002133B9"/>
    <w:rsid w:val="0021357D"/>
    <w:rsid w:val="0021388B"/>
    <w:rsid w:val="002141B9"/>
    <w:rsid w:val="002141F9"/>
    <w:rsid w:val="002145E8"/>
    <w:rsid w:val="00214728"/>
    <w:rsid w:val="002147C5"/>
    <w:rsid w:val="00214B0E"/>
    <w:rsid w:val="00214C9C"/>
    <w:rsid w:val="00214D8C"/>
    <w:rsid w:val="00214EAE"/>
    <w:rsid w:val="00214FB9"/>
    <w:rsid w:val="0021507C"/>
    <w:rsid w:val="002151D6"/>
    <w:rsid w:val="00215307"/>
    <w:rsid w:val="00215329"/>
    <w:rsid w:val="00215648"/>
    <w:rsid w:val="00215915"/>
    <w:rsid w:val="00215F3C"/>
    <w:rsid w:val="00215F69"/>
    <w:rsid w:val="00215F8D"/>
    <w:rsid w:val="00216345"/>
    <w:rsid w:val="00216A73"/>
    <w:rsid w:val="00216A77"/>
    <w:rsid w:val="00217742"/>
    <w:rsid w:val="00217ABC"/>
    <w:rsid w:val="002201B6"/>
    <w:rsid w:val="0022077B"/>
    <w:rsid w:val="0022100D"/>
    <w:rsid w:val="00221083"/>
    <w:rsid w:val="002212D5"/>
    <w:rsid w:val="002212F7"/>
    <w:rsid w:val="002213AC"/>
    <w:rsid w:val="002218DA"/>
    <w:rsid w:val="00221AC2"/>
    <w:rsid w:val="00221B77"/>
    <w:rsid w:val="00221BCB"/>
    <w:rsid w:val="00221CB2"/>
    <w:rsid w:val="00222108"/>
    <w:rsid w:val="0022226A"/>
    <w:rsid w:val="0022242E"/>
    <w:rsid w:val="0022268C"/>
    <w:rsid w:val="00222E33"/>
    <w:rsid w:val="00223027"/>
    <w:rsid w:val="00223137"/>
    <w:rsid w:val="002231FC"/>
    <w:rsid w:val="00223355"/>
    <w:rsid w:val="002239DF"/>
    <w:rsid w:val="00223B36"/>
    <w:rsid w:val="00223B94"/>
    <w:rsid w:val="00223C12"/>
    <w:rsid w:val="00223D38"/>
    <w:rsid w:val="00224211"/>
    <w:rsid w:val="002248EE"/>
    <w:rsid w:val="00224AB8"/>
    <w:rsid w:val="002252CA"/>
    <w:rsid w:val="00225D1A"/>
    <w:rsid w:val="00226082"/>
    <w:rsid w:val="002261BB"/>
    <w:rsid w:val="002261C2"/>
    <w:rsid w:val="0022661B"/>
    <w:rsid w:val="00226A4C"/>
    <w:rsid w:val="00226B04"/>
    <w:rsid w:val="00226D30"/>
    <w:rsid w:val="00227135"/>
    <w:rsid w:val="002273EB"/>
    <w:rsid w:val="00230288"/>
    <w:rsid w:val="002303F5"/>
    <w:rsid w:val="00230711"/>
    <w:rsid w:val="00230884"/>
    <w:rsid w:val="00230A56"/>
    <w:rsid w:val="00230D51"/>
    <w:rsid w:val="002310AC"/>
    <w:rsid w:val="00231159"/>
    <w:rsid w:val="00231980"/>
    <w:rsid w:val="00231CF4"/>
    <w:rsid w:val="00232177"/>
    <w:rsid w:val="00232182"/>
    <w:rsid w:val="002321DD"/>
    <w:rsid w:val="00232699"/>
    <w:rsid w:val="0023287C"/>
    <w:rsid w:val="00232AD5"/>
    <w:rsid w:val="00232B91"/>
    <w:rsid w:val="00232D9A"/>
    <w:rsid w:val="002331E4"/>
    <w:rsid w:val="002332DD"/>
    <w:rsid w:val="00233517"/>
    <w:rsid w:val="00233E53"/>
    <w:rsid w:val="0023408D"/>
    <w:rsid w:val="002341CE"/>
    <w:rsid w:val="00234321"/>
    <w:rsid w:val="0023445B"/>
    <w:rsid w:val="002344E4"/>
    <w:rsid w:val="0023487F"/>
    <w:rsid w:val="002349FE"/>
    <w:rsid w:val="00234C42"/>
    <w:rsid w:val="00234C67"/>
    <w:rsid w:val="00235063"/>
    <w:rsid w:val="002352DE"/>
    <w:rsid w:val="00235678"/>
    <w:rsid w:val="002356FC"/>
    <w:rsid w:val="00235BBE"/>
    <w:rsid w:val="00235E84"/>
    <w:rsid w:val="002364C8"/>
    <w:rsid w:val="00236C41"/>
    <w:rsid w:val="00236EE9"/>
    <w:rsid w:val="0023728C"/>
    <w:rsid w:val="002377F9"/>
    <w:rsid w:val="00237893"/>
    <w:rsid w:val="002378D1"/>
    <w:rsid w:val="00237910"/>
    <w:rsid w:val="00237DF2"/>
    <w:rsid w:val="00237F21"/>
    <w:rsid w:val="002401CE"/>
    <w:rsid w:val="0024051D"/>
    <w:rsid w:val="00240B1E"/>
    <w:rsid w:val="00240CDB"/>
    <w:rsid w:val="0024101D"/>
    <w:rsid w:val="00241164"/>
    <w:rsid w:val="002413CF"/>
    <w:rsid w:val="002415D9"/>
    <w:rsid w:val="002417F9"/>
    <w:rsid w:val="00241818"/>
    <w:rsid w:val="00241B23"/>
    <w:rsid w:val="00241C23"/>
    <w:rsid w:val="00241CC1"/>
    <w:rsid w:val="00241CD4"/>
    <w:rsid w:val="00241DE9"/>
    <w:rsid w:val="002421C8"/>
    <w:rsid w:val="002422A4"/>
    <w:rsid w:val="00242421"/>
    <w:rsid w:val="0024305D"/>
    <w:rsid w:val="00243093"/>
    <w:rsid w:val="00243359"/>
    <w:rsid w:val="00243396"/>
    <w:rsid w:val="00243561"/>
    <w:rsid w:val="00243757"/>
    <w:rsid w:val="0024380B"/>
    <w:rsid w:val="00243D83"/>
    <w:rsid w:val="002440FB"/>
    <w:rsid w:val="002444EB"/>
    <w:rsid w:val="00244A95"/>
    <w:rsid w:val="0024599E"/>
    <w:rsid w:val="00245F8F"/>
    <w:rsid w:val="00246060"/>
    <w:rsid w:val="0024618C"/>
    <w:rsid w:val="00246408"/>
    <w:rsid w:val="002465B8"/>
    <w:rsid w:val="00246605"/>
    <w:rsid w:val="0024669C"/>
    <w:rsid w:val="002469D6"/>
    <w:rsid w:val="00246B3A"/>
    <w:rsid w:val="00246D5B"/>
    <w:rsid w:val="00246D72"/>
    <w:rsid w:val="00246DC8"/>
    <w:rsid w:val="0024707A"/>
    <w:rsid w:val="00247747"/>
    <w:rsid w:val="00247755"/>
    <w:rsid w:val="00247793"/>
    <w:rsid w:val="002477A3"/>
    <w:rsid w:val="00247B79"/>
    <w:rsid w:val="00247EFC"/>
    <w:rsid w:val="002500A3"/>
    <w:rsid w:val="00250146"/>
    <w:rsid w:val="00250257"/>
    <w:rsid w:val="002502F7"/>
    <w:rsid w:val="002504A1"/>
    <w:rsid w:val="0025085E"/>
    <w:rsid w:val="00250873"/>
    <w:rsid w:val="0025124D"/>
    <w:rsid w:val="002516FC"/>
    <w:rsid w:val="00251D0C"/>
    <w:rsid w:val="00251DE4"/>
    <w:rsid w:val="00251EA8"/>
    <w:rsid w:val="00251F23"/>
    <w:rsid w:val="002520FD"/>
    <w:rsid w:val="002522AD"/>
    <w:rsid w:val="00252623"/>
    <w:rsid w:val="00252706"/>
    <w:rsid w:val="00252A3B"/>
    <w:rsid w:val="00252A3C"/>
    <w:rsid w:val="00252A9E"/>
    <w:rsid w:val="00253286"/>
    <w:rsid w:val="00253650"/>
    <w:rsid w:val="00253FEC"/>
    <w:rsid w:val="002540FF"/>
    <w:rsid w:val="002548FA"/>
    <w:rsid w:val="00254CD7"/>
    <w:rsid w:val="002550B0"/>
    <w:rsid w:val="0025513A"/>
    <w:rsid w:val="002558A2"/>
    <w:rsid w:val="00255AEE"/>
    <w:rsid w:val="00255F93"/>
    <w:rsid w:val="00256054"/>
    <w:rsid w:val="00256335"/>
    <w:rsid w:val="002572E3"/>
    <w:rsid w:val="002574ED"/>
    <w:rsid w:val="00257EFA"/>
    <w:rsid w:val="002602BA"/>
    <w:rsid w:val="0026054F"/>
    <w:rsid w:val="0026055C"/>
    <w:rsid w:val="00260901"/>
    <w:rsid w:val="00260914"/>
    <w:rsid w:val="00260BF5"/>
    <w:rsid w:val="00260D9B"/>
    <w:rsid w:val="00260E66"/>
    <w:rsid w:val="0026130B"/>
    <w:rsid w:val="0026156E"/>
    <w:rsid w:val="002616DE"/>
    <w:rsid w:val="00261794"/>
    <w:rsid w:val="002618C9"/>
    <w:rsid w:val="002619C8"/>
    <w:rsid w:val="00262290"/>
    <w:rsid w:val="002623BE"/>
    <w:rsid w:val="0026258A"/>
    <w:rsid w:val="00262641"/>
    <w:rsid w:val="0026265B"/>
    <w:rsid w:val="00262827"/>
    <w:rsid w:val="00262C79"/>
    <w:rsid w:val="00263250"/>
    <w:rsid w:val="002632DF"/>
    <w:rsid w:val="002637C3"/>
    <w:rsid w:val="00263C45"/>
    <w:rsid w:val="00264122"/>
    <w:rsid w:val="002642B0"/>
    <w:rsid w:val="002645D8"/>
    <w:rsid w:val="002647C0"/>
    <w:rsid w:val="00264994"/>
    <w:rsid w:val="00264F69"/>
    <w:rsid w:val="00264F75"/>
    <w:rsid w:val="00264F91"/>
    <w:rsid w:val="002650CF"/>
    <w:rsid w:val="00265C24"/>
    <w:rsid w:val="00265FA0"/>
    <w:rsid w:val="00266096"/>
    <w:rsid w:val="00266380"/>
    <w:rsid w:val="00266418"/>
    <w:rsid w:val="002664B2"/>
    <w:rsid w:val="002669B0"/>
    <w:rsid w:val="00266B55"/>
    <w:rsid w:val="00266D2C"/>
    <w:rsid w:val="0026707C"/>
    <w:rsid w:val="00267113"/>
    <w:rsid w:val="00267417"/>
    <w:rsid w:val="002678E6"/>
    <w:rsid w:val="00267CA8"/>
    <w:rsid w:val="00267E4B"/>
    <w:rsid w:val="00267E60"/>
    <w:rsid w:val="002703FA"/>
    <w:rsid w:val="00270611"/>
    <w:rsid w:val="0027084A"/>
    <w:rsid w:val="00270884"/>
    <w:rsid w:val="00270BA9"/>
    <w:rsid w:val="002710D6"/>
    <w:rsid w:val="0027141A"/>
    <w:rsid w:val="0027154D"/>
    <w:rsid w:val="002717D2"/>
    <w:rsid w:val="00271E37"/>
    <w:rsid w:val="00271ECC"/>
    <w:rsid w:val="00271F5C"/>
    <w:rsid w:val="002721BA"/>
    <w:rsid w:val="002724C4"/>
    <w:rsid w:val="00272A28"/>
    <w:rsid w:val="00272AB4"/>
    <w:rsid w:val="002736B2"/>
    <w:rsid w:val="00273D22"/>
    <w:rsid w:val="00273FBC"/>
    <w:rsid w:val="00274067"/>
    <w:rsid w:val="00274097"/>
    <w:rsid w:val="002741C1"/>
    <w:rsid w:val="00274552"/>
    <w:rsid w:val="0027472C"/>
    <w:rsid w:val="0027474D"/>
    <w:rsid w:val="00274F36"/>
    <w:rsid w:val="002754C8"/>
    <w:rsid w:val="00275966"/>
    <w:rsid w:val="00275C74"/>
    <w:rsid w:val="00275F34"/>
    <w:rsid w:val="002761CF"/>
    <w:rsid w:val="00276996"/>
    <w:rsid w:val="00277412"/>
    <w:rsid w:val="00277850"/>
    <w:rsid w:val="00277CE2"/>
    <w:rsid w:val="00277E64"/>
    <w:rsid w:val="0028000A"/>
    <w:rsid w:val="00280A42"/>
    <w:rsid w:val="00280AC2"/>
    <w:rsid w:val="00280E23"/>
    <w:rsid w:val="00280EB3"/>
    <w:rsid w:val="0028107C"/>
    <w:rsid w:val="002810BA"/>
    <w:rsid w:val="002813A8"/>
    <w:rsid w:val="00281439"/>
    <w:rsid w:val="002814CC"/>
    <w:rsid w:val="0028163D"/>
    <w:rsid w:val="00281796"/>
    <w:rsid w:val="0028187A"/>
    <w:rsid w:val="00282044"/>
    <w:rsid w:val="002820FE"/>
    <w:rsid w:val="00282619"/>
    <w:rsid w:val="00282C57"/>
    <w:rsid w:val="00282DFB"/>
    <w:rsid w:val="00282FC4"/>
    <w:rsid w:val="00283144"/>
    <w:rsid w:val="00283558"/>
    <w:rsid w:val="00283675"/>
    <w:rsid w:val="00283D5B"/>
    <w:rsid w:val="002841E5"/>
    <w:rsid w:val="00284BAF"/>
    <w:rsid w:val="00284BBA"/>
    <w:rsid w:val="00284D7F"/>
    <w:rsid w:val="0028507F"/>
    <w:rsid w:val="00285484"/>
    <w:rsid w:val="002854DB"/>
    <w:rsid w:val="00285649"/>
    <w:rsid w:val="0028566D"/>
    <w:rsid w:val="002857CE"/>
    <w:rsid w:val="00285833"/>
    <w:rsid w:val="0028607F"/>
    <w:rsid w:val="002864CB"/>
    <w:rsid w:val="00286861"/>
    <w:rsid w:val="002868AE"/>
    <w:rsid w:val="002869A0"/>
    <w:rsid w:val="002869E9"/>
    <w:rsid w:val="0028714E"/>
    <w:rsid w:val="00287560"/>
    <w:rsid w:val="002876C8"/>
    <w:rsid w:val="00287727"/>
    <w:rsid w:val="00287C82"/>
    <w:rsid w:val="00287EC4"/>
    <w:rsid w:val="00290610"/>
    <w:rsid w:val="00290F16"/>
    <w:rsid w:val="00291059"/>
    <w:rsid w:val="00291147"/>
    <w:rsid w:val="00291645"/>
    <w:rsid w:val="00291672"/>
    <w:rsid w:val="0029172E"/>
    <w:rsid w:val="00291C3A"/>
    <w:rsid w:val="002920AE"/>
    <w:rsid w:val="00292486"/>
    <w:rsid w:val="0029255D"/>
    <w:rsid w:val="00292723"/>
    <w:rsid w:val="00292A06"/>
    <w:rsid w:val="00292BBA"/>
    <w:rsid w:val="00292CE7"/>
    <w:rsid w:val="00292E02"/>
    <w:rsid w:val="002930B5"/>
    <w:rsid w:val="002931A4"/>
    <w:rsid w:val="002931E8"/>
    <w:rsid w:val="00293339"/>
    <w:rsid w:val="002934C6"/>
    <w:rsid w:val="002935F9"/>
    <w:rsid w:val="002939F4"/>
    <w:rsid w:val="00293B23"/>
    <w:rsid w:val="00293C9F"/>
    <w:rsid w:val="00294121"/>
    <w:rsid w:val="002941F3"/>
    <w:rsid w:val="002942D9"/>
    <w:rsid w:val="0029457F"/>
    <w:rsid w:val="002947BD"/>
    <w:rsid w:val="002948A8"/>
    <w:rsid w:val="002948FB"/>
    <w:rsid w:val="002949B7"/>
    <w:rsid w:val="00294B87"/>
    <w:rsid w:val="00294F2C"/>
    <w:rsid w:val="0029590E"/>
    <w:rsid w:val="00295A51"/>
    <w:rsid w:val="00295D15"/>
    <w:rsid w:val="00295D82"/>
    <w:rsid w:val="002966F8"/>
    <w:rsid w:val="00296A22"/>
    <w:rsid w:val="00296A75"/>
    <w:rsid w:val="00296B44"/>
    <w:rsid w:val="00296D62"/>
    <w:rsid w:val="00297653"/>
    <w:rsid w:val="0029790F"/>
    <w:rsid w:val="00297BC6"/>
    <w:rsid w:val="00297D73"/>
    <w:rsid w:val="002A0C38"/>
    <w:rsid w:val="002A0EB0"/>
    <w:rsid w:val="002A106A"/>
    <w:rsid w:val="002A111C"/>
    <w:rsid w:val="002A1357"/>
    <w:rsid w:val="002A170D"/>
    <w:rsid w:val="002A183D"/>
    <w:rsid w:val="002A193F"/>
    <w:rsid w:val="002A1B3C"/>
    <w:rsid w:val="002A1D0C"/>
    <w:rsid w:val="002A2115"/>
    <w:rsid w:val="002A21AB"/>
    <w:rsid w:val="002A263D"/>
    <w:rsid w:val="002A27D2"/>
    <w:rsid w:val="002A2B3D"/>
    <w:rsid w:val="002A3310"/>
    <w:rsid w:val="002A3ACD"/>
    <w:rsid w:val="002A3CAC"/>
    <w:rsid w:val="002A3FE1"/>
    <w:rsid w:val="002A40F9"/>
    <w:rsid w:val="002A45E6"/>
    <w:rsid w:val="002A468F"/>
    <w:rsid w:val="002A4C03"/>
    <w:rsid w:val="002A523C"/>
    <w:rsid w:val="002A53FA"/>
    <w:rsid w:val="002A54C6"/>
    <w:rsid w:val="002A5FE0"/>
    <w:rsid w:val="002A63E8"/>
    <w:rsid w:val="002A64BE"/>
    <w:rsid w:val="002A6509"/>
    <w:rsid w:val="002A6556"/>
    <w:rsid w:val="002A660D"/>
    <w:rsid w:val="002A6722"/>
    <w:rsid w:val="002A67CE"/>
    <w:rsid w:val="002A6B7C"/>
    <w:rsid w:val="002A6FD4"/>
    <w:rsid w:val="002A725C"/>
    <w:rsid w:val="002A738F"/>
    <w:rsid w:val="002A74EE"/>
    <w:rsid w:val="002A756D"/>
    <w:rsid w:val="002A7762"/>
    <w:rsid w:val="002A78FC"/>
    <w:rsid w:val="002A7C78"/>
    <w:rsid w:val="002A7E95"/>
    <w:rsid w:val="002B0214"/>
    <w:rsid w:val="002B0882"/>
    <w:rsid w:val="002B0960"/>
    <w:rsid w:val="002B09E5"/>
    <w:rsid w:val="002B0D84"/>
    <w:rsid w:val="002B0E3B"/>
    <w:rsid w:val="002B0F45"/>
    <w:rsid w:val="002B1166"/>
    <w:rsid w:val="002B11ED"/>
    <w:rsid w:val="002B12AA"/>
    <w:rsid w:val="002B1808"/>
    <w:rsid w:val="002B1A92"/>
    <w:rsid w:val="002B1B76"/>
    <w:rsid w:val="002B2048"/>
    <w:rsid w:val="002B22FE"/>
    <w:rsid w:val="002B23F3"/>
    <w:rsid w:val="002B2797"/>
    <w:rsid w:val="002B288C"/>
    <w:rsid w:val="002B28C6"/>
    <w:rsid w:val="002B2B87"/>
    <w:rsid w:val="002B2E28"/>
    <w:rsid w:val="002B30DB"/>
    <w:rsid w:val="002B310F"/>
    <w:rsid w:val="002B3CCA"/>
    <w:rsid w:val="002B3DB1"/>
    <w:rsid w:val="002B3F97"/>
    <w:rsid w:val="002B41CA"/>
    <w:rsid w:val="002B44AA"/>
    <w:rsid w:val="002B451A"/>
    <w:rsid w:val="002B4AB7"/>
    <w:rsid w:val="002B4BB4"/>
    <w:rsid w:val="002B4C53"/>
    <w:rsid w:val="002B531F"/>
    <w:rsid w:val="002B5655"/>
    <w:rsid w:val="002B5B02"/>
    <w:rsid w:val="002B5B27"/>
    <w:rsid w:val="002B5C09"/>
    <w:rsid w:val="002B5CA6"/>
    <w:rsid w:val="002B5E70"/>
    <w:rsid w:val="002B62C5"/>
    <w:rsid w:val="002B64D6"/>
    <w:rsid w:val="002B782C"/>
    <w:rsid w:val="002B7B59"/>
    <w:rsid w:val="002C00CE"/>
    <w:rsid w:val="002C013E"/>
    <w:rsid w:val="002C0572"/>
    <w:rsid w:val="002C0661"/>
    <w:rsid w:val="002C0672"/>
    <w:rsid w:val="002C08AD"/>
    <w:rsid w:val="002C0C9E"/>
    <w:rsid w:val="002C1199"/>
    <w:rsid w:val="002C12B4"/>
    <w:rsid w:val="002C13CF"/>
    <w:rsid w:val="002C147B"/>
    <w:rsid w:val="002C167E"/>
    <w:rsid w:val="002C1736"/>
    <w:rsid w:val="002C1E07"/>
    <w:rsid w:val="002C1E94"/>
    <w:rsid w:val="002C2095"/>
    <w:rsid w:val="002C2221"/>
    <w:rsid w:val="002C2338"/>
    <w:rsid w:val="002C2967"/>
    <w:rsid w:val="002C2C9F"/>
    <w:rsid w:val="002C2EAA"/>
    <w:rsid w:val="002C3368"/>
    <w:rsid w:val="002C37E1"/>
    <w:rsid w:val="002C3C2E"/>
    <w:rsid w:val="002C3D28"/>
    <w:rsid w:val="002C3E4F"/>
    <w:rsid w:val="002C47EA"/>
    <w:rsid w:val="002C4BA4"/>
    <w:rsid w:val="002C5078"/>
    <w:rsid w:val="002C5355"/>
    <w:rsid w:val="002C5592"/>
    <w:rsid w:val="002C5BA0"/>
    <w:rsid w:val="002C5BFA"/>
    <w:rsid w:val="002C6042"/>
    <w:rsid w:val="002C62A7"/>
    <w:rsid w:val="002C6396"/>
    <w:rsid w:val="002C6901"/>
    <w:rsid w:val="002C6ABD"/>
    <w:rsid w:val="002C6B8B"/>
    <w:rsid w:val="002C6E0D"/>
    <w:rsid w:val="002C700E"/>
    <w:rsid w:val="002C746D"/>
    <w:rsid w:val="002C7580"/>
    <w:rsid w:val="002C7803"/>
    <w:rsid w:val="002C7A9B"/>
    <w:rsid w:val="002C7CA0"/>
    <w:rsid w:val="002C7E0F"/>
    <w:rsid w:val="002D0127"/>
    <w:rsid w:val="002D0191"/>
    <w:rsid w:val="002D01F8"/>
    <w:rsid w:val="002D0A0E"/>
    <w:rsid w:val="002D0B07"/>
    <w:rsid w:val="002D0C82"/>
    <w:rsid w:val="002D114A"/>
    <w:rsid w:val="002D15BB"/>
    <w:rsid w:val="002D1827"/>
    <w:rsid w:val="002D1E6F"/>
    <w:rsid w:val="002D1FE0"/>
    <w:rsid w:val="002D205C"/>
    <w:rsid w:val="002D261E"/>
    <w:rsid w:val="002D2646"/>
    <w:rsid w:val="002D31B1"/>
    <w:rsid w:val="002D3205"/>
    <w:rsid w:val="002D3DB9"/>
    <w:rsid w:val="002D4051"/>
    <w:rsid w:val="002D420E"/>
    <w:rsid w:val="002D42BE"/>
    <w:rsid w:val="002D460D"/>
    <w:rsid w:val="002D46C6"/>
    <w:rsid w:val="002D4989"/>
    <w:rsid w:val="002D4AEB"/>
    <w:rsid w:val="002D4ED4"/>
    <w:rsid w:val="002D560D"/>
    <w:rsid w:val="002D588E"/>
    <w:rsid w:val="002D5D1B"/>
    <w:rsid w:val="002D619A"/>
    <w:rsid w:val="002D61A7"/>
    <w:rsid w:val="002D627C"/>
    <w:rsid w:val="002D65BE"/>
    <w:rsid w:val="002D67CD"/>
    <w:rsid w:val="002D67D6"/>
    <w:rsid w:val="002D685F"/>
    <w:rsid w:val="002D68D9"/>
    <w:rsid w:val="002D69B4"/>
    <w:rsid w:val="002D6A8C"/>
    <w:rsid w:val="002D6C03"/>
    <w:rsid w:val="002D7076"/>
    <w:rsid w:val="002D71B2"/>
    <w:rsid w:val="002D7364"/>
    <w:rsid w:val="002D75F2"/>
    <w:rsid w:val="002D7A3B"/>
    <w:rsid w:val="002D7DDF"/>
    <w:rsid w:val="002E03DF"/>
    <w:rsid w:val="002E0690"/>
    <w:rsid w:val="002E07CA"/>
    <w:rsid w:val="002E0846"/>
    <w:rsid w:val="002E0D10"/>
    <w:rsid w:val="002E1472"/>
    <w:rsid w:val="002E17DD"/>
    <w:rsid w:val="002E1844"/>
    <w:rsid w:val="002E2020"/>
    <w:rsid w:val="002E2038"/>
    <w:rsid w:val="002E245A"/>
    <w:rsid w:val="002E24A3"/>
    <w:rsid w:val="002E28C0"/>
    <w:rsid w:val="002E2942"/>
    <w:rsid w:val="002E2DE5"/>
    <w:rsid w:val="002E2E6F"/>
    <w:rsid w:val="002E2FBE"/>
    <w:rsid w:val="002E39D4"/>
    <w:rsid w:val="002E4FA0"/>
    <w:rsid w:val="002E50B1"/>
    <w:rsid w:val="002E50E1"/>
    <w:rsid w:val="002E510D"/>
    <w:rsid w:val="002E5372"/>
    <w:rsid w:val="002E53EA"/>
    <w:rsid w:val="002E568C"/>
    <w:rsid w:val="002E577A"/>
    <w:rsid w:val="002E5844"/>
    <w:rsid w:val="002E5BD5"/>
    <w:rsid w:val="002E5D61"/>
    <w:rsid w:val="002E5EA3"/>
    <w:rsid w:val="002E66F8"/>
    <w:rsid w:val="002E67E8"/>
    <w:rsid w:val="002E6B7F"/>
    <w:rsid w:val="002E6C10"/>
    <w:rsid w:val="002E6D15"/>
    <w:rsid w:val="002E6D84"/>
    <w:rsid w:val="002E7221"/>
    <w:rsid w:val="002E732D"/>
    <w:rsid w:val="002E77B1"/>
    <w:rsid w:val="002E7ACD"/>
    <w:rsid w:val="002E7C23"/>
    <w:rsid w:val="002F05E9"/>
    <w:rsid w:val="002F0C3E"/>
    <w:rsid w:val="002F0EA4"/>
    <w:rsid w:val="002F0F46"/>
    <w:rsid w:val="002F103E"/>
    <w:rsid w:val="002F1342"/>
    <w:rsid w:val="002F178D"/>
    <w:rsid w:val="002F18BF"/>
    <w:rsid w:val="002F19F3"/>
    <w:rsid w:val="002F2286"/>
    <w:rsid w:val="002F24B3"/>
    <w:rsid w:val="002F2571"/>
    <w:rsid w:val="002F28D2"/>
    <w:rsid w:val="002F3037"/>
    <w:rsid w:val="002F31F0"/>
    <w:rsid w:val="002F3496"/>
    <w:rsid w:val="002F38E8"/>
    <w:rsid w:val="002F3DA8"/>
    <w:rsid w:val="002F401C"/>
    <w:rsid w:val="002F40A5"/>
    <w:rsid w:val="002F41B3"/>
    <w:rsid w:val="002F4236"/>
    <w:rsid w:val="002F458B"/>
    <w:rsid w:val="002F45C0"/>
    <w:rsid w:val="002F4962"/>
    <w:rsid w:val="002F4A5C"/>
    <w:rsid w:val="002F4DC3"/>
    <w:rsid w:val="002F4DF9"/>
    <w:rsid w:val="002F4E05"/>
    <w:rsid w:val="002F5B37"/>
    <w:rsid w:val="002F5BBF"/>
    <w:rsid w:val="002F5BDF"/>
    <w:rsid w:val="002F6550"/>
    <w:rsid w:val="002F661C"/>
    <w:rsid w:val="002F6762"/>
    <w:rsid w:val="002F6771"/>
    <w:rsid w:val="002F679F"/>
    <w:rsid w:val="002F6EF3"/>
    <w:rsid w:val="002F6F1F"/>
    <w:rsid w:val="002F6F70"/>
    <w:rsid w:val="002F7136"/>
    <w:rsid w:val="002F7328"/>
    <w:rsid w:val="002F78C4"/>
    <w:rsid w:val="002F7C3A"/>
    <w:rsid w:val="002F7D71"/>
    <w:rsid w:val="003003C8"/>
    <w:rsid w:val="00300589"/>
    <w:rsid w:val="00300DB0"/>
    <w:rsid w:val="003013A3"/>
    <w:rsid w:val="003013D5"/>
    <w:rsid w:val="003016B0"/>
    <w:rsid w:val="00301807"/>
    <w:rsid w:val="0030181C"/>
    <w:rsid w:val="00301C76"/>
    <w:rsid w:val="0030206B"/>
    <w:rsid w:val="00302645"/>
    <w:rsid w:val="003026F5"/>
    <w:rsid w:val="003026F8"/>
    <w:rsid w:val="00302948"/>
    <w:rsid w:val="00302A70"/>
    <w:rsid w:val="00302C9F"/>
    <w:rsid w:val="003033AD"/>
    <w:rsid w:val="00303CF5"/>
    <w:rsid w:val="00303F98"/>
    <w:rsid w:val="003042A1"/>
    <w:rsid w:val="003042A5"/>
    <w:rsid w:val="0030436A"/>
    <w:rsid w:val="00304ADF"/>
    <w:rsid w:val="00304B8A"/>
    <w:rsid w:val="00304C00"/>
    <w:rsid w:val="00304CBE"/>
    <w:rsid w:val="00305041"/>
    <w:rsid w:val="003050F4"/>
    <w:rsid w:val="003061BE"/>
    <w:rsid w:val="00306793"/>
    <w:rsid w:val="00306979"/>
    <w:rsid w:val="003069CB"/>
    <w:rsid w:val="00306A18"/>
    <w:rsid w:val="00306B48"/>
    <w:rsid w:val="00306B52"/>
    <w:rsid w:val="00306C3F"/>
    <w:rsid w:val="0030753C"/>
    <w:rsid w:val="0030757F"/>
    <w:rsid w:val="0030765B"/>
    <w:rsid w:val="00307894"/>
    <w:rsid w:val="00307ACA"/>
    <w:rsid w:val="00307C57"/>
    <w:rsid w:val="00310242"/>
    <w:rsid w:val="003103DF"/>
    <w:rsid w:val="003112C3"/>
    <w:rsid w:val="003112DA"/>
    <w:rsid w:val="0031191E"/>
    <w:rsid w:val="00311ABA"/>
    <w:rsid w:val="00311B72"/>
    <w:rsid w:val="00312014"/>
    <w:rsid w:val="00312049"/>
    <w:rsid w:val="003123F8"/>
    <w:rsid w:val="00312464"/>
    <w:rsid w:val="00312978"/>
    <w:rsid w:val="003129E4"/>
    <w:rsid w:val="00313119"/>
    <w:rsid w:val="003131CA"/>
    <w:rsid w:val="00313207"/>
    <w:rsid w:val="00313214"/>
    <w:rsid w:val="00313528"/>
    <w:rsid w:val="00313699"/>
    <w:rsid w:val="0031377B"/>
    <w:rsid w:val="003139BD"/>
    <w:rsid w:val="00313EC2"/>
    <w:rsid w:val="00313FA9"/>
    <w:rsid w:val="00314D01"/>
    <w:rsid w:val="00314D97"/>
    <w:rsid w:val="003150B6"/>
    <w:rsid w:val="0031511C"/>
    <w:rsid w:val="00315308"/>
    <w:rsid w:val="00315D8C"/>
    <w:rsid w:val="003162FD"/>
    <w:rsid w:val="00316489"/>
    <w:rsid w:val="0031662A"/>
    <w:rsid w:val="00316639"/>
    <w:rsid w:val="003167C1"/>
    <w:rsid w:val="00316874"/>
    <w:rsid w:val="00316C5A"/>
    <w:rsid w:val="00316F37"/>
    <w:rsid w:val="003176B7"/>
    <w:rsid w:val="0031784A"/>
    <w:rsid w:val="00317899"/>
    <w:rsid w:val="00317A38"/>
    <w:rsid w:val="00317A70"/>
    <w:rsid w:val="00317F22"/>
    <w:rsid w:val="0032006C"/>
    <w:rsid w:val="003201FB"/>
    <w:rsid w:val="003203BB"/>
    <w:rsid w:val="00320772"/>
    <w:rsid w:val="00320C38"/>
    <w:rsid w:val="0032100B"/>
    <w:rsid w:val="00321043"/>
    <w:rsid w:val="0032104C"/>
    <w:rsid w:val="003210A4"/>
    <w:rsid w:val="00321113"/>
    <w:rsid w:val="0032148E"/>
    <w:rsid w:val="003225D6"/>
    <w:rsid w:val="00322835"/>
    <w:rsid w:val="00322AF8"/>
    <w:rsid w:val="00322AFC"/>
    <w:rsid w:val="00322F06"/>
    <w:rsid w:val="003230EA"/>
    <w:rsid w:val="003234DB"/>
    <w:rsid w:val="00323542"/>
    <w:rsid w:val="0032388C"/>
    <w:rsid w:val="0032392C"/>
    <w:rsid w:val="00323A55"/>
    <w:rsid w:val="00323B61"/>
    <w:rsid w:val="00323D4D"/>
    <w:rsid w:val="00323E2F"/>
    <w:rsid w:val="00324478"/>
    <w:rsid w:val="0032458F"/>
    <w:rsid w:val="00324591"/>
    <w:rsid w:val="00324F22"/>
    <w:rsid w:val="003256AC"/>
    <w:rsid w:val="003257E6"/>
    <w:rsid w:val="0032597E"/>
    <w:rsid w:val="00326020"/>
    <w:rsid w:val="003260AA"/>
    <w:rsid w:val="0032629E"/>
    <w:rsid w:val="00326968"/>
    <w:rsid w:val="00326ABF"/>
    <w:rsid w:val="00326E07"/>
    <w:rsid w:val="003271B4"/>
    <w:rsid w:val="00327313"/>
    <w:rsid w:val="00327476"/>
    <w:rsid w:val="00327629"/>
    <w:rsid w:val="0032780D"/>
    <w:rsid w:val="00327A12"/>
    <w:rsid w:val="00327FAA"/>
    <w:rsid w:val="003300E6"/>
    <w:rsid w:val="00330112"/>
    <w:rsid w:val="003304AF"/>
    <w:rsid w:val="00330A6C"/>
    <w:rsid w:val="00330C60"/>
    <w:rsid w:val="00330CBC"/>
    <w:rsid w:val="00330E9B"/>
    <w:rsid w:val="00330F35"/>
    <w:rsid w:val="00331133"/>
    <w:rsid w:val="00331234"/>
    <w:rsid w:val="003314ED"/>
    <w:rsid w:val="003319EB"/>
    <w:rsid w:val="0033206A"/>
    <w:rsid w:val="003325AD"/>
    <w:rsid w:val="0033282B"/>
    <w:rsid w:val="00332CA4"/>
    <w:rsid w:val="00332EA6"/>
    <w:rsid w:val="003330E1"/>
    <w:rsid w:val="00333587"/>
    <w:rsid w:val="00333656"/>
    <w:rsid w:val="00333B96"/>
    <w:rsid w:val="00333F28"/>
    <w:rsid w:val="003340C8"/>
    <w:rsid w:val="00334914"/>
    <w:rsid w:val="00334AC2"/>
    <w:rsid w:val="00334C0A"/>
    <w:rsid w:val="00334E6F"/>
    <w:rsid w:val="003350F4"/>
    <w:rsid w:val="00335BFC"/>
    <w:rsid w:val="00335C4B"/>
    <w:rsid w:val="00335FAA"/>
    <w:rsid w:val="00336417"/>
    <w:rsid w:val="00336558"/>
    <w:rsid w:val="00336D0F"/>
    <w:rsid w:val="0033779A"/>
    <w:rsid w:val="00337A37"/>
    <w:rsid w:val="00337C8C"/>
    <w:rsid w:val="00340184"/>
    <w:rsid w:val="00340277"/>
    <w:rsid w:val="0034058E"/>
    <w:rsid w:val="0034065B"/>
    <w:rsid w:val="003406FD"/>
    <w:rsid w:val="00340932"/>
    <w:rsid w:val="00340B87"/>
    <w:rsid w:val="003411E6"/>
    <w:rsid w:val="00341522"/>
    <w:rsid w:val="003416A9"/>
    <w:rsid w:val="0034173E"/>
    <w:rsid w:val="003419DD"/>
    <w:rsid w:val="00341B22"/>
    <w:rsid w:val="00341C29"/>
    <w:rsid w:val="0034246A"/>
    <w:rsid w:val="003427F7"/>
    <w:rsid w:val="00342975"/>
    <w:rsid w:val="00342C64"/>
    <w:rsid w:val="0034303E"/>
    <w:rsid w:val="003430D7"/>
    <w:rsid w:val="00343184"/>
    <w:rsid w:val="003434BB"/>
    <w:rsid w:val="00343624"/>
    <w:rsid w:val="0034365F"/>
    <w:rsid w:val="00343668"/>
    <w:rsid w:val="00344626"/>
    <w:rsid w:val="003449A2"/>
    <w:rsid w:val="00344C4B"/>
    <w:rsid w:val="00344D0C"/>
    <w:rsid w:val="003451C6"/>
    <w:rsid w:val="003452DB"/>
    <w:rsid w:val="00345331"/>
    <w:rsid w:val="00345373"/>
    <w:rsid w:val="0034545E"/>
    <w:rsid w:val="0034573F"/>
    <w:rsid w:val="00345AD2"/>
    <w:rsid w:val="00345CFC"/>
    <w:rsid w:val="00345F82"/>
    <w:rsid w:val="00346551"/>
    <w:rsid w:val="003465EE"/>
    <w:rsid w:val="00346940"/>
    <w:rsid w:val="00346C2C"/>
    <w:rsid w:val="00346DD5"/>
    <w:rsid w:val="003470F0"/>
    <w:rsid w:val="00347377"/>
    <w:rsid w:val="00347592"/>
    <w:rsid w:val="003476C9"/>
    <w:rsid w:val="0034786D"/>
    <w:rsid w:val="00347974"/>
    <w:rsid w:val="00347B52"/>
    <w:rsid w:val="00347EFC"/>
    <w:rsid w:val="0035007D"/>
    <w:rsid w:val="00350356"/>
    <w:rsid w:val="0035041C"/>
    <w:rsid w:val="003509FB"/>
    <w:rsid w:val="00350B0F"/>
    <w:rsid w:val="00350C06"/>
    <w:rsid w:val="00350E94"/>
    <w:rsid w:val="00352399"/>
    <w:rsid w:val="003529E2"/>
    <w:rsid w:val="00352A2F"/>
    <w:rsid w:val="00352E84"/>
    <w:rsid w:val="00353562"/>
    <w:rsid w:val="003536CD"/>
    <w:rsid w:val="00353761"/>
    <w:rsid w:val="003538C9"/>
    <w:rsid w:val="003540C8"/>
    <w:rsid w:val="003543B3"/>
    <w:rsid w:val="003543DA"/>
    <w:rsid w:val="00354499"/>
    <w:rsid w:val="0035473E"/>
    <w:rsid w:val="00354BFB"/>
    <w:rsid w:val="00354CA7"/>
    <w:rsid w:val="00354EE7"/>
    <w:rsid w:val="003553CB"/>
    <w:rsid w:val="003557DE"/>
    <w:rsid w:val="00355979"/>
    <w:rsid w:val="00355D16"/>
    <w:rsid w:val="003561C5"/>
    <w:rsid w:val="003561CA"/>
    <w:rsid w:val="0035642E"/>
    <w:rsid w:val="00356445"/>
    <w:rsid w:val="00356647"/>
    <w:rsid w:val="003567FC"/>
    <w:rsid w:val="00356809"/>
    <w:rsid w:val="00356869"/>
    <w:rsid w:val="00357234"/>
    <w:rsid w:val="0035727F"/>
    <w:rsid w:val="0035780B"/>
    <w:rsid w:val="00357A9A"/>
    <w:rsid w:val="00357B06"/>
    <w:rsid w:val="00357CD5"/>
    <w:rsid w:val="003600BC"/>
    <w:rsid w:val="00360331"/>
    <w:rsid w:val="003607B4"/>
    <w:rsid w:val="003607CE"/>
    <w:rsid w:val="003607D1"/>
    <w:rsid w:val="003609EC"/>
    <w:rsid w:val="00361273"/>
    <w:rsid w:val="00361397"/>
    <w:rsid w:val="00361839"/>
    <w:rsid w:val="00361C2C"/>
    <w:rsid w:val="0036204C"/>
    <w:rsid w:val="0036208E"/>
    <w:rsid w:val="00362099"/>
    <w:rsid w:val="00362370"/>
    <w:rsid w:val="00362686"/>
    <w:rsid w:val="00362703"/>
    <w:rsid w:val="00362810"/>
    <w:rsid w:val="00362E3E"/>
    <w:rsid w:val="00363589"/>
    <w:rsid w:val="003636DF"/>
    <w:rsid w:val="00363AE9"/>
    <w:rsid w:val="00363D8C"/>
    <w:rsid w:val="00363E77"/>
    <w:rsid w:val="00363FA0"/>
    <w:rsid w:val="00364364"/>
    <w:rsid w:val="00364729"/>
    <w:rsid w:val="00364A4F"/>
    <w:rsid w:val="00364AC6"/>
    <w:rsid w:val="00364B1B"/>
    <w:rsid w:val="00364BEC"/>
    <w:rsid w:val="00364C27"/>
    <w:rsid w:val="00365125"/>
    <w:rsid w:val="00365A49"/>
    <w:rsid w:val="0036600C"/>
    <w:rsid w:val="003663A3"/>
    <w:rsid w:val="003665D5"/>
    <w:rsid w:val="00366C02"/>
    <w:rsid w:val="00366F67"/>
    <w:rsid w:val="0036754E"/>
    <w:rsid w:val="00367764"/>
    <w:rsid w:val="003677B9"/>
    <w:rsid w:val="003679E9"/>
    <w:rsid w:val="00367B0A"/>
    <w:rsid w:val="00367B18"/>
    <w:rsid w:val="00370203"/>
    <w:rsid w:val="00370265"/>
    <w:rsid w:val="003702E8"/>
    <w:rsid w:val="00370347"/>
    <w:rsid w:val="0037035D"/>
    <w:rsid w:val="003704F6"/>
    <w:rsid w:val="003707B7"/>
    <w:rsid w:val="00370988"/>
    <w:rsid w:val="00371590"/>
    <w:rsid w:val="003719ED"/>
    <w:rsid w:val="00371AE7"/>
    <w:rsid w:val="00371BF6"/>
    <w:rsid w:val="00371C04"/>
    <w:rsid w:val="00371E60"/>
    <w:rsid w:val="00371EA8"/>
    <w:rsid w:val="00371FE2"/>
    <w:rsid w:val="00372029"/>
    <w:rsid w:val="003723B5"/>
    <w:rsid w:val="00372587"/>
    <w:rsid w:val="003725FD"/>
    <w:rsid w:val="003729E2"/>
    <w:rsid w:val="00372D85"/>
    <w:rsid w:val="0037322F"/>
    <w:rsid w:val="0037323F"/>
    <w:rsid w:val="00373299"/>
    <w:rsid w:val="00373478"/>
    <w:rsid w:val="0037352A"/>
    <w:rsid w:val="0037391F"/>
    <w:rsid w:val="00373B55"/>
    <w:rsid w:val="00373BD8"/>
    <w:rsid w:val="0037404D"/>
    <w:rsid w:val="0037438D"/>
    <w:rsid w:val="00374A7F"/>
    <w:rsid w:val="00374BF2"/>
    <w:rsid w:val="003752E5"/>
    <w:rsid w:val="0037536B"/>
    <w:rsid w:val="00375650"/>
    <w:rsid w:val="0037592C"/>
    <w:rsid w:val="00375AF8"/>
    <w:rsid w:val="00375CEA"/>
    <w:rsid w:val="00375E1B"/>
    <w:rsid w:val="00375F39"/>
    <w:rsid w:val="003767A8"/>
    <w:rsid w:val="0037695B"/>
    <w:rsid w:val="00376AAB"/>
    <w:rsid w:val="00376AC3"/>
    <w:rsid w:val="0037702F"/>
    <w:rsid w:val="0037749E"/>
    <w:rsid w:val="003776BD"/>
    <w:rsid w:val="00377C4F"/>
    <w:rsid w:val="00377D62"/>
    <w:rsid w:val="003800AC"/>
    <w:rsid w:val="003804AF"/>
    <w:rsid w:val="0038069D"/>
    <w:rsid w:val="00380C47"/>
    <w:rsid w:val="0038122E"/>
    <w:rsid w:val="0038135F"/>
    <w:rsid w:val="00381392"/>
    <w:rsid w:val="0038201A"/>
    <w:rsid w:val="00382225"/>
    <w:rsid w:val="003823BC"/>
    <w:rsid w:val="0038252E"/>
    <w:rsid w:val="0038347C"/>
    <w:rsid w:val="0038370B"/>
    <w:rsid w:val="00383D30"/>
    <w:rsid w:val="00384081"/>
    <w:rsid w:val="0038438E"/>
    <w:rsid w:val="0038482A"/>
    <w:rsid w:val="003849D3"/>
    <w:rsid w:val="00384ADF"/>
    <w:rsid w:val="00384B0E"/>
    <w:rsid w:val="00384F11"/>
    <w:rsid w:val="00385028"/>
    <w:rsid w:val="003853BE"/>
    <w:rsid w:val="00385417"/>
    <w:rsid w:val="003856B1"/>
    <w:rsid w:val="0038572A"/>
    <w:rsid w:val="003857C1"/>
    <w:rsid w:val="00385E5F"/>
    <w:rsid w:val="00385E65"/>
    <w:rsid w:val="003860CE"/>
    <w:rsid w:val="003860DC"/>
    <w:rsid w:val="003860EE"/>
    <w:rsid w:val="00386102"/>
    <w:rsid w:val="00386D2D"/>
    <w:rsid w:val="00387230"/>
    <w:rsid w:val="0038742C"/>
    <w:rsid w:val="003874DA"/>
    <w:rsid w:val="00387A7E"/>
    <w:rsid w:val="00387C1E"/>
    <w:rsid w:val="00387ED9"/>
    <w:rsid w:val="00387FBF"/>
    <w:rsid w:val="0039025A"/>
    <w:rsid w:val="0039028C"/>
    <w:rsid w:val="003903B1"/>
    <w:rsid w:val="00390504"/>
    <w:rsid w:val="003909C2"/>
    <w:rsid w:val="00390DE6"/>
    <w:rsid w:val="00391386"/>
    <w:rsid w:val="0039163F"/>
    <w:rsid w:val="0039220C"/>
    <w:rsid w:val="00392271"/>
    <w:rsid w:val="003932A1"/>
    <w:rsid w:val="003937DF"/>
    <w:rsid w:val="00393A4D"/>
    <w:rsid w:val="00393A63"/>
    <w:rsid w:val="00393E41"/>
    <w:rsid w:val="003941AD"/>
    <w:rsid w:val="00394750"/>
    <w:rsid w:val="00394804"/>
    <w:rsid w:val="003953BB"/>
    <w:rsid w:val="00395592"/>
    <w:rsid w:val="003958D6"/>
    <w:rsid w:val="00395FBA"/>
    <w:rsid w:val="00395FDE"/>
    <w:rsid w:val="00396637"/>
    <w:rsid w:val="00396D58"/>
    <w:rsid w:val="00397099"/>
    <w:rsid w:val="003970B0"/>
    <w:rsid w:val="00397116"/>
    <w:rsid w:val="003973B4"/>
    <w:rsid w:val="00397919"/>
    <w:rsid w:val="00397C30"/>
    <w:rsid w:val="00397C42"/>
    <w:rsid w:val="003A02AC"/>
    <w:rsid w:val="003A033F"/>
    <w:rsid w:val="003A0690"/>
    <w:rsid w:val="003A0D13"/>
    <w:rsid w:val="003A171C"/>
    <w:rsid w:val="003A1E45"/>
    <w:rsid w:val="003A1F16"/>
    <w:rsid w:val="003A247E"/>
    <w:rsid w:val="003A2ABD"/>
    <w:rsid w:val="003A2FA5"/>
    <w:rsid w:val="003A308A"/>
    <w:rsid w:val="003A34DA"/>
    <w:rsid w:val="003A35CA"/>
    <w:rsid w:val="003A3684"/>
    <w:rsid w:val="003A413C"/>
    <w:rsid w:val="003A4552"/>
    <w:rsid w:val="003A460A"/>
    <w:rsid w:val="003A461C"/>
    <w:rsid w:val="003A4E9D"/>
    <w:rsid w:val="003A58A6"/>
    <w:rsid w:val="003A59B6"/>
    <w:rsid w:val="003A5B96"/>
    <w:rsid w:val="003A5BA9"/>
    <w:rsid w:val="003A6261"/>
    <w:rsid w:val="003A6473"/>
    <w:rsid w:val="003A68DF"/>
    <w:rsid w:val="003A6949"/>
    <w:rsid w:val="003A70CE"/>
    <w:rsid w:val="003A79AF"/>
    <w:rsid w:val="003A7D57"/>
    <w:rsid w:val="003A7FB2"/>
    <w:rsid w:val="003B0146"/>
    <w:rsid w:val="003B0263"/>
    <w:rsid w:val="003B03FB"/>
    <w:rsid w:val="003B0402"/>
    <w:rsid w:val="003B04D9"/>
    <w:rsid w:val="003B06FA"/>
    <w:rsid w:val="003B09C3"/>
    <w:rsid w:val="003B0A71"/>
    <w:rsid w:val="003B0B27"/>
    <w:rsid w:val="003B0D24"/>
    <w:rsid w:val="003B0E19"/>
    <w:rsid w:val="003B0F72"/>
    <w:rsid w:val="003B1431"/>
    <w:rsid w:val="003B16F8"/>
    <w:rsid w:val="003B1710"/>
    <w:rsid w:val="003B1A2B"/>
    <w:rsid w:val="003B1BFF"/>
    <w:rsid w:val="003B1F4F"/>
    <w:rsid w:val="003B230E"/>
    <w:rsid w:val="003B2561"/>
    <w:rsid w:val="003B25DE"/>
    <w:rsid w:val="003B2626"/>
    <w:rsid w:val="003B26D9"/>
    <w:rsid w:val="003B278B"/>
    <w:rsid w:val="003B2B3E"/>
    <w:rsid w:val="003B2DF0"/>
    <w:rsid w:val="003B2E36"/>
    <w:rsid w:val="003B2E80"/>
    <w:rsid w:val="003B3345"/>
    <w:rsid w:val="003B34EE"/>
    <w:rsid w:val="003B3697"/>
    <w:rsid w:val="003B3857"/>
    <w:rsid w:val="003B3D23"/>
    <w:rsid w:val="003B3DCC"/>
    <w:rsid w:val="003B3EA1"/>
    <w:rsid w:val="003B44ED"/>
    <w:rsid w:val="003B4520"/>
    <w:rsid w:val="003B462F"/>
    <w:rsid w:val="003B4717"/>
    <w:rsid w:val="003B4B81"/>
    <w:rsid w:val="003B4FE6"/>
    <w:rsid w:val="003B5222"/>
    <w:rsid w:val="003B53F0"/>
    <w:rsid w:val="003B54C4"/>
    <w:rsid w:val="003B5632"/>
    <w:rsid w:val="003B5673"/>
    <w:rsid w:val="003B5CA4"/>
    <w:rsid w:val="003B6260"/>
    <w:rsid w:val="003B64BF"/>
    <w:rsid w:val="003B6A96"/>
    <w:rsid w:val="003B6C84"/>
    <w:rsid w:val="003B6DFB"/>
    <w:rsid w:val="003B6E2F"/>
    <w:rsid w:val="003B7089"/>
    <w:rsid w:val="003B79AB"/>
    <w:rsid w:val="003B79D2"/>
    <w:rsid w:val="003B7A68"/>
    <w:rsid w:val="003C0751"/>
    <w:rsid w:val="003C07CF"/>
    <w:rsid w:val="003C0DDA"/>
    <w:rsid w:val="003C11C6"/>
    <w:rsid w:val="003C13FE"/>
    <w:rsid w:val="003C1E72"/>
    <w:rsid w:val="003C2165"/>
    <w:rsid w:val="003C261A"/>
    <w:rsid w:val="003C261D"/>
    <w:rsid w:val="003C318E"/>
    <w:rsid w:val="003C35B7"/>
    <w:rsid w:val="003C3E3C"/>
    <w:rsid w:val="003C3F3A"/>
    <w:rsid w:val="003C41AB"/>
    <w:rsid w:val="003C42FE"/>
    <w:rsid w:val="003C4CF2"/>
    <w:rsid w:val="003C4D76"/>
    <w:rsid w:val="003C5871"/>
    <w:rsid w:val="003C5971"/>
    <w:rsid w:val="003C5D84"/>
    <w:rsid w:val="003C69C0"/>
    <w:rsid w:val="003C6A19"/>
    <w:rsid w:val="003C6E35"/>
    <w:rsid w:val="003C736A"/>
    <w:rsid w:val="003C73FA"/>
    <w:rsid w:val="003C755C"/>
    <w:rsid w:val="003C75E9"/>
    <w:rsid w:val="003C7807"/>
    <w:rsid w:val="003C7E15"/>
    <w:rsid w:val="003D0680"/>
    <w:rsid w:val="003D0931"/>
    <w:rsid w:val="003D09F4"/>
    <w:rsid w:val="003D11E0"/>
    <w:rsid w:val="003D12BF"/>
    <w:rsid w:val="003D13C6"/>
    <w:rsid w:val="003D16E3"/>
    <w:rsid w:val="003D1774"/>
    <w:rsid w:val="003D1999"/>
    <w:rsid w:val="003D1B43"/>
    <w:rsid w:val="003D1D22"/>
    <w:rsid w:val="003D1EE4"/>
    <w:rsid w:val="003D1F66"/>
    <w:rsid w:val="003D209A"/>
    <w:rsid w:val="003D2139"/>
    <w:rsid w:val="003D24B9"/>
    <w:rsid w:val="003D24EC"/>
    <w:rsid w:val="003D2727"/>
    <w:rsid w:val="003D274D"/>
    <w:rsid w:val="003D29B0"/>
    <w:rsid w:val="003D2A25"/>
    <w:rsid w:val="003D2EDC"/>
    <w:rsid w:val="003D2FFC"/>
    <w:rsid w:val="003D3013"/>
    <w:rsid w:val="003D3146"/>
    <w:rsid w:val="003D3392"/>
    <w:rsid w:val="003D3AFC"/>
    <w:rsid w:val="003D3B95"/>
    <w:rsid w:val="003D3BFF"/>
    <w:rsid w:val="003D42F3"/>
    <w:rsid w:val="003D4341"/>
    <w:rsid w:val="003D4646"/>
    <w:rsid w:val="003D506B"/>
    <w:rsid w:val="003D51E8"/>
    <w:rsid w:val="003D5659"/>
    <w:rsid w:val="003D58F7"/>
    <w:rsid w:val="003D5AA8"/>
    <w:rsid w:val="003D603B"/>
    <w:rsid w:val="003D6211"/>
    <w:rsid w:val="003D6379"/>
    <w:rsid w:val="003D6510"/>
    <w:rsid w:val="003D6666"/>
    <w:rsid w:val="003D6BC2"/>
    <w:rsid w:val="003D6FED"/>
    <w:rsid w:val="003D705C"/>
    <w:rsid w:val="003D7081"/>
    <w:rsid w:val="003D769F"/>
    <w:rsid w:val="003E0114"/>
    <w:rsid w:val="003E0461"/>
    <w:rsid w:val="003E0466"/>
    <w:rsid w:val="003E061F"/>
    <w:rsid w:val="003E08FF"/>
    <w:rsid w:val="003E0F8D"/>
    <w:rsid w:val="003E1005"/>
    <w:rsid w:val="003E1199"/>
    <w:rsid w:val="003E129A"/>
    <w:rsid w:val="003E15BE"/>
    <w:rsid w:val="003E17D0"/>
    <w:rsid w:val="003E1ACD"/>
    <w:rsid w:val="003E1C73"/>
    <w:rsid w:val="003E1D04"/>
    <w:rsid w:val="003E207F"/>
    <w:rsid w:val="003E235B"/>
    <w:rsid w:val="003E2471"/>
    <w:rsid w:val="003E38B4"/>
    <w:rsid w:val="003E3A91"/>
    <w:rsid w:val="003E3ABB"/>
    <w:rsid w:val="003E3C02"/>
    <w:rsid w:val="003E3DE0"/>
    <w:rsid w:val="003E42A9"/>
    <w:rsid w:val="003E432F"/>
    <w:rsid w:val="003E44DB"/>
    <w:rsid w:val="003E4CA3"/>
    <w:rsid w:val="003E4D0B"/>
    <w:rsid w:val="003E4DFA"/>
    <w:rsid w:val="003E519B"/>
    <w:rsid w:val="003E51E6"/>
    <w:rsid w:val="003E53C6"/>
    <w:rsid w:val="003E588F"/>
    <w:rsid w:val="003E58AB"/>
    <w:rsid w:val="003E5E1B"/>
    <w:rsid w:val="003E6127"/>
    <w:rsid w:val="003E6162"/>
    <w:rsid w:val="003E6361"/>
    <w:rsid w:val="003E63D4"/>
    <w:rsid w:val="003E64C0"/>
    <w:rsid w:val="003E682D"/>
    <w:rsid w:val="003E686D"/>
    <w:rsid w:val="003E68E5"/>
    <w:rsid w:val="003E6C37"/>
    <w:rsid w:val="003E73C7"/>
    <w:rsid w:val="003E7BA9"/>
    <w:rsid w:val="003E7F84"/>
    <w:rsid w:val="003F03BE"/>
    <w:rsid w:val="003F0448"/>
    <w:rsid w:val="003F05EA"/>
    <w:rsid w:val="003F06E0"/>
    <w:rsid w:val="003F0E66"/>
    <w:rsid w:val="003F0F04"/>
    <w:rsid w:val="003F1063"/>
    <w:rsid w:val="003F1596"/>
    <w:rsid w:val="003F15F8"/>
    <w:rsid w:val="003F1E35"/>
    <w:rsid w:val="003F2338"/>
    <w:rsid w:val="003F2948"/>
    <w:rsid w:val="003F2CB3"/>
    <w:rsid w:val="003F2F19"/>
    <w:rsid w:val="003F3178"/>
    <w:rsid w:val="003F3194"/>
    <w:rsid w:val="003F326D"/>
    <w:rsid w:val="003F32C0"/>
    <w:rsid w:val="003F341E"/>
    <w:rsid w:val="003F39E7"/>
    <w:rsid w:val="003F3D7D"/>
    <w:rsid w:val="003F3DCD"/>
    <w:rsid w:val="003F3F27"/>
    <w:rsid w:val="003F423C"/>
    <w:rsid w:val="003F4261"/>
    <w:rsid w:val="003F443C"/>
    <w:rsid w:val="003F4A8E"/>
    <w:rsid w:val="003F4BA7"/>
    <w:rsid w:val="003F4C89"/>
    <w:rsid w:val="003F4FC7"/>
    <w:rsid w:val="003F50DA"/>
    <w:rsid w:val="003F559F"/>
    <w:rsid w:val="003F577A"/>
    <w:rsid w:val="003F5890"/>
    <w:rsid w:val="003F5B79"/>
    <w:rsid w:val="003F60A4"/>
    <w:rsid w:val="003F60A7"/>
    <w:rsid w:val="003F6265"/>
    <w:rsid w:val="003F66B4"/>
    <w:rsid w:val="003F6834"/>
    <w:rsid w:val="003F68D7"/>
    <w:rsid w:val="003F6981"/>
    <w:rsid w:val="003F6ADF"/>
    <w:rsid w:val="003F71DC"/>
    <w:rsid w:val="003F735C"/>
    <w:rsid w:val="003F7777"/>
    <w:rsid w:val="003F7D6F"/>
    <w:rsid w:val="003F7ED3"/>
    <w:rsid w:val="00400A51"/>
    <w:rsid w:val="00401065"/>
    <w:rsid w:val="004011AB"/>
    <w:rsid w:val="00401209"/>
    <w:rsid w:val="004013B8"/>
    <w:rsid w:val="004014B7"/>
    <w:rsid w:val="0040182C"/>
    <w:rsid w:val="00401E01"/>
    <w:rsid w:val="00401EF5"/>
    <w:rsid w:val="00401F69"/>
    <w:rsid w:val="0040253E"/>
    <w:rsid w:val="004028AB"/>
    <w:rsid w:val="004029CD"/>
    <w:rsid w:val="00402A0E"/>
    <w:rsid w:val="004030E0"/>
    <w:rsid w:val="00403199"/>
    <w:rsid w:val="00404083"/>
    <w:rsid w:val="00404152"/>
    <w:rsid w:val="0040422C"/>
    <w:rsid w:val="00404405"/>
    <w:rsid w:val="00404417"/>
    <w:rsid w:val="00404530"/>
    <w:rsid w:val="00404740"/>
    <w:rsid w:val="0040490E"/>
    <w:rsid w:val="00404E37"/>
    <w:rsid w:val="00404EA1"/>
    <w:rsid w:val="00404EAA"/>
    <w:rsid w:val="00406048"/>
    <w:rsid w:val="0040632D"/>
    <w:rsid w:val="00406759"/>
    <w:rsid w:val="004068F3"/>
    <w:rsid w:val="00407343"/>
    <w:rsid w:val="004073A5"/>
    <w:rsid w:val="0040743A"/>
    <w:rsid w:val="00407467"/>
    <w:rsid w:val="004074E0"/>
    <w:rsid w:val="00407848"/>
    <w:rsid w:val="0040785A"/>
    <w:rsid w:val="00407C5E"/>
    <w:rsid w:val="00407EB2"/>
    <w:rsid w:val="004092C5"/>
    <w:rsid w:val="00410968"/>
    <w:rsid w:val="00410AA0"/>
    <w:rsid w:val="00410ED6"/>
    <w:rsid w:val="00410FF6"/>
    <w:rsid w:val="00411055"/>
    <w:rsid w:val="00411305"/>
    <w:rsid w:val="0041181A"/>
    <w:rsid w:val="004119D4"/>
    <w:rsid w:val="00411A9D"/>
    <w:rsid w:val="00411CD4"/>
    <w:rsid w:val="00411D89"/>
    <w:rsid w:val="00412773"/>
    <w:rsid w:val="004129F9"/>
    <w:rsid w:val="00412A3D"/>
    <w:rsid w:val="00413018"/>
    <w:rsid w:val="004130EE"/>
    <w:rsid w:val="00413807"/>
    <w:rsid w:val="00413B33"/>
    <w:rsid w:val="00413D4E"/>
    <w:rsid w:val="004141AD"/>
    <w:rsid w:val="00414673"/>
    <w:rsid w:val="00414794"/>
    <w:rsid w:val="00414B1A"/>
    <w:rsid w:val="00414DF5"/>
    <w:rsid w:val="00414EE9"/>
    <w:rsid w:val="0041502A"/>
    <w:rsid w:val="004151DE"/>
    <w:rsid w:val="00415519"/>
    <w:rsid w:val="004155F3"/>
    <w:rsid w:val="0041563B"/>
    <w:rsid w:val="00415B3A"/>
    <w:rsid w:val="00415B67"/>
    <w:rsid w:val="00415C22"/>
    <w:rsid w:val="00415CC8"/>
    <w:rsid w:val="00415D3C"/>
    <w:rsid w:val="00415EC1"/>
    <w:rsid w:val="00416396"/>
    <w:rsid w:val="00416587"/>
    <w:rsid w:val="0041668F"/>
    <w:rsid w:val="004166D8"/>
    <w:rsid w:val="004169EF"/>
    <w:rsid w:val="00416DC5"/>
    <w:rsid w:val="00416F4C"/>
    <w:rsid w:val="0041704F"/>
    <w:rsid w:val="00417226"/>
    <w:rsid w:val="00417317"/>
    <w:rsid w:val="004173D1"/>
    <w:rsid w:val="00417A83"/>
    <w:rsid w:val="004200C7"/>
    <w:rsid w:val="004200FD"/>
    <w:rsid w:val="0042092E"/>
    <w:rsid w:val="00420A10"/>
    <w:rsid w:val="00420D23"/>
    <w:rsid w:val="00420F15"/>
    <w:rsid w:val="00420F4C"/>
    <w:rsid w:val="00421595"/>
    <w:rsid w:val="004215FE"/>
    <w:rsid w:val="004219AE"/>
    <w:rsid w:val="00421E15"/>
    <w:rsid w:val="004222EA"/>
    <w:rsid w:val="0042254D"/>
    <w:rsid w:val="004226FB"/>
    <w:rsid w:val="00422755"/>
    <w:rsid w:val="00422B3F"/>
    <w:rsid w:val="00422B65"/>
    <w:rsid w:val="00422BC5"/>
    <w:rsid w:val="00422C58"/>
    <w:rsid w:val="00422E52"/>
    <w:rsid w:val="00422F7F"/>
    <w:rsid w:val="00423920"/>
    <w:rsid w:val="0042395E"/>
    <w:rsid w:val="00423ECD"/>
    <w:rsid w:val="00424020"/>
    <w:rsid w:val="00424390"/>
    <w:rsid w:val="004243AB"/>
    <w:rsid w:val="004243C9"/>
    <w:rsid w:val="00424648"/>
    <w:rsid w:val="0042561E"/>
    <w:rsid w:val="00425650"/>
    <w:rsid w:val="00425ACE"/>
    <w:rsid w:val="00425E0B"/>
    <w:rsid w:val="00425FF1"/>
    <w:rsid w:val="0042622C"/>
    <w:rsid w:val="00426E55"/>
    <w:rsid w:val="00426F64"/>
    <w:rsid w:val="004272C8"/>
    <w:rsid w:val="00427437"/>
    <w:rsid w:val="004274AC"/>
    <w:rsid w:val="00427812"/>
    <w:rsid w:val="00427840"/>
    <w:rsid w:val="00427B44"/>
    <w:rsid w:val="00427BA4"/>
    <w:rsid w:val="00427E01"/>
    <w:rsid w:val="004300A2"/>
    <w:rsid w:val="00430759"/>
    <w:rsid w:val="00430AD4"/>
    <w:rsid w:val="00430D20"/>
    <w:rsid w:val="00430EF2"/>
    <w:rsid w:val="004314FB"/>
    <w:rsid w:val="0043190A"/>
    <w:rsid w:val="00431D0C"/>
    <w:rsid w:val="00431E31"/>
    <w:rsid w:val="00431EE4"/>
    <w:rsid w:val="00432674"/>
    <w:rsid w:val="00432A93"/>
    <w:rsid w:val="00432C4C"/>
    <w:rsid w:val="00432DAF"/>
    <w:rsid w:val="00432E16"/>
    <w:rsid w:val="00433074"/>
    <w:rsid w:val="0043321D"/>
    <w:rsid w:val="00433233"/>
    <w:rsid w:val="004337B8"/>
    <w:rsid w:val="00433D09"/>
    <w:rsid w:val="00433F94"/>
    <w:rsid w:val="00434084"/>
    <w:rsid w:val="004347A2"/>
    <w:rsid w:val="0043493E"/>
    <w:rsid w:val="00434A5E"/>
    <w:rsid w:val="00435158"/>
    <w:rsid w:val="004352DD"/>
    <w:rsid w:val="00435455"/>
    <w:rsid w:val="00435CD7"/>
    <w:rsid w:val="00435E01"/>
    <w:rsid w:val="00435ECA"/>
    <w:rsid w:val="004362D4"/>
    <w:rsid w:val="00436365"/>
    <w:rsid w:val="0043656B"/>
    <w:rsid w:val="00436AB2"/>
    <w:rsid w:val="00436D0E"/>
    <w:rsid w:val="00436D40"/>
    <w:rsid w:val="00436F5A"/>
    <w:rsid w:val="004370FF"/>
    <w:rsid w:val="004371E1"/>
    <w:rsid w:val="00437506"/>
    <w:rsid w:val="00437597"/>
    <w:rsid w:val="00437E62"/>
    <w:rsid w:val="00437E85"/>
    <w:rsid w:val="00440171"/>
    <w:rsid w:val="004402EC"/>
    <w:rsid w:val="004402FE"/>
    <w:rsid w:val="0044055C"/>
    <w:rsid w:val="004407FA"/>
    <w:rsid w:val="00440E96"/>
    <w:rsid w:val="00440FAF"/>
    <w:rsid w:val="0044141E"/>
    <w:rsid w:val="0044168D"/>
    <w:rsid w:val="00441697"/>
    <w:rsid w:val="004419CA"/>
    <w:rsid w:val="00441A1B"/>
    <w:rsid w:val="00441CFC"/>
    <w:rsid w:val="00441D1D"/>
    <w:rsid w:val="0044271F"/>
    <w:rsid w:val="00442E01"/>
    <w:rsid w:val="00442E24"/>
    <w:rsid w:val="00442EA1"/>
    <w:rsid w:val="00442F02"/>
    <w:rsid w:val="0044305C"/>
    <w:rsid w:val="00443310"/>
    <w:rsid w:val="004433CB"/>
    <w:rsid w:val="0044371B"/>
    <w:rsid w:val="00443864"/>
    <w:rsid w:val="00443B8E"/>
    <w:rsid w:val="00443CBB"/>
    <w:rsid w:val="004441CC"/>
    <w:rsid w:val="00444376"/>
    <w:rsid w:val="004447C2"/>
    <w:rsid w:val="00444D96"/>
    <w:rsid w:val="00444DD1"/>
    <w:rsid w:val="00445009"/>
    <w:rsid w:val="0044502C"/>
    <w:rsid w:val="004450A4"/>
    <w:rsid w:val="0044511D"/>
    <w:rsid w:val="00445162"/>
    <w:rsid w:val="0044519A"/>
    <w:rsid w:val="00445B49"/>
    <w:rsid w:val="00446607"/>
    <w:rsid w:val="004466E4"/>
    <w:rsid w:val="0044695F"/>
    <w:rsid w:val="00446CA3"/>
    <w:rsid w:val="0044786C"/>
    <w:rsid w:val="00450A20"/>
    <w:rsid w:val="00450CB6"/>
    <w:rsid w:val="00450E16"/>
    <w:rsid w:val="00451053"/>
    <w:rsid w:val="00451100"/>
    <w:rsid w:val="0045185F"/>
    <w:rsid w:val="004518CA"/>
    <w:rsid w:val="00451BF5"/>
    <w:rsid w:val="00451DFE"/>
    <w:rsid w:val="00451F20"/>
    <w:rsid w:val="0045207B"/>
    <w:rsid w:val="00452155"/>
    <w:rsid w:val="00452207"/>
    <w:rsid w:val="004522B9"/>
    <w:rsid w:val="0045233E"/>
    <w:rsid w:val="00452795"/>
    <w:rsid w:val="004528AE"/>
    <w:rsid w:val="00452C7A"/>
    <w:rsid w:val="00452FA7"/>
    <w:rsid w:val="0045302F"/>
    <w:rsid w:val="0045366A"/>
    <w:rsid w:val="0045375A"/>
    <w:rsid w:val="004542ED"/>
    <w:rsid w:val="004545AD"/>
    <w:rsid w:val="00454704"/>
    <w:rsid w:val="00454829"/>
    <w:rsid w:val="00454845"/>
    <w:rsid w:val="00454905"/>
    <w:rsid w:val="00454C8F"/>
    <w:rsid w:val="00454F14"/>
    <w:rsid w:val="0045518E"/>
    <w:rsid w:val="0045524B"/>
    <w:rsid w:val="00455515"/>
    <w:rsid w:val="00455737"/>
    <w:rsid w:val="0045594A"/>
    <w:rsid w:val="00455C48"/>
    <w:rsid w:val="00455C7C"/>
    <w:rsid w:val="00455D63"/>
    <w:rsid w:val="00455E45"/>
    <w:rsid w:val="00456185"/>
    <w:rsid w:val="004567FF"/>
    <w:rsid w:val="00456C39"/>
    <w:rsid w:val="00456E5A"/>
    <w:rsid w:val="00457161"/>
    <w:rsid w:val="0045727A"/>
    <w:rsid w:val="0045742A"/>
    <w:rsid w:val="00457740"/>
    <w:rsid w:val="00457789"/>
    <w:rsid w:val="0045779E"/>
    <w:rsid w:val="00457932"/>
    <w:rsid w:val="00457B66"/>
    <w:rsid w:val="004600D6"/>
    <w:rsid w:val="004604B6"/>
    <w:rsid w:val="00460511"/>
    <w:rsid w:val="00460963"/>
    <w:rsid w:val="00460A9D"/>
    <w:rsid w:val="00460C3F"/>
    <w:rsid w:val="00460CC8"/>
    <w:rsid w:val="0046102C"/>
    <w:rsid w:val="0046111B"/>
    <w:rsid w:val="00461347"/>
    <w:rsid w:val="004614E4"/>
    <w:rsid w:val="004617E8"/>
    <w:rsid w:val="00462227"/>
    <w:rsid w:val="00462EAB"/>
    <w:rsid w:val="00463303"/>
    <w:rsid w:val="00463491"/>
    <w:rsid w:val="00463927"/>
    <w:rsid w:val="004639AD"/>
    <w:rsid w:val="00463D05"/>
    <w:rsid w:val="00464014"/>
    <w:rsid w:val="00464026"/>
    <w:rsid w:val="0046403D"/>
    <w:rsid w:val="00464439"/>
    <w:rsid w:val="00464622"/>
    <w:rsid w:val="004649F0"/>
    <w:rsid w:val="00464E5F"/>
    <w:rsid w:val="004652D3"/>
    <w:rsid w:val="00465327"/>
    <w:rsid w:val="004656DD"/>
    <w:rsid w:val="004658B2"/>
    <w:rsid w:val="004658E1"/>
    <w:rsid w:val="004665A4"/>
    <w:rsid w:val="00466C37"/>
    <w:rsid w:val="00466F96"/>
    <w:rsid w:val="00466FCC"/>
    <w:rsid w:val="004670D0"/>
    <w:rsid w:val="004674A4"/>
    <w:rsid w:val="00467DA7"/>
    <w:rsid w:val="0047033E"/>
    <w:rsid w:val="0047048E"/>
    <w:rsid w:val="00470B9B"/>
    <w:rsid w:val="00470CED"/>
    <w:rsid w:val="00470E81"/>
    <w:rsid w:val="00470EAD"/>
    <w:rsid w:val="00470F4F"/>
    <w:rsid w:val="0047107B"/>
    <w:rsid w:val="0047139F"/>
    <w:rsid w:val="004717F2"/>
    <w:rsid w:val="00471A0E"/>
    <w:rsid w:val="00471C77"/>
    <w:rsid w:val="00471E06"/>
    <w:rsid w:val="00472110"/>
    <w:rsid w:val="004726E0"/>
    <w:rsid w:val="00472A7E"/>
    <w:rsid w:val="00472B3B"/>
    <w:rsid w:val="00472C3C"/>
    <w:rsid w:val="00472CD0"/>
    <w:rsid w:val="00472CDB"/>
    <w:rsid w:val="00473D42"/>
    <w:rsid w:val="00473E8B"/>
    <w:rsid w:val="00473F1F"/>
    <w:rsid w:val="00474071"/>
    <w:rsid w:val="00474AE6"/>
    <w:rsid w:val="00474D27"/>
    <w:rsid w:val="00474D47"/>
    <w:rsid w:val="004750BA"/>
    <w:rsid w:val="00475991"/>
    <w:rsid w:val="00475AA1"/>
    <w:rsid w:val="00475BC2"/>
    <w:rsid w:val="00475F12"/>
    <w:rsid w:val="00476057"/>
    <w:rsid w:val="004764C9"/>
    <w:rsid w:val="004767F1"/>
    <w:rsid w:val="004769BB"/>
    <w:rsid w:val="00476B3F"/>
    <w:rsid w:val="00476E77"/>
    <w:rsid w:val="0047709D"/>
    <w:rsid w:val="004771EF"/>
    <w:rsid w:val="004774D7"/>
    <w:rsid w:val="0047756E"/>
    <w:rsid w:val="00477641"/>
    <w:rsid w:val="00477858"/>
    <w:rsid w:val="0047792D"/>
    <w:rsid w:val="00477B0D"/>
    <w:rsid w:val="00480076"/>
    <w:rsid w:val="00480762"/>
    <w:rsid w:val="00480B82"/>
    <w:rsid w:val="00480D68"/>
    <w:rsid w:val="00480F7E"/>
    <w:rsid w:val="004810C1"/>
    <w:rsid w:val="004817F4"/>
    <w:rsid w:val="00482118"/>
    <w:rsid w:val="004823DB"/>
    <w:rsid w:val="0048292B"/>
    <w:rsid w:val="00482AC6"/>
    <w:rsid w:val="00482FDC"/>
    <w:rsid w:val="004830CA"/>
    <w:rsid w:val="00483438"/>
    <w:rsid w:val="00483808"/>
    <w:rsid w:val="00483C53"/>
    <w:rsid w:val="00483FDB"/>
    <w:rsid w:val="00484007"/>
    <w:rsid w:val="0048477C"/>
    <w:rsid w:val="00484A82"/>
    <w:rsid w:val="00484A88"/>
    <w:rsid w:val="00484CD9"/>
    <w:rsid w:val="00484F8A"/>
    <w:rsid w:val="004854C8"/>
    <w:rsid w:val="004854FB"/>
    <w:rsid w:val="0048551F"/>
    <w:rsid w:val="00485790"/>
    <w:rsid w:val="0048579D"/>
    <w:rsid w:val="00485962"/>
    <w:rsid w:val="00485CB6"/>
    <w:rsid w:val="00485EBE"/>
    <w:rsid w:val="004865F8"/>
    <w:rsid w:val="0048698D"/>
    <w:rsid w:val="00486A98"/>
    <w:rsid w:val="00487ADB"/>
    <w:rsid w:val="00487C98"/>
    <w:rsid w:val="00487D24"/>
    <w:rsid w:val="00487D74"/>
    <w:rsid w:val="00487FC5"/>
    <w:rsid w:val="004901D1"/>
    <w:rsid w:val="004901FC"/>
    <w:rsid w:val="00490598"/>
    <w:rsid w:val="004907C6"/>
    <w:rsid w:val="0049084D"/>
    <w:rsid w:val="0049084F"/>
    <w:rsid w:val="00490BC1"/>
    <w:rsid w:val="004913BF"/>
    <w:rsid w:val="004914AD"/>
    <w:rsid w:val="0049163B"/>
    <w:rsid w:val="00492124"/>
    <w:rsid w:val="004927B5"/>
    <w:rsid w:val="00492D51"/>
    <w:rsid w:val="004931C7"/>
    <w:rsid w:val="0049364E"/>
    <w:rsid w:val="004939FC"/>
    <w:rsid w:val="00493C4F"/>
    <w:rsid w:val="00493CEE"/>
    <w:rsid w:val="00493FF1"/>
    <w:rsid w:val="004941AC"/>
    <w:rsid w:val="004941C6"/>
    <w:rsid w:val="0049429B"/>
    <w:rsid w:val="0049444D"/>
    <w:rsid w:val="00494784"/>
    <w:rsid w:val="00494F25"/>
    <w:rsid w:val="004950B4"/>
    <w:rsid w:val="0049515F"/>
    <w:rsid w:val="004955F2"/>
    <w:rsid w:val="00495799"/>
    <w:rsid w:val="00495BEF"/>
    <w:rsid w:val="00495CA5"/>
    <w:rsid w:val="0049613D"/>
    <w:rsid w:val="00496203"/>
    <w:rsid w:val="0049625B"/>
    <w:rsid w:val="00496636"/>
    <w:rsid w:val="00496868"/>
    <w:rsid w:val="004968BE"/>
    <w:rsid w:val="00496D5F"/>
    <w:rsid w:val="004972D9"/>
    <w:rsid w:val="004973CF"/>
    <w:rsid w:val="0049759F"/>
    <w:rsid w:val="00497848"/>
    <w:rsid w:val="0049784E"/>
    <w:rsid w:val="004A0B3E"/>
    <w:rsid w:val="004A1217"/>
    <w:rsid w:val="004A14F9"/>
    <w:rsid w:val="004A1B30"/>
    <w:rsid w:val="004A1D6E"/>
    <w:rsid w:val="004A1DE9"/>
    <w:rsid w:val="004A264E"/>
    <w:rsid w:val="004A265E"/>
    <w:rsid w:val="004A2AFA"/>
    <w:rsid w:val="004A2BFE"/>
    <w:rsid w:val="004A2C2F"/>
    <w:rsid w:val="004A2CEB"/>
    <w:rsid w:val="004A2E3C"/>
    <w:rsid w:val="004A33F8"/>
    <w:rsid w:val="004A3671"/>
    <w:rsid w:val="004A37EA"/>
    <w:rsid w:val="004A44A5"/>
    <w:rsid w:val="004A46C3"/>
    <w:rsid w:val="004A48EB"/>
    <w:rsid w:val="004A4EB7"/>
    <w:rsid w:val="004A4F45"/>
    <w:rsid w:val="004A501D"/>
    <w:rsid w:val="004A5A3F"/>
    <w:rsid w:val="004A5A61"/>
    <w:rsid w:val="004A5BCE"/>
    <w:rsid w:val="004A6283"/>
    <w:rsid w:val="004A628B"/>
    <w:rsid w:val="004A66EF"/>
    <w:rsid w:val="004A6D52"/>
    <w:rsid w:val="004A708E"/>
    <w:rsid w:val="004A7223"/>
    <w:rsid w:val="004A74AD"/>
    <w:rsid w:val="004A7FD9"/>
    <w:rsid w:val="004B0028"/>
    <w:rsid w:val="004B0109"/>
    <w:rsid w:val="004B0385"/>
    <w:rsid w:val="004B1141"/>
    <w:rsid w:val="004B121B"/>
    <w:rsid w:val="004B1437"/>
    <w:rsid w:val="004B1992"/>
    <w:rsid w:val="004B1A2C"/>
    <w:rsid w:val="004B1ABA"/>
    <w:rsid w:val="004B2071"/>
    <w:rsid w:val="004B2E39"/>
    <w:rsid w:val="004B2FF3"/>
    <w:rsid w:val="004B301A"/>
    <w:rsid w:val="004B31B6"/>
    <w:rsid w:val="004B328A"/>
    <w:rsid w:val="004B338C"/>
    <w:rsid w:val="004B3A3F"/>
    <w:rsid w:val="004B3A9A"/>
    <w:rsid w:val="004B3E9A"/>
    <w:rsid w:val="004B3FD1"/>
    <w:rsid w:val="004B4046"/>
    <w:rsid w:val="004B41DC"/>
    <w:rsid w:val="004B4483"/>
    <w:rsid w:val="004B45C9"/>
    <w:rsid w:val="004B468B"/>
    <w:rsid w:val="004B46BF"/>
    <w:rsid w:val="004B47AE"/>
    <w:rsid w:val="004B47D9"/>
    <w:rsid w:val="004B4855"/>
    <w:rsid w:val="004B48AC"/>
    <w:rsid w:val="004B48E0"/>
    <w:rsid w:val="004B4FF7"/>
    <w:rsid w:val="004B51E0"/>
    <w:rsid w:val="004B6D99"/>
    <w:rsid w:val="004B7582"/>
    <w:rsid w:val="004B78EE"/>
    <w:rsid w:val="004B7964"/>
    <w:rsid w:val="004B7ABE"/>
    <w:rsid w:val="004B7D13"/>
    <w:rsid w:val="004B7FD2"/>
    <w:rsid w:val="004C014E"/>
    <w:rsid w:val="004C01FD"/>
    <w:rsid w:val="004C0574"/>
    <w:rsid w:val="004C0781"/>
    <w:rsid w:val="004C0C06"/>
    <w:rsid w:val="004C0CDA"/>
    <w:rsid w:val="004C0E14"/>
    <w:rsid w:val="004C0FA1"/>
    <w:rsid w:val="004C1398"/>
    <w:rsid w:val="004C1B6F"/>
    <w:rsid w:val="004C1C6B"/>
    <w:rsid w:val="004C1C73"/>
    <w:rsid w:val="004C1D19"/>
    <w:rsid w:val="004C1E13"/>
    <w:rsid w:val="004C1E6A"/>
    <w:rsid w:val="004C2A12"/>
    <w:rsid w:val="004C2CFC"/>
    <w:rsid w:val="004C2D08"/>
    <w:rsid w:val="004C3506"/>
    <w:rsid w:val="004C3521"/>
    <w:rsid w:val="004C36C1"/>
    <w:rsid w:val="004C3770"/>
    <w:rsid w:val="004C37F9"/>
    <w:rsid w:val="004C3864"/>
    <w:rsid w:val="004C3C6E"/>
    <w:rsid w:val="004C423A"/>
    <w:rsid w:val="004C42E7"/>
    <w:rsid w:val="004C4A2F"/>
    <w:rsid w:val="004C4C4B"/>
    <w:rsid w:val="004C4DEB"/>
    <w:rsid w:val="004C50BE"/>
    <w:rsid w:val="004C5258"/>
    <w:rsid w:val="004C532E"/>
    <w:rsid w:val="004C5703"/>
    <w:rsid w:val="004C5784"/>
    <w:rsid w:val="004C59C0"/>
    <w:rsid w:val="004C62C8"/>
    <w:rsid w:val="004C690E"/>
    <w:rsid w:val="004C6E7F"/>
    <w:rsid w:val="004C707C"/>
    <w:rsid w:val="004C7085"/>
    <w:rsid w:val="004C7100"/>
    <w:rsid w:val="004C7413"/>
    <w:rsid w:val="004C7657"/>
    <w:rsid w:val="004C77DF"/>
    <w:rsid w:val="004C7FAC"/>
    <w:rsid w:val="004D00EF"/>
    <w:rsid w:val="004D0547"/>
    <w:rsid w:val="004D0683"/>
    <w:rsid w:val="004D0A71"/>
    <w:rsid w:val="004D0EB6"/>
    <w:rsid w:val="004D101F"/>
    <w:rsid w:val="004D12E4"/>
    <w:rsid w:val="004D12E8"/>
    <w:rsid w:val="004D1568"/>
    <w:rsid w:val="004D1E31"/>
    <w:rsid w:val="004D2070"/>
    <w:rsid w:val="004D25CF"/>
    <w:rsid w:val="004D27DC"/>
    <w:rsid w:val="004D29C6"/>
    <w:rsid w:val="004D2B3F"/>
    <w:rsid w:val="004D2E0F"/>
    <w:rsid w:val="004D42F4"/>
    <w:rsid w:val="004D44EB"/>
    <w:rsid w:val="004D48EB"/>
    <w:rsid w:val="004D4D28"/>
    <w:rsid w:val="004D525C"/>
    <w:rsid w:val="004D58BC"/>
    <w:rsid w:val="004D5CF7"/>
    <w:rsid w:val="004D6D07"/>
    <w:rsid w:val="004D7117"/>
    <w:rsid w:val="004D736C"/>
    <w:rsid w:val="004D741A"/>
    <w:rsid w:val="004D779C"/>
    <w:rsid w:val="004D77C6"/>
    <w:rsid w:val="004D7927"/>
    <w:rsid w:val="004D7AF9"/>
    <w:rsid w:val="004D7C38"/>
    <w:rsid w:val="004D7D1D"/>
    <w:rsid w:val="004E0069"/>
    <w:rsid w:val="004E03FC"/>
    <w:rsid w:val="004E06F4"/>
    <w:rsid w:val="004E0780"/>
    <w:rsid w:val="004E0A6F"/>
    <w:rsid w:val="004E0B59"/>
    <w:rsid w:val="004E0E24"/>
    <w:rsid w:val="004E0F12"/>
    <w:rsid w:val="004E0FFC"/>
    <w:rsid w:val="004E12E6"/>
    <w:rsid w:val="004E140B"/>
    <w:rsid w:val="004E1509"/>
    <w:rsid w:val="004E1572"/>
    <w:rsid w:val="004E1782"/>
    <w:rsid w:val="004E185B"/>
    <w:rsid w:val="004E20B9"/>
    <w:rsid w:val="004E2B8F"/>
    <w:rsid w:val="004E2CFD"/>
    <w:rsid w:val="004E2D9E"/>
    <w:rsid w:val="004E2DBA"/>
    <w:rsid w:val="004E2F48"/>
    <w:rsid w:val="004E35D7"/>
    <w:rsid w:val="004E36CD"/>
    <w:rsid w:val="004E382C"/>
    <w:rsid w:val="004E3CBC"/>
    <w:rsid w:val="004E3E02"/>
    <w:rsid w:val="004E401C"/>
    <w:rsid w:val="004E4F68"/>
    <w:rsid w:val="004E507C"/>
    <w:rsid w:val="004E5508"/>
    <w:rsid w:val="004E57BD"/>
    <w:rsid w:val="004E5A98"/>
    <w:rsid w:val="004E5BFE"/>
    <w:rsid w:val="004E5F8D"/>
    <w:rsid w:val="004E6057"/>
    <w:rsid w:val="004E6B19"/>
    <w:rsid w:val="004E6BCD"/>
    <w:rsid w:val="004E6CC6"/>
    <w:rsid w:val="004E6D66"/>
    <w:rsid w:val="004E6DFC"/>
    <w:rsid w:val="004E76EC"/>
    <w:rsid w:val="004E7810"/>
    <w:rsid w:val="004E7EF9"/>
    <w:rsid w:val="004E7FC6"/>
    <w:rsid w:val="004F008C"/>
    <w:rsid w:val="004F011F"/>
    <w:rsid w:val="004F077B"/>
    <w:rsid w:val="004F07B4"/>
    <w:rsid w:val="004F0B5F"/>
    <w:rsid w:val="004F0B7A"/>
    <w:rsid w:val="004F10BB"/>
    <w:rsid w:val="004F170B"/>
    <w:rsid w:val="004F1787"/>
    <w:rsid w:val="004F1861"/>
    <w:rsid w:val="004F1D54"/>
    <w:rsid w:val="004F1F96"/>
    <w:rsid w:val="004F2290"/>
    <w:rsid w:val="004F29D0"/>
    <w:rsid w:val="004F2DD2"/>
    <w:rsid w:val="004F2E8F"/>
    <w:rsid w:val="004F2F47"/>
    <w:rsid w:val="004F3071"/>
    <w:rsid w:val="004F3154"/>
    <w:rsid w:val="004F317E"/>
    <w:rsid w:val="004F34D7"/>
    <w:rsid w:val="004F42A8"/>
    <w:rsid w:val="004F43EC"/>
    <w:rsid w:val="004F48E7"/>
    <w:rsid w:val="004F4E98"/>
    <w:rsid w:val="004F5320"/>
    <w:rsid w:val="004F5439"/>
    <w:rsid w:val="004F5598"/>
    <w:rsid w:val="004F5A05"/>
    <w:rsid w:val="004F5E7C"/>
    <w:rsid w:val="004F62BA"/>
    <w:rsid w:val="004F712D"/>
    <w:rsid w:val="004F780D"/>
    <w:rsid w:val="004F7941"/>
    <w:rsid w:val="004F7C45"/>
    <w:rsid w:val="004F7D20"/>
    <w:rsid w:val="004F7ED5"/>
    <w:rsid w:val="004F7FB1"/>
    <w:rsid w:val="005001FC"/>
    <w:rsid w:val="00500217"/>
    <w:rsid w:val="00500269"/>
    <w:rsid w:val="005002CC"/>
    <w:rsid w:val="005003AC"/>
    <w:rsid w:val="00500770"/>
    <w:rsid w:val="00500AF9"/>
    <w:rsid w:val="005012E0"/>
    <w:rsid w:val="00501476"/>
    <w:rsid w:val="0050151B"/>
    <w:rsid w:val="005017AB"/>
    <w:rsid w:val="00501CB4"/>
    <w:rsid w:val="00501D42"/>
    <w:rsid w:val="00501E1F"/>
    <w:rsid w:val="005020A6"/>
    <w:rsid w:val="005020E6"/>
    <w:rsid w:val="00502267"/>
    <w:rsid w:val="005022CB"/>
    <w:rsid w:val="00502522"/>
    <w:rsid w:val="00502640"/>
    <w:rsid w:val="005028F9"/>
    <w:rsid w:val="00502946"/>
    <w:rsid w:val="00502961"/>
    <w:rsid w:val="00502A72"/>
    <w:rsid w:val="00503150"/>
    <w:rsid w:val="00503A14"/>
    <w:rsid w:val="00503E93"/>
    <w:rsid w:val="00503EE5"/>
    <w:rsid w:val="005040B8"/>
    <w:rsid w:val="0050458C"/>
    <w:rsid w:val="00504652"/>
    <w:rsid w:val="0050465B"/>
    <w:rsid w:val="0050478D"/>
    <w:rsid w:val="0050496F"/>
    <w:rsid w:val="00504CDE"/>
    <w:rsid w:val="00504E94"/>
    <w:rsid w:val="00504F2B"/>
    <w:rsid w:val="005053E1"/>
    <w:rsid w:val="00505591"/>
    <w:rsid w:val="005057E4"/>
    <w:rsid w:val="00505F14"/>
    <w:rsid w:val="00505F94"/>
    <w:rsid w:val="005060E0"/>
    <w:rsid w:val="005063F2"/>
    <w:rsid w:val="005066A4"/>
    <w:rsid w:val="00506C8F"/>
    <w:rsid w:val="005075C2"/>
    <w:rsid w:val="0050785D"/>
    <w:rsid w:val="00507B11"/>
    <w:rsid w:val="00507FCB"/>
    <w:rsid w:val="0051007F"/>
    <w:rsid w:val="005103CB"/>
    <w:rsid w:val="00510E58"/>
    <w:rsid w:val="00511C51"/>
    <w:rsid w:val="00511CE9"/>
    <w:rsid w:val="00511D40"/>
    <w:rsid w:val="00511E72"/>
    <w:rsid w:val="0051201D"/>
    <w:rsid w:val="00512084"/>
    <w:rsid w:val="005122A7"/>
    <w:rsid w:val="0051230A"/>
    <w:rsid w:val="00512C43"/>
    <w:rsid w:val="00512C7E"/>
    <w:rsid w:val="00512D94"/>
    <w:rsid w:val="00512E99"/>
    <w:rsid w:val="005134D2"/>
    <w:rsid w:val="005136C6"/>
    <w:rsid w:val="00513844"/>
    <w:rsid w:val="00514068"/>
    <w:rsid w:val="00514504"/>
    <w:rsid w:val="00514D4D"/>
    <w:rsid w:val="0051529C"/>
    <w:rsid w:val="005152F5"/>
    <w:rsid w:val="005154F9"/>
    <w:rsid w:val="00515631"/>
    <w:rsid w:val="005159FA"/>
    <w:rsid w:val="00515B49"/>
    <w:rsid w:val="00516530"/>
    <w:rsid w:val="00516D92"/>
    <w:rsid w:val="00516E5F"/>
    <w:rsid w:val="00516F39"/>
    <w:rsid w:val="00516FE9"/>
    <w:rsid w:val="00517387"/>
    <w:rsid w:val="0051746D"/>
    <w:rsid w:val="00517664"/>
    <w:rsid w:val="00517D81"/>
    <w:rsid w:val="00520027"/>
    <w:rsid w:val="0052080C"/>
    <w:rsid w:val="00520899"/>
    <w:rsid w:val="00520BD1"/>
    <w:rsid w:val="00520C22"/>
    <w:rsid w:val="00520DF8"/>
    <w:rsid w:val="00521471"/>
    <w:rsid w:val="00521842"/>
    <w:rsid w:val="00521903"/>
    <w:rsid w:val="00521E2F"/>
    <w:rsid w:val="005220F3"/>
    <w:rsid w:val="00522553"/>
    <w:rsid w:val="00522742"/>
    <w:rsid w:val="0052275A"/>
    <w:rsid w:val="00522766"/>
    <w:rsid w:val="005227B7"/>
    <w:rsid w:val="005229AF"/>
    <w:rsid w:val="00522A90"/>
    <w:rsid w:val="00522FD9"/>
    <w:rsid w:val="00523018"/>
    <w:rsid w:val="005231A0"/>
    <w:rsid w:val="00523659"/>
    <w:rsid w:val="00523DA4"/>
    <w:rsid w:val="00523FA2"/>
    <w:rsid w:val="0052440E"/>
    <w:rsid w:val="005249E0"/>
    <w:rsid w:val="00524A9D"/>
    <w:rsid w:val="00524AB6"/>
    <w:rsid w:val="00524BE0"/>
    <w:rsid w:val="00524D33"/>
    <w:rsid w:val="00524E3B"/>
    <w:rsid w:val="00524E5D"/>
    <w:rsid w:val="005253A9"/>
    <w:rsid w:val="00525660"/>
    <w:rsid w:val="0052629B"/>
    <w:rsid w:val="00526369"/>
    <w:rsid w:val="005265C0"/>
    <w:rsid w:val="00526E0F"/>
    <w:rsid w:val="00526F1D"/>
    <w:rsid w:val="005276B3"/>
    <w:rsid w:val="0052775F"/>
    <w:rsid w:val="00527A0C"/>
    <w:rsid w:val="00527B64"/>
    <w:rsid w:val="00527CFA"/>
    <w:rsid w:val="005300A9"/>
    <w:rsid w:val="005304CF"/>
    <w:rsid w:val="005307B8"/>
    <w:rsid w:val="005309EF"/>
    <w:rsid w:val="00530CFD"/>
    <w:rsid w:val="00531234"/>
    <w:rsid w:val="00531250"/>
    <w:rsid w:val="0053171E"/>
    <w:rsid w:val="00531741"/>
    <w:rsid w:val="005319A8"/>
    <w:rsid w:val="00531AEE"/>
    <w:rsid w:val="00531CFD"/>
    <w:rsid w:val="00531E85"/>
    <w:rsid w:val="005324E0"/>
    <w:rsid w:val="00532BA0"/>
    <w:rsid w:val="00532D44"/>
    <w:rsid w:val="00532D6B"/>
    <w:rsid w:val="00532E41"/>
    <w:rsid w:val="00533567"/>
    <w:rsid w:val="00533939"/>
    <w:rsid w:val="00534074"/>
    <w:rsid w:val="005340BD"/>
    <w:rsid w:val="00534EB6"/>
    <w:rsid w:val="00535021"/>
    <w:rsid w:val="00535352"/>
    <w:rsid w:val="005353D4"/>
    <w:rsid w:val="00535A46"/>
    <w:rsid w:val="00535A80"/>
    <w:rsid w:val="00535DA2"/>
    <w:rsid w:val="005363E8"/>
    <w:rsid w:val="0053676B"/>
    <w:rsid w:val="00536F28"/>
    <w:rsid w:val="00536F35"/>
    <w:rsid w:val="0053716F"/>
    <w:rsid w:val="00537627"/>
    <w:rsid w:val="00537796"/>
    <w:rsid w:val="00537816"/>
    <w:rsid w:val="00537A11"/>
    <w:rsid w:val="00540359"/>
    <w:rsid w:val="005408C9"/>
    <w:rsid w:val="00540FBD"/>
    <w:rsid w:val="0054166D"/>
    <w:rsid w:val="005416C6"/>
    <w:rsid w:val="00541FC3"/>
    <w:rsid w:val="0054212B"/>
    <w:rsid w:val="005424BF"/>
    <w:rsid w:val="00542565"/>
    <w:rsid w:val="0054257D"/>
    <w:rsid w:val="005428FF"/>
    <w:rsid w:val="00542924"/>
    <w:rsid w:val="00542A53"/>
    <w:rsid w:val="00542B57"/>
    <w:rsid w:val="00542E3D"/>
    <w:rsid w:val="00542E6F"/>
    <w:rsid w:val="00542F8B"/>
    <w:rsid w:val="0054344E"/>
    <w:rsid w:val="0054347F"/>
    <w:rsid w:val="005440C3"/>
    <w:rsid w:val="005442B5"/>
    <w:rsid w:val="005443B6"/>
    <w:rsid w:val="005444D7"/>
    <w:rsid w:val="0054463E"/>
    <w:rsid w:val="005446DE"/>
    <w:rsid w:val="0054478D"/>
    <w:rsid w:val="0054483E"/>
    <w:rsid w:val="0054486F"/>
    <w:rsid w:val="005448C8"/>
    <w:rsid w:val="005449D9"/>
    <w:rsid w:val="00544A5A"/>
    <w:rsid w:val="00544B6A"/>
    <w:rsid w:val="00544F76"/>
    <w:rsid w:val="00545100"/>
    <w:rsid w:val="005451C0"/>
    <w:rsid w:val="005454FD"/>
    <w:rsid w:val="005456F5"/>
    <w:rsid w:val="00545768"/>
    <w:rsid w:val="00545BF2"/>
    <w:rsid w:val="005469C8"/>
    <w:rsid w:val="00546FE6"/>
    <w:rsid w:val="0054734C"/>
    <w:rsid w:val="005473E9"/>
    <w:rsid w:val="00547571"/>
    <w:rsid w:val="005477C9"/>
    <w:rsid w:val="0054783C"/>
    <w:rsid w:val="00547B77"/>
    <w:rsid w:val="00547B96"/>
    <w:rsid w:val="00547E13"/>
    <w:rsid w:val="00547EA9"/>
    <w:rsid w:val="00547EE0"/>
    <w:rsid w:val="00550114"/>
    <w:rsid w:val="005501E9"/>
    <w:rsid w:val="005507E5"/>
    <w:rsid w:val="00550950"/>
    <w:rsid w:val="00550AE7"/>
    <w:rsid w:val="00551629"/>
    <w:rsid w:val="005517C7"/>
    <w:rsid w:val="005519B5"/>
    <w:rsid w:val="00551B54"/>
    <w:rsid w:val="00551B5A"/>
    <w:rsid w:val="00551C73"/>
    <w:rsid w:val="00551D20"/>
    <w:rsid w:val="00551DB7"/>
    <w:rsid w:val="00551DF2"/>
    <w:rsid w:val="00551E37"/>
    <w:rsid w:val="00551F8F"/>
    <w:rsid w:val="0055209E"/>
    <w:rsid w:val="005521E1"/>
    <w:rsid w:val="00552254"/>
    <w:rsid w:val="005525C3"/>
    <w:rsid w:val="0055264D"/>
    <w:rsid w:val="00552A4C"/>
    <w:rsid w:val="005533EA"/>
    <w:rsid w:val="005538AA"/>
    <w:rsid w:val="005539EE"/>
    <w:rsid w:val="00553B81"/>
    <w:rsid w:val="00553BDD"/>
    <w:rsid w:val="00553C68"/>
    <w:rsid w:val="00553D22"/>
    <w:rsid w:val="00553DF9"/>
    <w:rsid w:val="00553FF0"/>
    <w:rsid w:val="00554209"/>
    <w:rsid w:val="00554338"/>
    <w:rsid w:val="0055435B"/>
    <w:rsid w:val="005548D0"/>
    <w:rsid w:val="005548F5"/>
    <w:rsid w:val="00555A5A"/>
    <w:rsid w:val="0055633E"/>
    <w:rsid w:val="0055641A"/>
    <w:rsid w:val="005564B9"/>
    <w:rsid w:val="005565DC"/>
    <w:rsid w:val="005566AF"/>
    <w:rsid w:val="00556CD1"/>
    <w:rsid w:val="0055708F"/>
    <w:rsid w:val="005572F0"/>
    <w:rsid w:val="00557833"/>
    <w:rsid w:val="0055790A"/>
    <w:rsid w:val="0056049C"/>
    <w:rsid w:val="005609FA"/>
    <w:rsid w:val="00560C6D"/>
    <w:rsid w:val="00561320"/>
    <w:rsid w:val="005619A2"/>
    <w:rsid w:val="00561BFF"/>
    <w:rsid w:val="00561E8E"/>
    <w:rsid w:val="00561EEE"/>
    <w:rsid w:val="00562591"/>
    <w:rsid w:val="005630A8"/>
    <w:rsid w:val="005632D6"/>
    <w:rsid w:val="00563346"/>
    <w:rsid w:val="00563404"/>
    <w:rsid w:val="005634ED"/>
    <w:rsid w:val="00563960"/>
    <w:rsid w:val="00563BC5"/>
    <w:rsid w:val="00563BD5"/>
    <w:rsid w:val="00563CD1"/>
    <w:rsid w:val="00563ECB"/>
    <w:rsid w:val="0056465E"/>
    <w:rsid w:val="005649BA"/>
    <w:rsid w:val="00564B91"/>
    <w:rsid w:val="00564FA2"/>
    <w:rsid w:val="00565015"/>
    <w:rsid w:val="0056511E"/>
    <w:rsid w:val="00565413"/>
    <w:rsid w:val="005654B4"/>
    <w:rsid w:val="00565586"/>
    <w:rsid w:val="0056563A"/>
    <w:rsid w:val="00565F54"/>
    <w:rsid w:val="0056660C"/>
    <w:rsid w:val="00566B62"/>
    <w:rsid w:val="00566C8D"/>
    <w:rsid w:val="00566D6F"/>
    <w:rsid w:val="00566EFA"/>
    <w:rsid w:val="0056709D"/>
    <w:rsid w:val="0056714C"/>
    <w:rsid w:val="00567181"/>
    <w:rsid w:val="005671CF"/>
    <w:rsid w:val="0056780B"/>
    <w:rsid w:val="00567C10"/>
    <w:rsid w:val="0057045A"/>
    <w:rsid w:val="00570604"/>
    <w:rsid w:val="00570958"/>
    <w:rsid w:val="00571168"/>
    <w:rsid w:val="005713D3"/>
    <w:rsid w:val="00571540"/>
    <w:rsid w:val="0057165F"/>
    <w:rsid w:val="0057176C"/>
    <w:rsid w:val="005718D2"/>
    <w:rsid w:val="00571D7B"/>
    <w:rsid w:val="00572316"/>
    <w:rsid w:val="00572847"/>
    <w:rsid w:val="00572B02"/>
    <w:rsid w:val="00572CF1"/>
    <w:rsid w:val="00572FAD"/>
    <w:rsid w:val="00573A27"/>
    <w:rsid w:val="00573FEB"/>
    <w:rsid w:val="0057468D"/>
    <w:rsid w:val="005746FB"/>
    <w:rsid w:val="005749C1"/>
    <w:rsid w:val="00574AD6"/>
    <w:rsid w:val="00574CC0"/>
    <w:rsid w:val="00574E76"/>
    <w:rsid w:val="0057505C"/>
    <w:rsid w:val="0057529B"/>
    <w:rsid w:val="00575377"/>
    <w:rsid w:val="005754A4"/>
    <w:rsid w:val="005758BA"/>
    <w:rsid w:val="00575C6D"/>
    <w:rsid w:val="00575D27"/>
    <w:rsid w:val="00575DD6"/>
    <w:rsid w:val="00575EA5"/>
    <w:rsid w:val="00576120"/>
    <w:rsid w:val="005769B2"/>
    <w:rsid w:val="00576B66"/>
    <w:rsid w:val="0057721B"/>
    <w:rsid w:val="0057759A"/>
    <w:rsid w:val="005775FC"/>
    <w:rsid w:val="00577AB4"/>
    <w:rsid w:val="00577F30"/>
    <w:rsid w:val="005805D8"/>
    <w:rsid w:val="005808E1"/>
    <w:rsid w:val="00580BB8"/>
    <w:rsid w:val="00581540"/>
    <w:rsid w:val="00581BC1"/>
    <w:rsid w:val="00581D48"/>
    <w:rsid w:val="00581D56"/>
    <w:rsid w:val="00582088"/>
    <w:rsid w:val="00582600"/>
    <w:rsid w:val="005826A7"/>
    <w:rsid w:val="0058276F"/>
    <w:rsid w:val="005831A0"/>
    <w:rsid w:val="00583388"/>
    <w:rsid w:val="00583592"/>
    <w:rsid w:val="0058379F"/>
    <w:rsid w:val="00583A15"/>
    <w:rsid w:val="00584129"/>
    <w:rsid w:val="00584553"/>
    <w:rsid w:val="00584819"/>
    <w:rsid w:val="005848AB"/>
    <w:rsid w:val="00584C43"/>
    <w:rsid w:val="00584E86"/>
    <w:rsid w:val="00584EE2"/>
    <w:rsid w:val="00584F92"/>
    <w:rsid w:val="00585575"/>
    <w:rsid w:val="00585C51"/>
    <w:rsid w:val="00585E59"/>
    <w:rsid w:val="00585F6F"/>
    <w:rsid w:val="00585F74"/>
    <w:rsid w:val="0058610E"/>
    <w:rsid w:val="00586186"/>
    <w:rsid w:val="00586336"/>
    <w:rsid w:val="0058639A"/>
    <w:rsid w:val="0058643D"/>
    <w:rsid w:val="005868C6"/>
    <w:rsid w:val="00586A0C"/>
    <w:rsid w:val="0058749B"/>
    <w:rsid w:val="00587835"/>
    <w:rsid w:val="00587FC5"/>
    <w:rsid w:val="00590066"/>
    <w:rsid w:val="00590293"/>
    <w:rsid w:val="005902C2"/>
    <w:rsid w:val="005904FE"/>
    <w:rsid w:val="005907D4"/>
    <w:rsid w:val="00590846"/>
    <w:rsid w:val="00590A13"/>
    <w:rsid w:val="00590C27"/>
    <w:rsid w:val="00590E5B"/>
    <w:rsid w:val="005910A6"/>
    <w:rsid w:val="005911B9"/>
    <w:rsid w:val="0059160B"/>
    <w:rsid w:val="005916C8"/>
    <w:rsid w:val="005918F1"/>
    <w:rsid w:val="00591C1E"/>
    <w:rsid w:val="00591CCA"/>
    <w:rsid w:val="00591DB0"/>
    <w:rsid w:val="00592149"/>
    <w:rsid w:val="00592DDB"/>
    <w:rsid w:val="00592EE6"/>
    <w:rsid w:val="00593239"/>
    <w:rsid w:val="0059330C"/>
    <w:rsid w:val="00593611"/>
    <w:rsid w:val="00593ACF"/>
    <w:rsid w:val="00593AE3"/>
    <w:rsid w:val="00593B4A"/>
    <w:rsid w:val="00593DB3"/>
    <w:rsid w:val="00593DC5"/>
    <w:rsid w:val="00593F2D"/>
    <w:rsid w:val="005943DA"/>
    <w:rsid w:val="005945DB"/>
    <w:rsid w:val="00594609"/>
    <w:rsid w:val="00594A79"/>
    <w:rsid w:val="00594EBD"/>
    <w:rsid w:val="00595143"/>
    <w:rsid w:val="00595387"/>
    <w:rsid w:val="0059544C"/>
    <w:rsid w:val="0059552D"/>
    <w:rsid w:val="00595B33"/>
    <w:rsid w:val="00595B89"/>
    <w:rsid w:val="005962C5"/>
    <w:rsid w:val="005967A1"/>
    <w:rsid w:val="00596ACE"/>
    <w:rsid w:val="00596C3D"/>
    <w:rsid w:val="00596DC6"/>
    <w:rsid w:val="00596F5B"/>
    <w:rsid w:val="0059719C"/>
    <w:rsid w:val="00597291"/>
    <w:rsid w:val="0059740D"/>
    <w:rsid w:val="005978DA"/>
    <w:rsid w:val="00597DDC"/>
    <w:rsid w:val="00597ED9"/>
    <w:rsid w:val="005A003C"/>
    <w:rsid w:val="005A008E"/>
    <w:rsid w:val="005A0318"/>
    <w:rsid w:val="005A046A"/>
    <w:rsid w:val="005A0587"/>
    <w:rsid w:val="005A06AE"/>
    <w:rsid w:val="005A080D"/>
    <w:rsid w:val="005A0C3B"/>
    <w:rsid w:val="005A0F2C"/>
    <w:rsid w:val="005A134F"/>
    <w:rsid w:val="005A15FF"/>
    <w:rsid w:val="005A1D6A"/>
    <w:rsid w:val="005A1F56"/>
    <w:rsid w:val="005A20DA"/>
    <w:rsid w:val="005A221B"/>
    <w:rsid w:val="005A2354"/>
    <w:rsid w:val="005A24D2"/>
    <w:rsid w:val="005A258F"/>
    <w:rsid w:val="005A2746"/>
    <w:rsid w:val="005A2DCB"/>
    <w:rsid w:val="005A2E42"/>
    <w:rsid w:val="005A2E85"/>
    <w:rsid w:val="005A2F9B"/>
    <w:rsid w:val="005A3679"/>
    <w:rsid w:val="005A39B4"/>
    <w:rsid w:val="005A3BBE"/>
    <w:rsid w:val="005A3C10"/>
    <w:rsid w:val="005A3DFB"/>
    <w:rsid w:val="005A3F44"/>
    <w:rsid w:val="005A41C7"/>
    <w:rsid w:val="005A49CA"/>
    <w:rsid w:val="005A4D2B"/>
    <w:rsid w:val="005A4E57"/>
    <w:rsid w:val="005A51C7"/>
    <w:rsid w:val="005A5245"/>
    <w:rsid w:val="005A5736"/>
    <w:rsid w:val="005A5AEA"/>
    <w:rsid w:val="005A5C4F"/>
    <w:rsid w:val="005A5F95"/>
    <w:rsid w:val="005A60B3"/>
    <w:rsid w:val="005A62DD"/>
    <w:rsid w:val="005A6324"/>
    <w:rsid w:val="005A6401"/>
    <w:rsid w:val="005A64AD"/>
    <w:rsid w:val="005A6596"/>
    <w:rsid w:val="005A6813"/>
    <w:rsid w:val="005A7162"/>
    <w:rsid w:val="005A7248"/>
    <w:rsid w:val="005A72D6"/>
    <w:rsid w:val="005A7376"/>
    <w:rsid w:val="005A74FF"/>
    <w:rsid w:val="005A7884"/>
    <w:rsid w:val="005A7C77"/>
    <w:rsid w:val="005B066D"/>
    <w:rsid w:val="005B07C9"/>
    <w:rsid w:val="005B083F"/>
    <w:rsid w:val="005B0A08"/>
    <w:rsid w:val="005B0DF2"/>
    <w:rsid w:val="005B0EAC"/>
    <w:rsid w:val="005B0EE9"/>
    <w:rsid w:val="005B116B"/>
    <w:rsid w:val="005B16E4"/>
    <w:rsid w:val="005B1848"/>
    <w:rsid w:val="005B1AC6"/>
    <w:rsid w:val="005B1D7F"/>
    <w:rsid w:val="005B1FA1"/>
    <w:rsid w:val="005B26CB"/>
    <w:rsid w:val="005B2817"/>
    <w:rsid w:val="005B2C96"/>
    <w:rsid w:val="005B2EC0"/>
    <w:rsid w:val="005B2F18"/>
    <w:rsid w:val="005B311A"/>
    <w:rsid w:val="005B32C4"/>
    <w:rsid w:val="005B34B9"/>
    <w:rsid w:val="005B367D"/>
    <w:rsid w:val="005B3B46"/>
    <w:rsid w:val="005B4000"/>
    <w:rsid w:val="005B453F"/>
    <w:rsid w:val="005B454F"/>
    <w:rsid w:val="005B46D7"/>
    <w:rsid w:val="005B48C4"/>
    <w:rsid w:val="005B4B4B"/>
    <w:rsid w:val="005B50C4"/>
    <w:rsid w:val="005B5288"/>
    <w:rsid w:val="005B5333"/>
    <w:rsid w:val="005B561C"/>
    <w:rsid w:val="005B5CA4"/>
    <w:rsid w:val="005B66A9"/>
    <w:rsid w:val="005B6B54"/>
    <w:rsid w:val="005B6B58"/>
    <w:rsid w:val="005B6C1E"/>
    <w:rsid w:val="005B6F9D"/>
    <w:rsid w:val="005B7099"/>
    <w:rsid w:val="005B7518"/>
    <w:rsid w:val="005B787D"/>
    <w:rsid w:val="005B79E2"/>
    <w:rsid w:val="005B7E4E"/>
    <w:rsid w:val="005C0380"/>
    <w:rsid w:val="005C03C7"/>
    <w:rsid w:val="005C06CA"/>
    <w:rsid w:val="005C0703"/>
    <w:rsid w:val="005C09C4"/>
    <w:rsid w:val="005C0B12"/>
    <w:rsid w:val="005C0E22"/>
    <w:rsid w:val="005C19DF"/>
    <w:rsid w:val="005C1A07"/>
    <w:rsid w:val="005C1BA8"/>
    <w:rsid w:val="005C20DE"/>
    <w:rsid w:val="005C2148"/>
    <w:rsid w:val="005C2443"/>
    <w:rsid w:val="005C25C3"/>
    <w:rsid w:val="005C2704"/>
    <w:rsid w:val="005C2886"/>
    <w:rsid w:val="005C2D1C"/>
    <w:rsid w:val="005C3324"/>
    <w:rsid w:val="005C3446"/>
    <w:rsid w:val="005C3825"/>
    <w:rsid w:val="005C4509"/>
    <w:rsid w:val="005C48C7"/>
    <w:rsid w:val="005C4A0C"/>
    <w:rsid w:val="005C4BE7"/>
    <w:rsid w:val="005C4F15"/>
    <w:rsid w:val="005C547A"/>
    <w:rsid w:val="005C57A5"/>
    <w:rsid w:val="005C585E"/>
    <w:rsid w:val="005C58B3"/>
    <w:rsid w:val="005C5AF1"/>
    <w:rsid w:val="005C5BAE"/>
    <w:rsid w:val="005C60BF"/>
    <w:rsid w:val="005C6582"/>
    <w:rsid w:val="005C66F1"/>
    <w:rsid w:val="005C6E23"/>
    <w:rsid w:val="005C6E9A"/>
    <w:rsid w:val="005C6ED5"/>
    <w:rsid w:val="005C6F37"/>
    <w:rsid w:val="005C7288"/>
    <w:rsid w:val="005C74B8"/>
    <w:rsid w:val="005C76A4"/>
    <w:rsid w:val="005C7894"/>
    <w:rsid w:val="005C7D01"/>
    <w:rsid w:val="005C7D0C"/>
    <w:rsid w:val="005C7DEA"/>
    <w:rsid w:val="005D00BF"/>
    <w:rsid w:val="005D05E1"/>
    <w:rsid w:val="005D0711"/>
    <w:rsid w:val="005D0998"/>
    <w:rsid w:val="005D0BE2"/>
    <w:rsid w:val="005D0BF2"/>
    <w:rsid w:val="005D0D82"/>
    <w:rsid w:val="005D1082"/>
    <w:rsid w:val="005D1231"/>
    <w:rsid w:val="005D127B"/>
    <w:rsid w:val="005D12E0"/>
    <w:rsid w:val="005D1545"/>
    <w:rsid w:val="005D1560"/>
    <w:rsid w:val="005D1CAA"/>
    <w:rsid w:val="005D1E4D"/>
    <w:rsid w:val="005D1F42"/>
    <w:rsid w:val="005D23E8"/>
    <w:rsid w:val="005D2659"/>
    <w:rsid w:val="005D2CD3"/>
    <w:rsid w:val="005D2EC9"/>
    <w:rsid w:val="005D309F"/>
    <w:rsid w:val="005D3C4B"/>
    <w:rsid w:val="005D4119"/>
    <w:rsid w:val="005D4199"/>
    <w:rsid w:val="005D44F0"/>
    <w:rsid w:val="005D462E"/>
    <w:rsid w:val="005D4A40"/>
    <w:rsid w:val="005D4C59"/>
    <w:rsid w:val="005D4D60"/>
    <w:rsid w:val="005D4DF9"/>
    <w:rsid w:val="005D4F42"/>
    <w:rsid w:val="005D5430"/>
    <w:rsid w:val="005D5739"/>
    <w:rsid w:val="005D5892"/>
    <w:rsid w:val="005D5D47"/>
    <w:rsid w:val="005D5D86"/>
    <w:rsid w:val="005D60BA"/>
    <w:rsid w:val="005D637E"/>
    <w:rsid w:val="005D6595"/>
    <w:rsid w:val="005D66C8"/>
    <w:rsid w:val="005D6711"/>
    <w:rsid w:val="005D674A"/>
    <w:rsid w:val="005D6799"/>
    <w:rsid w:val="005D6A32"/>
    <w:rsid w:val="005D6AE1"/>
    <w:rsid w:val="005D7769"/>
    <w:rsid w:val="005D77B0"/>
    <w:rsid w:val="005D7989"/>
    <w:rsid w:val="005D7DEA"/>
    <w:rsid w:val="005D7E8E"/>
    <w:rsid w:val="005E00ED"/>
    <w:rsid w:val="005E030A"/>
    <w:rsid w:val="005E0513"/>
    <w:rsid w:val="005E0671"/>
    <w:rsid w:val="005E0A11"/>
    <w:rsid w:val="005E0DCC"/>
    <w:rsid w:val="005E124E"/>
    <w:rsid w:val="005E1832"/>
    <w:rsid w:val="005E1A15"/>
    <w:rsid w:val="005E1DC5"/>
    <w:rsid w:val="005E21D4"/>
    <w:rsid w:val="005E2304"/>
    <w:rsid w:val="005E2646"/>
    <w:rsid w:val="005E2926"/>
    <w:rsid w:val="005E37DC"/>
    <w:rsid w:val="005E3AAC"/>
    <w:rsid w:val="005E3ACD"/>
    <w:rsid w:val="005E4238"/>
    <w:rsid w:val="005E4599"/>
    <w:rsid w:val="005E4B60"/>
    <w:rsid w:val="005E4B67"/>
    <w:rsid w:val="005E4B8A"/>
    <w:rsid w:val="005E4F67"/>
    <w:rsid w:val="005E4FBA"/>
    <w:rsid w:val="005E5196"/>
    <w:rsid w:val="005E583D"/>
    <w:rsid w:val="005E5CEE"/>
    <w:rsid w:val="005E5E37"/>
    <w:rsid w:val="005E677F"/>
    <w:rsid w:val="005E681A"/>
    <w:rsid w:val="005E696F"/>
    <w:rsid w:val="005E6BC7"/>
    <w:rsid w:val="005E736E"/>
    <w:rsid w:val="005E7CEC"/>
    <w:rsid w:val="005F0221"/>
    <w:rsid w:val="005F0299"/>
    <w:rsid w:val="005F0D5C"/>
    <w:rsid w:val="005F0DAF"/>
    <w:rsid w:val="005F0EF9"/>
    <w:rsid w:val="005F111D"/>
    <w:rsid w:val="005F1683"/>
    <w:rsid w:val="005F1699"/>
    <w:rsid w:val="005F172E"/>
    <w:rsid w:val="005F1E44"/>
    <w:rsid w:val="005F1EC6"/>
    <w:rsid w:val="005F1FF3"/>
    <w:rsid w:val="005F2154"/>
    <w:rsid w:val="005F2159"/>
    <w:rsid w:val="005F2217"/>
    <w:rsid w:val="005F252F"/>
    <w:rsid w:val="005F279B"/>
    <w:rsid w:val="005F287E"/>
    <w:rsid w:val="005F2880"/>
    <w:rsid w:val="005F2959"/>
    <w:rsid w:val="005F2B0D"/>
    <w:rsid w:val="005F2DE3"/>
    <w:rsid w:val="005F2F28"/>
    <w:rsid w:val="005F2F8C"/>
    <w:rsid w:val="005F3006"/>
    <w:rsid w:val="005F30B2"/>
    <w:rsid w:val="005F31B7"/>
    <w:rsid w:val="005F3565"/>
    <w:rsid w:val="005F398E"/>
    <w:rsid w:val="005F400F"/>
    <w:rsid w:val="005F4216"/>
    <w:rsid w:val="005F452E"/>
    <w:rsid w:val="005F4A2F"/>
    <w:rsid w:val="005F4C46"/>
    <w:rsid w:val="005F4DAA"/>
    <w:rsid w:val="005F4F11"/>
    <w:rsid w:val="005F5258"/>
    <w:rsid w:val="005F533B"/>
    <w:rsid w:val="005F5438"/>
    <w:rsid w:val="005F5497"/>
    <w:rsid w:val="005F5564"/>
    <w:rsid w:val="005F55CD"/>
    <w:rsid w:val="005F5942"/>
    <w:rsid w:val="005F59F9"/>
    <w:rsid w:val="005F5B22"/>
    <w:rsid w:val="005F5FFC"/>
    <w:rsid w:val="005F60D4"/>
    <w:rsid w:val="005F6104"/>
    <w:rsid w:val="005F637F"/>
    <w:rsid w:val="005F65ED"/>
    <w:rsid w:val="005F675B"/>
    <w:rsid w:val="005F6978"/>
    <w:rsid w:val="005F69A6"/>
    <w:rsid w:val="005F6C47"/>
    <w:rsid w:val="005F6D81"/>
    <w:rsid w:val="005F6F14"/>
    <w:rsid w:val="005F706F"/>
    <w:rsid w:val="005F75CF"/>
    <w:rsid w:val="005F77FB"/>
    <w:rsid w:val="005F79E8"/>
    <w:rsid w:val="005F7A03"/>
    <w:rsid w:val="005F7CCF"/>
    <w:rsid w:val="005F7D61"/>
    <w:rsid w:val="005F7EE8"/>
    <w:rsid w:val="005F7FDA"/>
    <w:rsid w:val="00600132"/>
    <w:rsid w:val="006004E0"/>
    <w:rsid w:val="00600C8D"/>
    <w:rsid w:val="00600D2E"/>
    <w:rsid w:val="00600EE1"/>
    <w:rsid w:val="006012C6"/>
    <w:rsid w:val="006012CE"/>
    <w:rsid w:val="006014BD"/>
    <w:rsid w:val="006016BD"/>
    <w:rsid w:val="006019E4"/>
    <w:rsid w:val="00601A11"/>
    <w:rsid w:val="006024F1"/>
    <w:rsid w:val="0060274A"/>
    <w:rsid w:val="006028C1"/>
    <w:rsid w:val="00602A5C"/>
    <w:rsid w:val="00602E0E"/>
    <w:rsid w:val="00602E7A"/>
    <w:rsid w:val="006035DA"/>
    <w:rsid w:val="00603831"/>
    <w:rsid w:val="00603A2B"/>
    <w:rsid w:val="00603C56"/>
    <w:rsid w:val="00603D7E"/>
    <w:rsid w:val="00603F19"/>
    <w:rsid w:val="006044B9"/>
    <w:rsid w:val="00604543"/>
    <w:rsid w:val="0060486C"/>
    <w:rsid w:val="006048D7"/>
    <w:rsid w:val="006049B3"/>
    <w:rsid w:val="00604A00"/>
    <w:rsid w:val="00604A34"/>
    <w:rsid w:val="00604DDF"/>
    <w:rsid w:val="00604E40"/>
    <w:rsid w:val="00605341"/>
    <w:rsid w:val="0060545B"/>
    <w:rsid w:val="00605749"/>
    <w:rsid w:val="0060656D"/>
    <w:rsid w:val="00606A76"/>
    <w:rsid w:val="00606AE5"/>
    <w:rsid w:val="00606B3C"/>
    <w:rsid w:val="00606CA6"/>
    <w:rsid w:val="00606CEB"/>
    <w:rsid w:val="00606E23"/>
    <w:rsid w:val="006072C0"/>
    <w:rsid w:val="0060768D"/>
    <w:rsid w:val="006077E6"/>
    <w:rsid w:val="006079BB"/>
    <w:rsid w:val="006079C5"/>
    <w:rsid w:val="00607D47"/>
    <w:rsid w:val="00607E1E"/>
    <w:rsid w:val="00607F0C"/>
    <w:rsid w:val="00607F9A"/>
    <w:rsid w:val="006102E0"/>
    <w:rsid w:val="00610320"/>
    <w:rsid w:val="006106BE"/>
    <w:rsid w:val="00610B08"/>
    <w:rsid w:val="00610D9F"/>
    <w:rsid w:val="00610DEB"/>
    <w:rsid w:val="006110D0"/>
    <w:rsid w:val="006115EB"/>
    <w:rsid w:val="006118F8"/>
    <w:rsid w:val="00611B29"/>
    <w:rsid w:val="00611C0B"/>
    <w:rsid w:val="00611F1A"/>
    <w:rsid w:val="00612270"/>
    <w:rsid w:val="0061234D"/>
    <w:rsid w:val="00613062"/>
    <w:rsid w:val="00613452"/>
    <w:rsid w:val="006135A8"/>
    <w:rsid w:val="006135B9"/>
    <w:rsid w:val="0061365E"/>
    <w:rsid w:val="00613975"/>
    <w:rsid w:val="00613BFE"/>
    <w:rsid w:val="00614282"/>
    <w:rsid w:val="006143E8"/>
    <w:rsid w:val="00614CE0"/>
    <w:rsid w:val="00615319"/>
    <w:rsid w:val="0061593C"/>
    <w:rsid w:val="00615D74"/>
    <w:rsid w:val="0061674E"/>
    <w:rsid w:val="006200F7"/>
    <w:rsid w:val="00620154"/>
    <w:rsid w:val="0062032B"/>
    <w:rsid w:val="006206D2"/>
    <w:rsid w:val="006209AD"/>
    <w:rsid w:val="00620B91"/>
    <w:rsid w:val="00620CB2"/>
    <w:rsid w:val="00620CFC"/>
    <w:rsid w:val="006216C0"/>
    <w:rsid w:val="0062176F"/>
    <w:rsid w:val="00621814"/>
    <w:rsid w:val="00621989"/>
    <w:rsid w:val="00621AC6"/>
    <w:rsid w:val="00621AE5"/>
    <w:rsid w:val="00621AEA"/>
    <w:rsid w:val="00622033"/>
    <w:rsid w:val="006226E5"/>
    <w:rsid w:val="006227AF"/>
    <w:rsid w:val="006229C3"/>
    <w:rsid w:val="00622CA1"/>
    <w:rsid w:val="00622E05"/>
    <w:rsid w:val="00622E16"/>
    <w:rsid w:val="0062304C"/>
    <w:rsid w:val="0062345B"/>
    <w:rsid w:val="0062375F"/>
    <w:rsid w:val="00623936"/>
    <w:rsid w:val="00623B22"/>
    <w:rsid w:val="00623D79"/>
    <w:rsid w:val="00624997"/>
    <w:rsid w:val="0062525E"/>
    <w:rsid w:val="00625783"/>
    <w:rsid w:val="00625E47"/>
    <w:rsid w:val="00625ECF"/>
    <w:rsid w:val="0062609D"/>
    <w:rsid w:val="0062611A"/>
    <w:rsid w:val="0062696F"/>
    <w:rsid w:val="00627020"/>
    <w:rsid w:val="0062714E"/>
    <w:rsid w:val="006272F9"/>
    <w:rsid w:val="00627841"/>
    <w:rsid w:val="006279C3"/>
    <w:rsid w:val="00627C41"/>
    <w:rsid w:val="00627E85"/>
    <w:rsid w:val="0063001D"/>
    <w:rsid w:val="00630413"/>
    <w:rsid w:val="00630C4F"/>
    <w:rsid w:val="00631574"/>
    <w:rsid w:val="00631660"/>
    <w:rsid w:val="00631828"/>
    <w:rsid w:val="00631A4D"/>
    <w:rsid w:val="00631E8E"/>
    <w:rsid w:val="00632278"/>
    <w:rsid w:val="00632689"/>
    <w:rsid w:val="0063268D"/>
    <w:rsid w:val="006326C1"/>
    <w:rsid w:val="006326D3"/>
    <w:rsid w:val="00632983"/>
    <w:rsid w:val="00632F41"/>
    <w:rsid w:val="006333BC"/>
    <w:rsid w:val="00633533"/>
    <w:rsid w:val="006339A6"/>
    <w:rsid w:val="00633F76"/>
    <w:rsid w:val="00634507"/>
    <w:rsid w:val="006345A7"/>
    <w:rsid w:val="006345E6"/>
    <w:rsid w:val="0063523F"/>
    <w:rsid w:val="0063524A"/>
    <w:rsid w:val="00635649"/>
    <w:rsid w:val="0063593E"/>
    <w:rsid w:val="00635E5B"/>
    <w:rsid w:val="00636169"/>
    <w:rsid w:val="00636188"/>
    <w:rsid w:val="006364A0"/>
    <w:rsid w:val="00636816"/>
    <w:rsid w:val="00636A13"/>
    <w:rsid w:val="00636B21"/>
    <w:rsid w:val="006370D7"/>
    <w:rsid w:val="00637867"/>
    <w:rsid w:val="0063792D"/>
    <w:rsid w:val="00640A8C"/>
    <w:rsid w:val="0064118B"/>
    <w:rsid w:val="00641338"/>
    <w:rsid w:val="006415DC"/>
    <w:rsid w:val="00641A48"/>
    <w:rsid w:val="00641A56"/>
    <w:rsid w:val="00641CB4"/>
    <w:rsid w:val="00641ED4"/>
    <w:rsid w:val="0064204E"/>
    <w:rsid w:val="0064242F"/>
    <w:rsid w:val="00642A93"/>
    <w:rsid w:val="00642CB2"/>
    <w:rsid w:val="00642D95"/>
    <w:rsid w:val="00642DEE"/>
    <w:rsid w:val="006432A7"/>
    <w:rsid w:val="00643936"/>
    <w:rsid w:val="00643BBF"/>
    <w:rsid w:val="0064410C"/>
    <w:rsid w:val="00644374"/>
    <w:rsid w:val="0064440A"/>
    <w:rsid w:val="0064488D"/>
    <w:rsid w:val="0064497A"/>
    <w:rsid w:val="006450A4"/>
    <w:rsid w:val="0064529C"/>
    <w:rsid w:val="00645538"/>
    <w:rsid w:val="006458F3"/>
    <w:rsid w:val="00645E3E"/>
    <w:rsid w:val="00645F73"/>
    <w:rsid w:val="0064613A"/>
    <w:rsid w:val="00646143"/>
    <w:rsid w:val="00646931"/>
    <w:rsid w:val="00646A43"/>
    <w:rsid w:val="00646C46"/>
    <w:rsid w:val="006474AA"/>
    <w:rsid w:val="006474E5"/>
    <w:rsid w:val="0064751B"/>
    <w:rsid w:val="0064785B"/>
    <w:rsid w:val="00647A06"/>
    <w:rsid w:val="006504A2"/>
    <w:rsid w:val="006504F1"/>
    <w:rsid w:val="00650613"/>
    <w:rsid w:val="00650783"/>
    <w:rsid w:val="00650AD8"/>
    <w:rsid w:val="00650F93"/>
    <w:rsid w:val="00651385"/>
    <w:rsid w:val="0065176C"/>
    <w:rsid w:val="0065184A"/>
    <w:rsid w:val="00652191"/>
    <w:rsid w:val="00652265"/>
    <w:rsid w:val="00652DED"/>
    <w:rsid w:val="00652E95"/>
    <w:rsid w:val="00652F9E"/>
    <w:rsid w:val="0065326F"/>
    <w:rsid w:val="006533BA"/>
    <w:rsid w:val="0065358E"/>
    <w:rsid w:val="0065377F"/>
    <w:rsid w:val="00653AC7"/>
    <w:rsid w:val="00653D1C"/>
    <w:rsid w:val="00653EFE"/>
    <w:rsid w:val="00654282"/>
    <w:rsid w:val="00654917"/>
    <w:rsid w:val="00654970"/>
    <w:rsid w:val="00654AA9"/>
    <w:rsid w:val="006550B5"/>
    <w:rsid w:val="006550F5"/>
    <w:rsid w:val="006558B3"/>
    <w:rsid w:val="00655931"/>
    <w:rsid w:val="00655B59"/>
    <w:rsid w:val="00656011"/>
    <w:rsid w:val="00656669"/>
    <w:rsid w:val="00656CBA"/>
    <w:rsid w:val="00656D23"/>
    <w:rsid w:val="00656DC3"/>
    <w:rsid w:val="00656E6F"/>
    <w:rsid w:val="00657074"/>
    <w:rsid w:val="00657141"/>
    <w:rsid w:val="00657AF3"/>
    <w:rsid w:val="00657D5A"/>
    <w:rsid w:val="006602FC"/>
    <w:rsid w:val="006603BF"/>
    <w:rsid w:val="006603FF"/>
    <w:rsid w:val="0066055C"/>
    <w:rsid w:val="006607B0"/>
    <w:rsid w:val="00660FC3"/>
    <w:rsid w:val="00661044"/>
    <w:rsid w:val="0066112B"/>
    <w:rsid w:val="006611F2"/>
    <w:rsid w:val="006611F8"/>
    <w:rsid w:val="00661317"/>
    <w:rsid w:val="00661637"/>
    <w:rsid w:val="006616D3"/>
    <w:rsid w:val="0066184D"/>
    <w:rsid w:val="00661BF3"/>
    <w:rsid w:val="00661F1B"/>
    <w:rsid w:val="0066223C"/>
    <w:rsid w:val="006622EA"/>
    <w:rsid w:val="006627A0"/>
    <w:rsid w:val="00662B94"/>
    <w:rsid w:val="0066311A"/>
    <w:rsid w:val="0066333A"/>
    <w:rsid w:val="0066357D"/>
    <w:rsid w:val="006636C7"/>
    <w:rsid w:val="00663841"/>
    <w:rsid w:val="00663866"/>
    <w:rsid w:val="00663AF8"/>
    <w:rsid w:val="00663E5C"/>
    <w:rsid w:val="00663EBA"/>
    <w:rsid w:val="00663F89"/>
    <w:rsid w:val="006640A4"/>
    <w:rsid w:val="00664926"/>
    <w:rsid w:val="00664D44"/>
    <w:rsid w:val="00665000"/>
    <w:rsid w:val="00665224"/>
    <w:rsid w:val="0066552E"/>
    <w:rsid w:val="006657E5"/>
    <w:rsid w:val="00665A47"/>
    <w:rsid w:val="00665CE6"/>
    <w:rsid w:val="00665CEE"/>
    <w:rsid w:val="00665F8E"/>
    <w:rsid w:val="006660A5"/>
    <w:rsid w:val="006660C2"/>
    <w:rsid w:val="006661D0"/>
    <w:rsid w:val="0066640A"/>
    <w:rsid w:val="006666EB"/>
    <w:rsid w:val="00666A44"/>
    <w:rsid w:val="00666D84"/>
    <w:rsid w:val="0066711A"/>
    <w:rsid w:val="006674CC"/>
    <w:rsid w:val="0066773D"/>
    <w:rsid w:val="00667E99"/>
    <w:rsid w:val="0067021A"/>
    <w:rsid w:val="00670417"/>
    <w:rsid w:val="006705F0"/>
    <w:rsid w:val="00670749"/>
    <w:rsid w:val="0067084F"/>
    <w:rsid w:val="00670A0D"/>
    <w:rsid w:val="00670A85"/>
    <w:rsid w:val="00671BFC"/>
    <w:rsid w:val="00671F16"/>
    <w:rsid w:val="006723E4"/>
    <w:rsid w:val="006725DF"/>
    <w:rsid w:val="006728A8"/>
    <w:rsid w:val="0067296B"/>
    <w:rsid w:val="00672B0B"/>
    <w:rsid w:val="00672C0B"/>
    <w:rsid w:val="00672E3D"/>
    <w:rsid w:val="00672F69"/>
    <w:rsid w:val="00673000"/>
    <w:rsid w:val="00673497"/>
    <w:rsid w:val="006735A0"/>
    <w:rsid w:val="006738CA"/>
    <w:rsid w:val="00673C02"/>
    <w:rsid w:val="00673DD0"/>
    <w:rsid w:val="0067464C"/>
    <w:rsid w:val="006746F9"/>
    <w:rsid w:val="0067473C"/>
    <w:rsid w:val="0067480F"/>
    <w:rsid w:val="00674E2A"/>
    <w:rsid w:val="0067507F"/>
    <w:rsid w:val="00675170"/>
    <w:rsid w:val="00675367"/>
    <w:rsid w:val="00675417"/>
    <w:rsid w:val="006759E8"/>
    <w:rsid w:val="00675BF7"/>
    <w:rsid w:val="00675E33"/>
    <w:rsid w:val="006771AA"/>
    <w:rsid w:val="00677419"/>
    <w:rsid w:val="006774EF"/>
    <w:rsid w:val="006775C4"/>
    <w:rsid w:val="006779C4"/>
    <w:rsid w:val="00677D3C"/>
    <w:rsid w:val="00677DF6"/>
    <w:rsid w:val="00677FE8"/>
    <w:rsid w:val="006800BB"/>
    <w:rsid w:val="006804F8"/>
    <w:rsid w:val="006805EB"/>
    <w:rsid w:val="00680F50"/>
    <w:rsid w:val="00681168"/>
    <w:rsid w:val="00681191"/>
    <w:rsid w:val="00681417"/>
    <w:rsid w:val="006816DA"/>
    <w:rsid w:val="00681A5F"/>
    <w:rsid w:val="006820D8"/>
    <w:rsid w:val="006820DE"/>
    <w:rsid w:val="00682150"/>
    <w:rsid w:val="00682652"/>
    <w:rsid w:val="006826E8"/>
    <w:rsid w:val="00683073"/>
    <w:rsid w:val="00683C78"/>
    <w:rsid w:val="006841B0"/>
    <w:rsid w:val="006842E1"/>
    <w:rsid w:val="006842F5"/>
    <w:rsid w:val="006847D3"/>
    <w:rsid w:val="00684949"/>
    <w:rsid w:val="00684B32"/>
    <w:rsid w:val="00684B5E"/>
    <w:rsid w:val="00684C1C"/>
    <w:rsid w:val="00684D88"/>
    <w:rsid w:val="00684F35"/>
    <w:rsid w:val="00685062"/>
    <w:rsid w:val="00685274"/>
    <w:rsid w:val="006852D0"/>
    <w:rsid w:val="0068553B"/>
    <w:rsid w:val="006855CD"/>
    <w:rsid w:val="00685763"/>
    <w:rsid w:val="0068579F"/>
    <w:rsid w:val="00685AA1"/>
    <w:rsid w:val="00685AA8"/>
    <w:rsid w:val="00686AFC"/>
    <w:rsid w:val="00687044"/>
    <w:rsid w:val="006873D2"/>
    <w:rsid w:val="00687AE4"/>
    <w:rsid w:val="00687C7D"/>
    <w:rsid w:val="00687DF6"/>
    <w:rsid w:val="00687EFF"/>
    <w:rsid w:val="006900DA"/>
    <w:rsid w:val="006900E1"/>
    <w:rsid w:val="00690333"/>
    <w:rsid w:val="006903BB"/>
    <w:rsid w:val="0069046D"/>
    <w:rsid w:val="00690559"/>
    <w:rsid w:val="006906D0"/>
    <w:rsid w:val="00690790"/>
    <w:rsid w:val="006907EF"/>
    <w:rsid w:val="00690822"/>
    <w:rsid w:val="00690B6F"/>
    <w:rsid w:val="00690BFD"/>
    <w:rsid w:val="00690D6B"/>
    <w:rsid w:val="00690E31"/>
    <w:rsid w:val="0069120B"/>
    <w:rsid w:val="006913DD"/>
    <w:rsid w:val="00691B3E"/>
    <w:rsid w:val="00691D3D"/>
    <w:rsid w:val="006921C0"/>
    <w:rsid w:val="006923D9"/>
    <w:rsid w:val="00692765"/>
    <w:rsid w:val="00692C07"/>
    <w:rsid w:val="00692CE3"/>
    <w:rsid w:val="006931DB"/>
    <w:rsid w:val="00693240"/>
    <w:rsid w:val="00693347"/>
    <w:rsid w:val="006935EF"/>
    <w:rsid w:val="00693943"/>
    <w:rsid w:val="00693A42"/>
    <w:rsid w:val="00693A9F"/>
    <w:rsid w:val="00693BEE"/>
    <w:rsid w:val="00693C68"/>
    <w:rsid w:val="00693D6E"/>
    <w:rsid w:val="0069407B"/>
    <w:rsid w:val="006942CF"/>
    <w:rsid w:val="0069469E"/>
    <w:rsid w:val="00695B34"/>
    <w:rsid w:val="00695BE1"/>
    <w:rsid w:val="00695C3E"/>
    <w:rsid w:val="006960D4"/>
    <w:rsid w:val="00696449"/>
    <w:rsid w:val="00696902"/>
    <w:rsid w:val="00696A9B"/>
    <w:rsid w:val="00696B35"/>
    <w:rsid w:val="00696BF1"/>
    <w:rsid w:val="00696C09"/>
    <w:rsid w:val="00697000"/>
    <w:rsid w:val="00697131"/>
    <w:rsid w:val="006971B4"/>
    <w:rsid w:val="006974BA"/>
    <w:rsid w:val="00697793"/>
    <w:rsid w:val="006A0084"/>
    <w:rsid w:val="006A0289"/>
    <w:rsid w:val="006A02A1"/>
    <w:rsid w:val="006A02F3"/>
    <w:rsid w:val="006A04B0"/>
    <w:rsid w:val="006A0565"/>
    <w:rsid w:val="006A0809"/>
    <w:rsid w:val="006A0BE2"/>
    <w:rsid w:val="006A1AB4"/>
    <w:rsid w:val="006A1C11"/>
    <w:rsid w:val="006A1C93"/>
    <w:rsid w:val="006A1CB3"/>
    <w:rsid w:val="006A2847"/>
    <w:rsid w:val="006A296C"/>
    <w:rsid w:val="006A2E09"/>
    <w:rsid w:val="006A2E8E"/>
    <w:rsid w:val="006A2EA1"/>
    <w:rsid w:val="006A2EDD"/>
    <w:rsid w:val="006A304D"/>
    <w:rsid w:val="006A361B"/>
    <w:rsid w:val="006A39E8"/>
    <w:rsid w:val="006A3BE7"/>
    <w:rsid w:val="006A3EB5"/>
    <w:rsid w:val="006A42C1"/>
    <w:rsid w:val="006A46F1"/>
    <w:rsid w:val="006A4780"/>
    <w:rsid w:val="006A47A2"/>
    <w:rsid w:val="006A4876"/>
    <w:rsid w:val="006A49E3"/>
    <w:rsid w:val="006A4A25"/>
    <w:rsid w:val="006A4B9A"/>
    <w:rsid w:val="006A4C8D"/>
    <w:rsid w:val="006A510E"/>
    <w:rsid w:val="006A529E"/>
    <w:rsid w:val="006A57A2"/>
    <w:rsid w:val="006A5914"/>
    <w:rsid w:val="006A5966"/>
    <w:rsid w:val="006A5E58"/>
    <w:rsid w:val="006A637A"/>
    <w:rsid w:val="006A63D2"/>
    <w:rsid w:val="006A6623"/>
    <w:rsid w:val="006A68AB"/>
    <w:rsid w:val="006A68E1"/>
    <w:rsid w:val="006A6AC1"/>
    <w:rsid w:val="006A6DD3"/>
    <w:rsid w:val="006A6F46"/>
    <w:rsid w:val="006A7026"/>
    <w:rsid w:val="006A74E1"/>
    <w:rsid w:val="006A7695"/>
    <w:rsid w:val="006A7F8B"/>
    <w:rsid w:val="006A7F93"/>
    <w:rsid w:val="006AB22B"/>
    <w:rsid w:val="006B01EF"/>
    <w:rsid w:val="006B061B"/>
    <w:rsid w:val="006B06A6"/>
    <w:rsid w:val="006B07C4"/>
    <w:rsid w:val="006B08C6"/>
    <w:rsid w:val="006B0AC8"/>
    <w:rsid w:val="006B0B21"/>
    <w:rsid w:val="006B16F0"/>
    <w:rsid w:val="006B17D1"/>
    <w:rsid w:val="006B1884"/>
    <w:rsid w:val="006B196C"/>
    <w:rsid w:val="006B196E"/>
    <w:rsid w:val="006B1EB4"/>
    <w:rsid w:val="006B1F37"/>
    <w:rsid w:val="006B22DB"/>
    <w:rsid w:val="006B280D"/>
    <w:rsid w:val="006B2E16"/>
    <w:rsid w:val="006B3198"/>
    <w:rsid w:val="006B36C9"/>
    <w:rsid w:val="006B36DB"/>
    <w:rsid w:val="006B36E8"/>
    <w:rsid w:val="006B37E7"/>
    <w:rsid w:val="006B3D18"/>
    <w:rsid w:val="006B3DB7"/>
    <w:rsid w:val="006B42E0"/>
    <w:rsid w:val="006B4346"/>
    <w:rsid w:val="006B4387"/>
    <w:rsid w:val="006B4B59"/>
    <w:rsid w:val="006B5398"/>
    <w:rsid w:val="006B5441"/>
    <w:rsid w:val="006B58CA"/>
    <w:rsid w:val="006B5BAE"/>
    <w:rsid w:val="006B5DE2"/>
    <w:rsid w:val="006B5EED"/>
    <w:rsid w:val="006B6324"/>
    <w:rsid w:val="006B65C9"/>
    <w:rsid w:val="006B76A3"/>
    <w:rsid w:val="006B77C7"/>
    <w:rsid w:val="006B78F3"/>
    <w:rsid w:val="006B7A1E"/>
    <w:rsid w:val="006B7E2F"/>
    <w:rsid w:val="006C0067"/>
    <w:rsid w:val="006C01CC"/>
    <w:rsid w:val="006C01D4"/>
    <w:rsid w:val="006C07F6"/>
    <w:rsid w:val="006C0873"/>
    <w:rsid w:val="006C0B2F"/>
    <w:rsid w:val="006C0C51"/>
    <w:rsid w:val="006C0CF9"/>
    <w:rsid w:val="006C13B0"/>
    <w:rsid w:val="006C18EC"/>
    <w:rsid w:val="006C1C47"/>
    <w:rsid w:val="006C1EE4"/>
    <w:rsid w:val="006C1F1E"/>
    <w:rsid w:val="006C203C"/>
    <w:rsid w:val="006C2480"/>
    <w:rsid w:val="006C2BD2"/>
    <w:rsid w:val="006C3284"/>
    <w:rsid w:val="006C3A6C"/>
    <w:rsid w:val="006C3B28"/>
    <w:rsid w:val="006C3BA2"/>
    <w:rsid w:val="006C4086"/>
    <w:rsid w:val="006C477F"/>
    <w:rsid w:val="006C4FC4"/>
    <w:rsid w:val="006C5084"/>
    <w:rsid w:val="006C518F"/>
    <w:rsid w:val="006C5268"/>
    <w:rsid w:val="006C543A"/>
    <w:rsid w:val="006C5ACF"/>
    <w:rsid w:val="006C5E17"/>
    <w:rsid w:val="006C6085"/>
    <w:rsid w:val="006C6130"/>
    <w:rsid w:val="006C6428"/>
    <w:rsid w:val="006C65EB"/>
    <w:rsid w:val="006C673E"/>
    <w:rsid w:val="006C7019"/>
    <w:rsid w:val="006C7270"/>
    <w:rsid w:val="006C72F2"/>
    <w:rsid w:val="006C798C"/>
    <w:rsid w:val="006C7D4B"/>
    <w:rsid w:val="006D0002"/>
    <w:rsid w:val="006D0786"/>
    <w:rsid w:val="006D081C"/>
    <w:rsid w:val="006D09C3"/>
    <w:rsid w:val="006D0A34"/>
    <w:rsid w:val="006D0C90"/>
    <w:rsid w:val="006D0E54"/>
    <w:rsid w:val="006D1205"/>
    <w:rsid w:val="006D1304"/>
    <w:rsid w:val="006D1316"/>
    <w:rsid w:val="006D1397"/>
    <w:rsid w:val="006D1B44"/>
    <w:rsid w:val="006D249B"/>
    <w:rsid w:val="006D2678"/>
    <w:rsid w:val="006D2A53"/>
    <w:rsid w:val="006D2EBD"/>
    <w:rsid w:val="006D3B99"/>
    <w:rsid w:val="006D44BE"/>
    <w:rsid w:val="006D45E7"/>
    <w:rsid w:val="006D4699"/>
    <w:rsid w:val="006D47F0"/>
    <w:rsid w:val="006D4C0E"/>
    <w:rsid w:val="006D525E"/>
    <w:rsid w:val="006D5404"/>
    <w:rsid w:val="006D5423"/>
    <w:rsid w:val="006D567C"/>
    <w:rsid w:val="006D56B7"/>
    <w:rsid w:val="006D5929"/>
    <w:rsid w:val="006D5A6B"/>
    <w:rsid w:val="006D5CC5"/>
    <w:rsid w:val="006D6117"/>
    <w:rsid w:val="006D6C17"/>
    <w:rsid w:val="006D6D60"/>
    <w:rsid w:val="006D723C"/>
    <w:rsid w:val="006D739C"/>
    <w:rsid w:val="006D7426"/>
    <w:rsid w:val="006D74E2"/>
    <w:rsid w:val="006D7809"/>
    <w:rsid w:val="006D78A7"/>
    <w:rsid w:val="006D7939"/>
    <w:rsid w:val="006D7A58"/>
    <w:rsid w:val="006D7BC5"/>
    <w:rsid w:val="006D7F8F"/>
    <w:rsid w:val="006E00BA"/>
    <w:rsid w:val="006E026D"/>
    <w:rsid w:val="006E0386"/>
    <w:rsid w:val="006E07C1"/>
    <w:rsid w:val="006E0C9F"/>
    <w:rsid w:val="006E0E03"/>
    <w:rsid w:val="006E1008"/>
    <w:rsid w:val="006E1285"/>
    <w:rsid w:val="006E1355"/>
    <w:rsid w:val="006E1793"/>
    <w:rsid w:val="006E27A4"/>
    <w:rsid w:val="006E28BB"/>
    <w:rsid w:val="006E2FE4"/>
    <w:rsid w:val="006E3750"/>
    <w:rsid w:val="006E38FE"/>
    <w:rsid w:val="006E3E70"/>
    <w:rsid w:val="006E407F"/>
    <w:rsid w:val="006E4AC5"/>
    <w:rsid w:val="006E4AD7"/>
    <w:rsid w:val="006E5657"/>
    <w:rsid w:val="006E5963"/>
    <w:rsid w:val="006E5ACC"/>
    <w:rsid w:val="006E5B5C"/>
    <w:rsid w:val="006E5C10"/>
    <w:rsid w:val="006E622F"/>
    <w:rsid w:val="006E648E"/>
    <w:rsid w:val="006E65A3"/>
    <w:rsid w:val="006E66E1"/>
    <w:rsid w:val="006E7474"/>
    <w:rsid w:val="006E7C42"/>
    <w:rsid w:val="006E7D5D"/>
    <w:rsid w:val="006F0872"/>
    <w:rsid w:val="006F0D1E"/>
    <w:rsid w:val="006F0D35"/>
    <w:rsid w:val="006F0FB6"/>
    <w:rsid w:val="006F1140"/>
    <w:rsid w:val="006F1760"/>
    <w:rsid w:val="006F185C"/>
    <w:rsid w:val="006F188B"/>
    <w:rsid w:val="006F1FFD"/>
    <w:rsid w:val="006F2108"/>
    <w:rsid w:val="006F2250"/>
    <w:rsid w:val="006F2824"/>
    <w:rsid w:val="006F3231"/>
    <w:rsid w:val="006F3232"/>
    <w:rsid w:val="006F32A2"/>
    <w:rsid w:val="006F3AC9"/>
    <w:rsid w:val="006F3B05"/>
    <w:rsid w:val="006F4DBE"/>
    <w:rsid w:val="006F4FCE"/>
    <w:rsid w:val="006F50B9"/>
    <w:rsid w:val="006F5231"/>
    <w:rsid w:val="006F530E"/>
    <w:rsid w:val="006F59AB"/>
    <w:rsid w:val="006F5C92"/>
    <w:rsid w:val="006F6150"/>
    <w:rsid w:val="006F6838"/>
    <w:rsid w:val="006F6906"/>
    <w:rsid w:val="006F6BD7"/>
    <w:rsid w:val="006F6EFB"/>
    <w:rsid w:val="006F6F4F"/>
    <w:rsid w:val="006F72CB"/>
    <w:rsid w:val="006F75D9"/>
    <w:rsid w:val="006F7731"/>
    <w:rsid w:val="006F7E1E"/>
    <w:rsid w:val="00700475"/>
    <w:rsid w:val="00700879"/>
    <w:rsid w:val="0070099B"/>
    <w:rsid w:val="00700AA5"/>
    <w:rsid w:val="00700EE0"/>
    <w:rsid w:val="007012B7"/>
    <w:rsid w:val="007012D3"/>
    <w:rsid w:val="0070143C"/>
    <w:rsid w:val="00701488"/>
    <w:rsid w:val="0070173A"/>
    <w:rsid w:val="0070185F"/>
    <w:rsid w:val="00701A2F"/>
    <w:rsid w:val="007023B5"/>
    <w:rsid w:val="007023BF"/>
    <w:rsid w:val="00702983"/>
    <w:rsid w:val="00702ABD"/>
    <w:rsid w:val="00703000"/>
    <w:rsid w:val="00703596"/>
    <w:rsid w:val="0070380A"/>
    <w:rsid w:val="00703D66"/>
    <w:rsid w:val="007042EF"/>
    <w:rsid w:val="00704888"/>
    <w:rsid w:val="007048FE"/>
    <w:rsid w:val="00704C1C"/>
    <w:rsid w:val="0070559E"/>
    <w:rsid w:val="00705A2E"/>
    <w:rsid w:val="00705DAF"/>
    <w:rsid w:val="00705E1E"/>
    <w:rsid w:val="00705E84"/>
    <w:rsid w:val="00706243"/>
    <w:rsid w:val="0070662C"/>
    <w:rsid w:val="00706FF0"/>
    <w:rsid w:val="0070758F"/>
    <w:rsid w:val="007106B7"/>
    <w:rsid w:val="007106C3"/>
    <w:rsid w:val="0071139F"/>
    <w:rsid w:val="007114E2"/>
    <w:rsid w:val="007117CC"/>
    <w:rsid w:val="00711B7D"/>
    <w:rsid w:val="00711DF6"/>
    <w:rsid w:val="00711F6B"/>
    <w:rsid w:val="007121E1"/>
    <w:rsid w:val="0071256F"/>
    <w:rsid w:val="00712901"/>
    <w:rsid w:val="00712F0F"/>
    <w:rsid w:val="00712F5A"/>
    <w:rsid w:val="00713952"/>
    <w:rsid w:val="00713C54"/>
    <w:rsid w:val="007146D3"/>
    <w:rsid w:val="00714923"/>
    <w:rsid w:val="00714C94"/>
    <w:rsid w:val="00714FB6"/>
    <w:rsid w:val="00715AC5"/>
    <w:rsid w:val="00715C45"/>
    <w:rsid w:val="007162B4"/>
    <w:rsid w:val="0071649B"/>
    <w:rsid w:val="007164A6"/>
    <w:rsid w:val="007166D7"/>
    <w:rsid w:val="00716CDC"/>
    <w:rsid w:val="0071713B"/>
    <w:rsid w:val="0071734C"/>
    <w:rsid w:val="00717492"/>
    <w:rsid w:val="0071753A"/>
    <w:rsid w:val="007179F5"/>
    <w:rsid w:val="00717B31"/>
    <w:rsid w:val="007201DF"/>
    <w:rsid w:val="00720260"/>
    <w:rsid w:val="00720328"/>
    <w:rsid w:val="00720AF7"/>
    <w:rsid w:val="007213E3"/>
    <w:rsid w:val="0072157A"/>
    <w:rsid w:val="00722359"/>
    <w:rsid w:val="007224E2"/>
    <w:rsid w:val="007225DC"/>
    <w:rsid w:val="0072265A"/>
    <w:rsid w:val="007228C7"/>
    <w:rsid w:val="00722B1C"/>
    <w:rsid w:val="00722C1C"/>
    <w:rsid w:val="00722F40"/>
    <w:rsid w:val="007231DA"/>
    <w:rsid w:val="007235E6"/>
    <w:rsid w:val="00723B86"/>
    <w:rsid w:val="00723C3B"/>
    <w:rsid w:val="00724526"/>
    <w:rsid w:val="00724A28"/>
    <w:rsid w:val="00724CA9"/>
    <w:rsid w:val="00724EFB"/>
    <w:rsid w:val="0072562B"/>
    <w:rsid w:val="00725899"/>
    <w:rsid w:val="00725B84"/>
    <w:rsid w:val="007261BE"/>
    <w:rsid w:val="00726433"/>
    <w:rsid w:val="0072679B"/>
    <w:rsid w:val="00726A68"/>
    <w:rsid w:val="00726C76"/>
    <w:rsid w:val="00726E1E"/>
    <w:rsid w:val="00726FDA"/>
    <w:rsid w:val="0072709B"/>
    <w:rsid w:val="00727106"/>
    <w:rsid w:val="0072727B"/>
    <w:rsid w:val="007275C6"/>
    <w:rsid w:val="00727705"/>
    <w:rsid w:val="00727AA6"/>
    <w:rsid w:val="00727CCF"/>
    <w:rsid w:val="00727F56"/>
    <w:rsid w:val="007300FD"/>
    <w:rsid w:val="007302D4"/>
    <w:rsid w:val="00730697"/>
    <w:rsid w:val="00730D7C"/>
    <w:rsid w:val="00730DF8"/>
    <w:rsid w:val="007310F6"/>
    <w:rsid w:val="00731202"/>
    <w:rsid w:val="007313E1"/>
    <w:rsid w:val="00731504"/>
    <w:rsid w:val="00731EEC"/>
    <w:rsid w:val="007322CE"/>
    <w:rsid w:val="007327F0"/>
    <w:rsid w:val="00732B53"/>
    <w:rsid w:val="00732D61"/>
    <w:rsid w:val="00732D99"/>
    <w:rsid w:val="00732DAF"/>
    <w:rsid w:val="00733A98"/>
    <w:rsid w:val="00733AD5"/>
    <w:rsid w:val="00733B41"/>
    <w:rsid w:val="007341F9"/>
    <w:rsid w:val="00734326"/>
    <w:rsid w:val="007344BE"/>
    <w:rsid w:val="00735200"/>
    <w:rsid w:val="00735343"/>
    <w:rsid w:val="00735558"/>
    <w:rsid w:val="00735625"/>
    <w:rsid w:val="007356CC"/>
    <w:rsid w:val="0073575B"/>
    <w:rsid w:val="0073586A"/>
    <w:rsid w:val="00735F1A"/>
    <w:rsid w:val="007360B5"/>
    <w:rsid w:val="0073679F"/>
    <w:rsid w:val="00736F2B"/>
    <w:rsid w:val="007370A9"/>
    <w:rsid w:val="00737100"/>
    <w:rsid w:val="0073727C"/>
    <w:rsid w:val="00737489"/>
    <w:rsid w:val="00737590"/>
    <w:rsid w:val="0073780E"/>
    <w:rsid w:val="00737F13"/>
    <w:rsid w:val="00737FB4"/>
    <w:rsid w:val="007409D9"/>
    <w:rsid w:val="00740AA5"/>
    <w:rsid w:val="00740C15"/>
    <w:rsid w:val="007410A0"/>
    <w:rsid w:val="007411FA"/>
    <w:rsid w:val="007413BA"/>
    <w:rsid w:val="00741539"/>
    <w:rsid w:val="007416FF"/>
    <w:rsid w:val="007419CD"/>
    <w:rsid w:val="00741F34"/>
    <w:rsid w:val="00742023"/>
    <w:rsid w:val="007420F0"/>
    <w:rsid w:val="00742449"/>
    <w:rsid w:val="00742832"/>
    <w:rsid w:val="00742EBF"/>
    <w:rsid w:val="00742F29"/>
    <w:rsid w:val="00742FB4"/>
    <w:rsid w:val="007430CC"/>
    <w:rsid w:val="00743D17"/>
    <w:rsid w:val="007441B9"/>
    <w:rsid w:val="00744423"/>
    <w:rsid w:val="00744642"/>
    <w:rsid w:val="00744E80"/>
    <w:rsid w:val="0074542C"/>
    <w:rsid w:val="00745468"/>
    <w:rsid w:val="007459A7"/>
    <w:rsid w:val="00745E39"/>
    <w:rsid w:val="007468D4"/>
    <w:rsid w:val="007468D9"/>
    <w:rsid w:val="00746AA5"/>
    <w:rsid w:val="00746DCE"/>
    <w:rsid w:val="00746FA1"/>
    <w:rsid w:val="0074761B"/>
    <w:rsid w:val="00747634"/>
    <w:rsid w:val="00747711"/>
    <w:rsid w:val="00747BBA"/>
    <w:rsid w:val="00747BE8"/>
    <w:rsid w:val="00747D40"/>
    <w:rsid w:val="00747E53"/>
    <w:rsid w:val="00750189"/>
    <w:rsid w:val="00750443"/>
    <w:rsid w:val="00750472"/>
    <w:rsid w:val="00750AE9"/>
    <w:rsid w:val="00750CEE"/>
    <w:rsid w:val="00750DB9"/>
    <w:rsid w:val="00750EAE"/>
    <w:rsid w:val="0075119E"/>
    <w:rsid w:val="00751208"/>
    <w:rsid w:val="00751988"/>
    <w:rsid w:val="007523B8"/>
    <w:rsid w:val="007524D1"/>
    <w:rsid w:val="007526A8"/>
    <w:rsid w:val="007528D4"/>
    <w:rsid w:val="00752A2B"/>
    <w:rsid w:val="00752EC7"/>
    <w:rsid w:val="0075336B"/>
    <w:rsid w:val="0075363D"/>
    <w:rsid w:val="00753850"/>
    <w:rsid w:val="0075388A"/>
    <w:rsid w:val="0075394C"/>
    <w:rsid w:val="00753A46"/>
    <w:rsid w:val="00753EF2"/>
    <w:rsid w:val="00753F6A"/>
    <w:rsid w:val="00753F8F"/>
    <w:rsid w:val="0075413F"/>
    <w:rsid w:val="007542EB"/>
    <w:rsid w:val="0075456F"/>
    <w:rsid w:val="00754620"/>
    <w:rsid w:val="007546A7"/>
    <w:rsid w:val="0075473E"/>
    <w:rsid w:val="00754923"/>
    <w:rsid w:val="007549BC"/>
    <w:rsid w:val="00754BED"/>
    <w:rsid w:val="00754CB9"/>
    <w:rsid w:val="00754FCC"/>
    <w:rsid w:val="00755417"/>
    <w:rsid w:val="00755668"/>
    <w:rsid w:val="007556E2"/>
    <w:rsid w:val="00755A6E"/>
    <w:rsid w:val="00755D52"/>
    <w:rsid w:val="00755EAF"/>
    <w:rsid w:val="00755ED9"/>
    <w:rsid w:val="0075615F"/>
    <w:rsid w:val="007564DC"/>
    <w:rsid w:val="00756931"/>
    <w:rsid w:val="007571A6"/>
    <w:rsid w:val="00757B1E"/>
    <w:rsid w:val="00757F6D"/>
    <w:rsid w:val="00760021"/>
    <w:rsid w:val="007603B0"/>
    <w:rsid w:val="007603F7"/>
    <w:rsid w:val="007609E6"/>
    <w:rsid w:val="00760E0D"/>
    <w:rsid w:val="00760E2C"/>
    <w:rsid w:val="00760F65"/>
    <w:rsid w:val="0076147E"/>
    <w:rsid w:val="00761A60"/>
    <w:rsid w:val="00761D8B"/>
    <w:rsid w:val="00762975"/>
    <w:rsid w:val="00762996"/>
    <w:rsid w:val="00762BDB"/>
    <w:rsid w:val="007630A1"/>
    <w:rsid w:val="0076326C"/>
    <w:rsid w:val="00763633"/>
    <w:rsid w:val="007637BA"/>
    <w:rsid w:val="00763E58"/>
    <w:rsid w:val="00763E90"/>
    <w:rsid w:val="00763F01"/>
    <w:rsid w:val="0076456D"/>
    <w:rsid w:val="007645F3"/>
    <w:rsid w:val="00764A47"/>
    <w:rsid w:val="00764CA6"/>
    <w:rsid w:val="00764E4E"/>
    <w:rsid w:val="00764EC8"/>
    <w:rsid w:val="00764F8C"/>
    <w:rsid w:val="00765A24"/>
    <w:rsid w:val="00765CE6"/>
    <w:rsid w:val="00765F9B"/>
    <w:rsid w:val="007660CD"/>
    <w:rsid w:val="00766280"/>
    <w:rsid w:val="00766759"/>
    <w:rsid w:val="0076737F"/>
    <w:rsid w:val="0076770D"/>
    <w:rsid w:val="00767B6F"/>
    <w:rsid w:val="00767B8F"/>
    <w:rsid w:val="00770438"/>
    <w:rsid w:val="007704FD"/>
    <w:rsid w:val="0077074B"/>
    <w:rsid w:val="0077099D"/>
    <w:rsid w:val="00771566"/>
    <w:rsid w:val="00771745"/>
    <w:rsid w:val="00771999"/>
    <w:rsid w:val="00771A7A"/>
    <w:rsid w:val="00771AB2"/>
    <w:rsid w:val="00771B45"/>
    <w:rsid w:val="00771BDE"/>
    <w:rsid w:val="00771CFA"/>
    <w:rsid w:val="00771E13"/>
    <w:rsid w:val="0077217B"/>
    <w:rsid w:val="0077248B"/>
    <w:rsid w:val="007726BE"/>
    <w:rsid w:val="00772845"/>
    <w:rsid w:val="007729D3"/>
    <w:rsid w:val="00772CC2"/>
    <w:rsid w:val="00772DE7"/>
    <w:rsid w:val="00772E89"/>
    <w:rsid w:val="00773009"/>
    <w:rsid w:val="007731DF"/>
    <w:rsid w:val="007739EF"/>
    <w:rsid w:val="00773F0E"/>
    <w:rsid w:val="007741F6"/>
    <w:rsid w:val="00774442"/>
    <w:rsid w:val="00774976"/>
    <w:rsid w:val="00775E15"/>
    <w:rsid w:val="0077610A"/>
    <w:rsid w:val="007761DF"/>
    <w:rsid w:val="007764F5"/>
    <w:rsid w:val="00776870"/>
    <w:rsid w:val="00776A12"/>
    <w:rsid w:val="00776D0E"/>
    <w:rsid w:val="00776D84"/>
    <w:rsid w:val="00776EC8"/>
    <w:rsid w:val="007771BE"/>
    <w:rsid w:val="00777483"/>
    <w:rsid w:val="0077755C"/>
    <w:rsid w:val="007778F9"/>
    <w:rsid w:val="00777EAC"/>
    <w:rsid w:val="00777FB4"/>
    <w:rsid w:val="00780009"/>
    <w:rsid w:val="007800F4"/>
    <w:rsid w:val="00780193"/>
    <w:rsid w:val="007808AC"/>
    <w:rsid w:val="0078096B"/>
    <w:rsid w:val="00781786"/>
    <w:rsid w:val="00781861"/>
    <w:rsid w:val="00781AF5"/>
    <w:rsid w:val="0078201C"/>
    <w:rsid w:val="007822E4"/>
    <w:rsid w:val="007824F9"/>
    <w:rsid w:val="0078280F"/>
    <w:rsid w:val="007828F4"/>
    <w:rsid w:val="00782C7C"/>
    <w:rsid w:val="00782C91"/>
    <w:rsid w:val="007830AA"/>
    <w:rsid w:val="007830B0"/>
    <w:rsid w:val="00783602"/>
    <w:rsid w:val="007838E5"/>
    <w:rsid w:val="007839C5"/>
    <w:rsid w:val="00784303"/>
    <w:rsid w:val="007844A8"/>
    <w:rsid w:val="007845B6"/>
    <w:rsid w:val="007845E7"/>
    <w:rsid w:val="00784B3C"/>
    <w:rsid w:val="00784C43"/>
    <w:rsid w:val="00784DDF"/>
    <w:rsid w:val="007851E4"/>
    <w:rsid w:val="007859F9"/>
    <w:rsid w:val="00785AD1"/>
    <w:rsid w:val="007860A8"/>
    <w:rsid w:val="0078692E"/>
    <w:rsid w:val="00786AA6"/>
    <w:rsid w:val="00786D35"/>
    <w:rsid w:val="00787299"/>
    <w:rsid w:val="0078738E"/>
    <w:rsid w:val="007873D1"/>
    <w:rsid w:val="007877BB"/>
    <w:rsid w:val="0078784C"/>
    <w:rsid w:val="00787EB5"/>
    <w:rsid w:val="00787F6B"/>
    <w:rsid w:val="007903EA"/>
    <w:rsid w:val="00791291"/>
    <w:rsid w:val="007913D8"/>
    <w:rsid w:val="007914F4"/>
    <w:rsid w:val="00791755"/>
    <w:rsid w:val="00791A3B"/>
    <w:rsid w:val="00791F28"/>
    <w:rsid w:val="00792219"/>
    <w:rsid w:val="00792326"/>
    <w:rsid w:val="007923F0"/>
    <w:rsid w:val="00792B30"/>
    <w:rsid w:val="00792B40"/>
    <w:rsid w:val="00793496"/>
    <w:rsid w:val="007937FA"/>
    <w:rsid w:val="007940DA"/>
    <w:rsid w:val="007942CA"/>
    <w:rsid w:val="00794669"/>
    <w:rsid w:val="007948C6"/>
    <w:rsid w:val="007948F1"/>
    <w:rsid w:val="00794A18"/>
    <w:rsid w:val="00794CA0"/>
    <w:rsid w:val="00794D71"/>
    <w:rsid w:val="007955A4"/>
    <w:rsid w:val="007955F0"/>
    <w:rsid w:val="007957B6"/>
    <w:rsid w:val="00795800"/>
    <w:rsid w:val="00795F4C"/>
    <w:rsid w:val="007960DD"/>
    <w:rsid w:val="00796249"/>
    <w:rsid w:val="00796332"/>
    <w:rsid w:val="007964D3"/>
    <w:rsid w:val="007967E3"/>
    <w:rsid w:val="007970BE"/>
    <w:rsid w:val="0079712E"/>
    <w:rsid w:val="007974A0"/>
    <w:rsid w:val="00797A7A"/>
    <w:rsid w:val="007A00BF"/>
    <w:rsid w:val="007A0126"/>
    <w:rsid w:val="007A0263"/>
    <w:rsid w:val="007A0344"/>
    <w:rsid w:val="007A050F"/>
    <w:rsid w:val="007A0AE6"/>
    <w:rsid w:val="007A0C4E"/>
    <w:rsid w:val="007A0CC3"/>
    <w:rsid w:val="007A1A64"/>
    <w:rsid w:val="007A1E4B"/>
    <w:rsid w:val="007A27CA"/>
    <w:rsid w:val="007A2C96"/>
    <w:rsid w:val="007A3057"/>
    <w:rsid w:val="007A31AB"/>
    <w:rsid w:val="007A3689"/>
    <w:rsid w:val="007A3A72"/>
    <w:rsid w:val="007A3B34"/>
    <w:rsid w:val="007A3BBE"/>
    <w:rsid w:val="007A3BDB"/>
    <w:rsid w:val="007A3FDF"/>
    <w:rsid w:val="007A41B5"/>
    <w:rsid w:val="007A41F7"/>
    <w:rsid w:val="007A44FA"/>
    <w:rsid w:val="007A48CC"/>
    <w:rsid w:val="007A492D"/>
    <w:rsid w:val="007A4A38"/>
    <w:rsid w:val="007A4A48"/>
    <w:rsid w:val="007A4B97"/>
    <w:rsid w:val="007A504E"/>
    <w:rsid w:val="007A5299"/>
    <w:rsid w:val="007A5821"/>
    <w:rsid w:val="007A587E"/>
    <w:rsid w:val="007A5DE6"/>
    <w:rsid w:val="007A6058"/>
    <w:rsid w:val="007A6342"/>
    <w:rsid w:val="007A663D"/>
    <w:rsid w:val="007A6DD7"/>
    <w:rsid w:val="007A6FA2"/>
    <w:rsid w:val="007A6FBB"/>
    <w:rsid w:val="007A7284"/>
    <w:rsid w:val="007A7A80"/>
    <w:rsid w:val="007A7AC3"/>
    <w:rsid w:val="007A7C4F"/>
    <w:rsid w:val="007A7FEC"/>
    <w:rsid w:val="007B0240"/>
    <w:rsid w:val="007B0627"/>
    <w:rsid w:val="007B0AFA"/>
    <w:rsid w:val="007B0FEB"/>
    <w:rsid w:val="007B14D3"/>
    <w:rsid w:val="007B1688"/>
    <w:rsid w:val="007B17EF"/>
    <w:rsid w:val="007B1C28"/>
    <w:rsid w:val="007B2017"/>
    <w:rsid w:val="007B218F"/>
    <w:rsid w:val="007B2B3A"/>
    <w:rsid w:val="007B3195"/>
    <w:rsid w:val="007B39B0"/>
    <w:rsid w:val="007B3B2E"/>
    <w:rsid w:val="007B3B7D"/>
    <w:rsid w:val="007B4244"/>
    <w:rsid w:val="007B4844"/>
    <w:rsid w:val="007B48BE"/>
    <w:rsid w:val="007B4B65"/>
    <w:rsid w:val="007B4E2A"/>
    <w:rsid w:val="007B4E4E"/>
    <w:rsid w:val="007B555F"/>
    <w:rsid w:val="007B561C"/>
    <w:rsid w:val="007B57CA"/>
    <w:rsid w:val="007B5C7A"/>
    <w:rsid w:val="007B5CD0"/>
    <w:rsid w:val="007B612A"/>
    <w:rsid w:val="007B63AD"/>
    <w:rsid w:val="007B648F"/>
    <w:rsid w:val="007B662E"/>
    <w:rsid w:val="007B6881"/>
    <w:rsid w:val="007B68D2"/>
    <w:rsid w:val="007B6A3E"/>
    <w:rsid w:val="007B6B5B"/>
    <w:rsid w:val="007B7141"/>
    <w:rsid w:val="007B732E"/>
    <w:rsid w:val="007B7876"/>
    <w:rsid w:val="007B79D7"/>
    <w:rsid w:val="007B7E87"/>
    <w:rsid w:val="007C0361"/>
    <w:rsid w:val="007C0554"/>
    <w:rsid w:val="007C087B"/>
    <w:rsid w:val="007C0A91"/>
    <w:rsid w:val="007C0C59"/>
    <w:rsid w:val="007C0DE4"/>
    <w:rsid w:val="007C114A"/>
    <w:rsid w:val="007C130F"/>
    <w:rsid w:val="007C1419"/>
    <w:rsid w:val="007C145B"/>
    <w:rsid w:val="007C17E0"/>
    <w:rsid w:val="007C1A37"/>
    <w:rsid w:val="007C2796"/>
    <w:rsid w:val="007C2B38"/>
    <w:rsid w:val="007C2DBC"/>
    <w:rsid w:val="007C3BB1"/>
    <w:rsid w:val="007C3D06"/>
    <w:rsid w:val="007C4588"/>
    <w:rsid w:val="007C4962"/>
    <w:rsid w:val="007C4A8B"/>
    <w:rsid w:val="007C51BF"/>
    <w:rsid w:val="007C5585"/>
    <w:rsid w:val="007C5621"/>
    <w:rsid w:val="007C5CFC"/>
    <w:rsid w:val="007C63E8"/>
    <w:rsid w:val="007C6432"/>
    <w:rsid w:val="007C665B"/>
    <w:rsid w:val="007C6A74"/>
    <w:rsid w:val="007C6AF2"/>
    <w:rsid w:val="007C6B9A"/>
    <w:rsid w:val="007C6F29"/>
    <w:rsid w:val="007C7271"/>
    <w:rsid w:val="007C7A46"/>
    <w:rsid w:val="007C7D9D"/>
    <w:rsid w:val="007D0693"/>
    <w:rsid w:val="007D06CB"/>
    <w:rsid w:val="007D077D"/>
    <w:rsid w:val="007D0A06"/>
    <w:rsid w:val="007D10B2"/>
    <w:rsid w:val="007D10CB"/>
    <w:rsid w:val="007D1395"/>
    <w:rsid w:val="007D19D4"/>
    <w:rsid w:val="007D1AD3"/>
    <w:rsid w:val="007D1B75"/>
    <w:rsid w:val="007D21BD"/>
    <w:rsid w:val="007D240C"/>
    <w:rsid w:val="007D24F9"/>
    <w:rsid w:val="007D2597"/>
    <w:rsid w:val="007D294B"/>
    <w:rsid w:val="007D29FF"/>
    <w:rsid w:val="007D30B2"/>
    <w:rsid w:val="007D3D27"/>
    <w:rsid w:val="007D3D7E"/>
    <w:rsid w:val="007D3FB5"/>
    <w:rsid w:val="007D3FFA"/>
    <w:rsid w:val="007D4287"/>
    <w:rsid w:val="007D43AE"/>
    <w:rsid w:val="007D4842"/>
    <w:rsid w:val="007D487D"/>
    <w:rsid w:val="007D4A78"/>
    <w:rsid w:val="007D4D83"/>
    <w:rsid w:val="007D5268"/>
    <w:rsid w:val="007D5D8C"/>
    <w:rsid w:val="007D5DA0"/>
    <w:rsid w:val="007D637D"/>
    <w:rsid w:val="007D688F"/>
    <w:rsid w:val="007D6AFE"/>
    <w:rsid w:val="007D7182"/>
    <w:rsid w:val="007D75A5"/>
    <w:rsid w:val="007D75B1"/>
    <w:rsid w:val="007D782E"/>
    <w:rsid w:val="007D7E02"/>
    <w:rsid w:val="007D7E67"/>
    <w:rsid w:val="007E01A7"/>
    <w:rsid w:val="007E0346"/>
    <w:rsid w:val="007E091D"/>
    <w:rsid w:val="007E15AB"/>
    <w:rsid w:val="007E1669"/>
    <w:rsid w:val="007E1D16"/>
    <w:rsid w:val="007E1D9F"/>
    <w:rsid w:val="007E1E02"/>
    <w:rsid w:val="007E1E41"/>
    <w:rsid w:val="007E2001"/>
    <w:rsid w:val="007E2430"/>
    <w:rsid w:val="007E26BD"/>
    <w:rsid w:val="007E2705"/>
    <w:rsid w:val="007E286C"/>
    <w:rsid w:val="007E29C1"/>
    <w:rsid w:val="007E2B19"/>
    <w:rsid w:val="007E2B29"/>
    <w:rsid w:val="007E2B43"/>
    <w:rsid w:val="007E3246"/>
    <w:rsid w:val="007E3369"/>
    <w:rsid w:val="007E36C7"/>
    <w:rsid w:val="007E3780"/>
    <w:rsid w:val="007E3E46"/>
    <w:rsid w:val="007E3FBF"/>
    <w:rsid w:val="007E4193"/>
    <w:rsid w:val="007E4328"/>
    <w:rsid w:val="007E44B0"/>
    <w:rsid w:val="007E4BAF"/>
    <w:rsid w:val="007E4E76"/>
    <w:rsid w:val="007E4F8A"/>
    <w:rsid w:val="007E4F9C"/>
    <w:rsid w:val="007E538E"/>
    <w:rsid w:val="007E6676"/>
    <w:rsid w:val="007E68ED"/>
    <w:rsid w:val="007E6E63"/>
    <w:rsid w:val="007E70A3"/>
    <w:rsid w:val="007E734F"/>
    <w:rsid w:val="007E736E"/>
    <w:rsid w:val="007E7721"/>
    <w:rsid w:val="007F0B3C"/>
    <w:rsid w:val="007F0F13"/>
    <w:rsid w:val="007F1248"/>
    <w:rsid w:val="007F1375"/>
    <w:rsid w:val="007F19EE"/>
    <w:rsid w:val="007F1A94"/>
    <w:rsid w:val="007F201F"/>
    <w:rsid w:val="007F2080"/>
    <w:rsid w:val="007F2287"/>
    <w:rsid w:val="007F2318"/>
    <w:rsid w:val="007F249A"/>
    <w:rsid w:val="007F27C2"/>
    <w:rsid w:val="007F2817"/>
    <w:rsid w:val="007F29C5"/>
    <w:rsid w:val="007F2A55"/>
    <w:rsid w:val="007F2BA6"/>
    <w:rsid w:val="007F2FB3"/>
    <w:rsid w:val="007F2FFC"/>
    <w:rsid w:val="007F3055"/>
    <w:rsid w:val="007F3616"/>
    <w:rsid w:val="007F375C"/>
    <w:rsid w:val="007F398A"/>
    <w:rsid w:val="007F3A77"/>
    <w:rsid w:val="007F4327"/>
    <w:rsid w:val="007F4842"/>
    <w:rsid w:val="007F4AAD"/>
    <w:rsid w:val="007F5753"/>
    <w:rsid w:val="007F5894"/>
    <w:rsid w:val="007F5E53"/>
    <w:rsid w:val="007F631B"/>
    <w:rsid w:val="007F6D17"/>
    <w:rsid w:val="007F73DC"/>
    <w:rsid w:val="007F7E04"/>
    <w:rsid w:val="007F7E43"/>
    <w:rsid w:val="007F7F7D"/>
    <w:rsid w:val="007F7FCE"/>
    <w:rsid w:val="00800136"/>
    <w:rsid w:val="0080018B"/>
    <w:rsid w:val="0080086F"/>
    <w:rsid w:val="00801172"/>
    <w:rsid w:val="00801666"/>
    <w:rsid w:val="008016A8"/>
    <w:rsid w:val="00801897"/>
    <w:rsid w:val="00801B66"/>
    <w:rsid w:val="00802123"/>
    <w:rsid w:val="00802443"/>
    <w:rsid w:val="0080252D"/>
    <w:rsid w:val="008030D6"/>
    <w:rsid w:val="00803613"/>
    <w:rsid w:val="00803930"/>
    <w:rsid w:val="00803B04"/>
    <w:rsid w:val="00803BCD"/>
    <w:rsid w:val="00803C2D"/>
    <w:rsid w:val="008043A6"/>
    <w:rsid w:val="00804989"/>
    <w:rsid w:val="00804D42"/>
    <w:rsid w:val="00804F36"/>
    <w:rsid w:val="0080506C"/>
    <w:rsid w:val="00805156"/>
    <w:rsid w:val="008051CD"/>
    <w:rsid w:val="008053CC"/>
    <w:rsid w:val="008056E2"/>
    <w:rsid w:val="0080574A"/>
    <w:rsid w:val="008058C5"/>
    <w:rsid w:val="00805ADB"/>
    <w:rsid w:val="00805D28"/>
    <w:rsid w:val="00805D78"/>
    <w:rsid w:val="00805DFA"/>
    <w:rsid w:val="00806278"/>
    <w:rsid w:val="008063EB"/>
    <w:rsid w:val="0080641A"/>
    <w:rsid w:val="008065DE"/>
    <w:rsid w:val="0080721E"/>
    <w:rsid w:val="008072E9"/>
    <w:rsid w:val="008074E6"/>
    <w:rsid w:val="00807856"/>
    <w:rsid w:val="0081001E"/>
    <w:rsid w:val="008100B8"/>
    <w:rsid w:val="00810560"/>
    <w:rsid w:val="00810564"/>
    <w:rsid w:val="00810774"/>
    <w:rsid w:val="00810A43"/>
    <w:rsid w:val="00810C58"/>
    <w:rsid w:val="00810D24"/>
    <w:rsid w:val="00810F81"/>
    <w:rsid w:val="008111AC"/>
    <w:rsid w:val="0081163C"/>
    <w:rsid w:val="008118C3"/>
    <w:rsid w:val="00811EC3"/>
    <w:rsid w:val="00811F58"/>
    <w:rsid w:val="00812065"/>
    <w:rsid w:val="008120B7"/>
    <w:rsid w:val="0081239B"/>
    <w:rsid w:val="0081249A"/>
    <w:rsid w:val="0081258C"/>
    <w:rsid w:val="008126AC"/>
    <w:rsid w:val="008127E0"/>
    <w:rsid w:val="00812A1A"/>
    <w:rsid w:val="00812BDB"/>
    <w:rsid w:val="00812FC1"/>
    <w:rsid w:val="00813088"/>
    <w:rsid w:val="008130D1"/>
    <w:rsid w:val="00813139"/>
    <w:rsid w:val="00813226"/>
    <w:rsid w:val="008134CC"/>
    <w:rsid w:val="00813A58"/>
    <w:rsid w:val="00814130"/>
    <w:rsid w:val="00814328"/>
    <w:rsid w:val="0081469A"/>
    <w:rsid w:val="008149D2"/>
    <w:rsid w:val="00814BDD"/>
    <w:rsid w:val="00814C47"/>
    <w:rsid w:val="00814E3A"/>
    <w:rsid w:val="00814F06"/>
    <w:rsid w:val="008150E6"/>
    <w:rsid w:val="00815482"/>
    <w:rsid w:val="008157F3"/>
    <w:rsid w:val="00815816"/>
    <w:rsid w:val="00815874"/>
    <w:rsid w:val="00815AE7"/>
    <w:rsid w:val="00815B96"/>
    <w:rsid w:val="00815D19"/>
    <w:rsid w:val="00815F9C"/>
    <w:rsid w:val="0081660C"/>
    <w:rsid w:val="008167A8"/>
    <w:rsid w:val="00816A9E"/>
    <w:rsid w:val="00816B0F"/>
    <w:rsid w:val="0081739D"/>
    <w:rsid w:val="00817502"/>
    <w:rsid w:val="00817686"/>
    <w:rsid w:val="00817890"/>
    <w:rsid w:val="00817A64"/>
    <w:rsid w:val="00817B6B"/>
    <w:rsid w:val="00817C20"/>
    <w:rsid w:val="00820306"/>
    <w:rsid w:val="0082096A"/>
    <w:rsid w:val="00820C98"/>
    <w:rsid w:val="00821887"/>
    <w:rsid w:val="00821A16"/>
    <w:rsid w:val="00821CC3"/>
    <w:rsid w:val="00822108"/>
    <w:rsid w:val="00822285"/>
    <w:rsid w:val="008224A5"/>
    <w:rsid w:val="00822588"/>
    <w:rsid w:val="00822C02"/>
    <w:rsid w:val="00822DCF"/>
    <w:rsid w:val="00822F8E"/>
    <w:rsid w:val="00823063"/>
    <w:rsid w:val="0082310E"/>
    <w:rsid w:val="008231A3"/>
    <w:rsid w:val="00823256"/>
    <w:rsid w:val="00823902"/>
    <w:rsid w:val="008239E5"/>
    <w:rsid w:val="00823A44"/>
    <w:rsid w:val="00823DC0"/>
    <w:rsid w:val="00823E58"/>
    <w:rsid w:val="00823EE5"/>
    <w:rsid w:val="00824011"/>
    <w:rsid w:val="008240C7"/>
    <w:rsid w:val="0082489B"/>
    <w:rsid w:val="00824F17"/>
    <w:rsid w:val="00824F2C"/>
    <w:rsid w:val="0082549F"/>
    <w:rsid w:val="00825688"/>
    <w:rsid w:val="008256E6"/>
    <w:rsid w:val="0082634C"/>
    <w:rsid w:val="008267BD"/>
    <w:rsid w:val="008267C4"/>
    <w:rsid w:val="00826CC5"/>
    <w:rsid w:val="0082738A"/>
    <w:rsid w:val="008274D4"/>
    <w:rsid w:val="00827786"/>
    <w:rsid w:val="0082794E"/>
    <w:rsid w:val="00827A0B"/>
    <w:rsid w:val="00827B2B"/>
    <w:rsid w:val="00827C53"/>
    <w:rsid w:val="00827D3B"/>
    <w:rsid w:val="00827D81"/>
    <w:rsid w:val="008306FC"/>
    <w:rsid w:val="008309D6"/>
    <w:rsid w:val="00830BDC"/>
    <w:rsid w:val="008312FA"/>
    <w:rsid w:val="00831331"/>
    <w:rsid w:val="008313D8"/>
    <w:rsid w:val="0083150F"/>
    <w:rsid w:val="00831A0A"/>
    <w:rsid w:val="00831B28"/>
    <w:rsid w:val="00831DCF"/>
    <w:rsid w:val="00831FB4"/>
    <w:rsid w:val="00832081"/>
    <w:rsid w:val="00832246"/>
    <w:rsid w:val="0083246D"/>
    <w:rsid w:val="008326D0"/>
    <w:rsid w:val="00832BFC"/>
    <w:rsid w:val="00832CFB"/>
    <w:rsid w:val="00832FCC"/>
    <w:rsid w:val="00833108"/>
    <w:rsid w:val="008333F6"/>
    <w:rsid w:val="00833855"/>
    <w:rsid w:val="008339D8"/>
    <w:rsid w:val="00833A2B"/>
    <w:rsid w:val="00833A48"/>
    <w:rsid w:val="00833AF4"/>
    <w:rsid w:val="00833FA1"/>
    <w:rsid w:val="008347F2"/>
    <w:rsid w:val="0083480D"/>
    <w:rsid w:val="008348CB"/>
    <w:rsid w:val="00834CD2"/>
    <w:rsid w:val="00834D75"/>
    <w:rsid w:val="00834FB1"/>
    <w:rsid w:val="008351F0"/>
    <w:rsid w:val="008354F3"/>
    <w:rsid w:val="00836006"/>
    <w:rsid w:val="00836249"/>
    <w:rsid w:val="00836976"/>
    <w:rsid w:val="008369EE"/>
    <w:rsid w:val="00836C75"/>
    <w:rsid w:val="0083700F"/>
    <w:rsid w:val="0083720A"/>
    <w:rsid w:val="00837368"/>
    <w:rsid w:val="008377B7"/>
    <w:rsid w:val="008404E8"/>
    <w:rsid w:val="00840B3D"/>
    <w:rsid w:val="00841127"/>
    <w:rsid w:val="008413AC"/>
    <w:rsid w:val="00841557"/>
    <w:rsid w:val="0084161F"/>
    <w:rsid w:val="008420AF"/>
    <w:rsid w:val="008420FD"/>
    <w:rsid w:val="008422BD"/>
    <w:rsid w:val="0084241F"/>
    <w:rsid w:val="008424B2"/>
    <w:rsid w:val="00842698"/>
    <w:rsid w:val="008426B0"/>
    <w:rsid w:val="00842D10"/>
    <w:rsid w:val="00842D20"/>
    <w:rsid w:val="00842EFB"/>
    <w:rsid w:val="00843799"/>
    <w:rsid w:val="00843C48"/>
    <w:rsid w:val="008442CA"/>
    <w:rsid w:val="00844353"/>
    <w:rsid w:val="008443C9"/>
    <w:rsid w:val="00844552"/>
    <w:rsid w:val="008450EC"/>
    <w:rsid w:val="00845129"/>
    <w:rsid w:val="0084542E"/>
    <w:rsid w:val="0084556E"/>
    <w:rsid w:val="00845607"/>
    <w:rsid w:val="00845B91"/>
    <w:rsid w:val="00845E8E"/>
    <w:rsid w:val="00846084"/>
    <w:rsid w:val="00846356"/>
    <w:rsid w:val="00846723"/>
    <w:rsid w:val="008468C8"/>
    <w:rsid w:val="00846EBB"/>
    <w:rsid w:val="0084703F"/>
    <w:rsid w:val="008474A2"/>
    <w:rsid w:val="008478EC"/>
    <w:rsid w:val="008478F1"/>
    <w:rsid w:val="00847981"/>
    <w:rsid w:val="00847B77"/>
    <w:rsid w:val="00847D05"/>
    <w:rsid w:val="00847E45"/>
    <w:rsid w:val="008502CD"/>
    <w:rsid w:val="00850929"/>
    <w:rsid w:val="00850964"/>
    <w:rsid w:val="00850C6F"/>
    <w:rsid w:val="00850CD1"/>
    <w:rsid w:val="00850CFE"/>
    <w:rsid w:val="00851577"/>
    <w:rsid w:val="00851B99"/>
    <w:rsid w:val="00851C07"/>
    <w:rsid w:val="00851F24"/>
    <w:rsid w:val="00851F66"/>
    <w:rsid w:val="00851F94"/>
    <w:rsid w:val="008520AF"/>
    <w:rsid w:val="008520E3"/>
    <w:rsid w:val="00852167"/>
    <w:rsid w:val="008524A7"/>
    <w:rsid w:val="00852720"/>
    <w:rsid w:val="00852735"/>
    <w:rsid w:val="008528C5"/>
    <w:rsid w:val="00852CB9"/>
    <w:rsid w:val="00852EFD"/>
    <w:rsid w:val="00853286"/>
    <w:rsid w:val="0085337F"/>
    <w:rsid w:val="0085346A"/>
    <w:rsid w:val="0085369F"/>
    <w:rsid w:val="00853DB5"/>
    <w:rsid w:val="00853F85"/>
    <w:rsid w:val="00854A17"/>
    <w:rsid w:val="0085502E"/>
    <w:rsid w:val="0085522B"/>
    <w:rsid w:val="008552FE"/>
    <w:rsid w:val="008553D6"/>
    <w:rsid w:val="00855596"/>
    <w:rsid w:val="00855E95"/>
    <w:rsid w:val="00855FB2"/>
    <w:rsid w:val="008568F4"/>
    <w:rsid w:val="00857375"/>
    <w:rsid w:val="00857397"/>
    <w:rsid w:val="008573EB"/>
    <w:rsid w:val="008574F5"/>
    <w:rsid w:val="00857BEB"/>
    <w:rsid w:val="00857E2D"/>
    <w:rsid w:val="00860237"/>
    <w:rsid w:val="008604EE"/>
    <w:rsid w:val="008606D3"/>
    <w:rsid w:val="00860DC5"/>
    <w:rsid w:val="00860F16"/>
    <w:rsid w:val="00860FE9"/>
    <w:rsid w:val="00861072"/>
    <w:rsid w:val="008610CC"/>
    <w:rsid w:val="008610E3"/>
    <w:rsid w:val="0086111E"/>
    <w:rsid w:val="00861A89"/>
    <w:rsid w:val="00862139"/>
    <w:rsid w:val="008627F2"/>
    <w:rsid w:val="00862939"/>
    <w:rsid w:val="0086293B"/>
    <w:rsid w:val="00862956"/>
    <w:rsid w:val="00862A1F"/>
    <w:rsid w:val="00862B4B"/>
    <w:rsid w:val="00862B82"/>
    <w:rsid w:val="00863436"/>
    <w:rsid w:val="0086375E"/>
    <w:rsid w:val="00863777"/>
    <w:rsid w:val="00863C25"/>
    <w:rsid w:val="008644F6"/>
    <w:rsid w:val="008647B8"/>
    <w:rsid w:val="008650F7"/>
    <w:rsid w:val="008652D6"/>
    <w:rsid w:val="00865853"/>
    <w:rsid w:val="00865A55"/>
    <w:rsid w:val="00865B1D"/>
    <w:rsid w:val="00865B91"/>
    <w:rsid w:val="00865ECF"/>
    <w:rsid w:val="00866A9B"/>
    <w:rsid w:val="00866D57"/>
    <w:rsid w:val="00866EC1"/>
    <w:rsid w:val="008671BF"/>
    <w:rsid w:val="008672F8"/>
    <w:rsid w:val="008674B7"/>
    <w:rsid w:val="00867AC7"/>
    <w:rsid w:val="00867C2D"/>
    <w:rsid w:val="00870069"/>
    <w:rsid w:val="008700FD"/>
    <w:rsid w:val="00870476"/>
    <w:rsid w:val="00870560"/>
    <w:rsid w:val="00870865"/>
    <w:rsid w:val="008708F8"/>
    <w:rsid w:val="00870DCD"/>
    <w:rsid w:val="00870E61"/>
    <w:rsid w:val="00871603"/>
    <w:rsid w:val="0087190E"/>
    <w:rsid w:val="00872181"/>
    <w:rsid w:val="008726A4"/>
    <w:rsid w:val="008729F5"/>
    <w:rsid w:val="00872FDE"/>
    <w:rsid w:val="0087320E"/>
    <w:rsid w:val="008733EA"/>
    <w:rsid w:val="0087350A"/>
    <w:rsid w:val="0087394F"/>
    <w:rsid w:val="008740D2"/>
    <w:rsid w:val="0087422B"/>
    <w:rsid w:val="008742B7"/>
    <w:rsid w:val="00874623"/>
    <w:rsid w:val="008747EE"/>
    <w:rsid w:val="00874A9C"/>
    <w:rsid w:val="00874BD4"/>
    <w:rsid w:val="00874BDC"/>
    <w:rsid w:val="00874FF6"/>
    <w:rsid w:val="00875129"/>
    <w:rsid w:val="00875296"/>
    <w:rsid w:val="00875378"/>
    <w:rsid w:val="008755AC"/>
    <w:rsid w:val="00875B08"/>
    <w:rsid w:val="00875BC6"/>
    <w:rsid w:val="00875E9F"/>
    <w:rsid w:val="00876969"/>
    <w:rsid w:val="00876C50"/>
    <w:rsid w:val="00876DD8"/>
    <w:rsid w:val="00876F15"/>
    <w:rsid w:val="0087721C"/>
    <w:rsid w:val="0087785B"/>
    <w:rsid w:val="0087785E"/>
    <w:rsid w:val="008778E4"/>
    <w:rsid w:val="0087796E"/>
    <w:rsid w:val="00877DA7"/>
    <w:rsid w:val="00877E53"/>
    <w:rsid w:val="00877E62"/>
    <w:rsid w:val="00877FC2"/>
    <w:rsid w:val="00880053"/>
    <w:rsid w:val="00880B4B"/>
    <w:rsid w:val="008810EC"/>
    <w:rsid w:val="00881297"/>
    <w:rsid w:val="00881418"/>
    <w:rsid w:val="00881619"/>
    <w:rsid w:val="00881628"/>
    <w:rsid w:val="00881E2C"/>
    <w:rsid w:val="00882211"/>
    <w:rsid w:val="0088221B"/>
    <w:rsid w:val="00882720"/>
    <w:rsid w:val="00882865"/>
    <w:rsid w:val="00882E39"/>
    <w:rsid w:val="00883212"/>
    <w:rsid w:val="00883246"/>
    <w:rsid w:val="008833E3"/>
    <w:rsid w:val="0088349F"/>
    <w:rsid w:val="00883B32"/>
    <w:rsid w:val="0088406A"/>
    <w:rsid w:val="00884276"/>
    <w:rsid w:val="008842FC"/>
    <w:rsid w:val="008844D8"/>
    <w:rsid w:val="00884530"/>
    <w:rsid w:val="00884EB8"/>
    <w:rsid w:val="00884ECC"/>
    <w:rsid w:val="008857C9"/>
    <w:rsid w:val="008858D5"/>
    <w:rsid w:val="008859B6"/>
    <w:rsid w:val="008859E8"/>
    <w:rsid w:val="00885ADB"/>
    <w:rsid w:val="008863E0"/>
    <w:rsid w:val="00886761"/>
    <w:rsid w:val="00886765"/>
    <w:rsid w:val="008868C3"/>
    <w:rsid w:val="00886926"/>
    <w:rsid w:val="00887062"/>
    <w:rsid w:val="0088712A"/>
    <w:rsid w:val="00887297"/>
    <w:rsid w:val="0088760A"/>
    <w:rsid w:val="00887957"/>
    <w:rsid w:val="00887ACC"/>
    <w:rsid w:val="008906BC"/>
    <w:rsid w:val="008908D9"/>
    <w:rsid w:val="00890C6E"/>
    <w:rsid w:val="00890EEE"/>
    <w:rsid w:val="00890F34"/>
    <w:rsid w:val="00891312"/>
    <w:rsid w:val="008913CD"/>
    <w:rsid w:val="0089157B"/>
    <w:rsid w:val="008916AA"/>
    <w:rsid w:val="008916C2"/>
    <w:rsid w:val="00891831"/>
    <w:rsid w:val="0089184E"/>
    <w:rsid w:val="00891D20"/>
    <w:rsid w:val="00891E3D"/>
    <w:rsid w:val="00892044"/>
    <w:rsid w:val="00892315"/>
    <w:rsid w:val="0089246E"/>
    <w:rsid w:val="00892AC7"/>
    <w:rsid w:val="00892D66"/>
    <w:rsid w:val="00893168"/>
    <w:rsid w:val="008931C5"/>
    <w:rsid w:val="0089325E"/>
    <w:rsid w:val="008937EB"/>
    <w:rsid w:val="00893AB9"/>
    <w:rsid w:val="00893CB4"/>
    <w:rsid w:val="00893E93"/>
    <w:rsid w:val="00894947"/>
    <w:rsid w:val="008949DE"/>
    <w:rsid w:val="00894EE3"/>
    <w:rsid w:val="00895243"/>
    <w:rsid w:val="0089528A"/>
    <w:rsid w:val="0089559C"/>
    <w:rsid w:val="00895DC9"/>
    <w:rsid w:val="00895EB7"/>
    <w:rsid w:val="00895EEC"/>
    <w:rsid w:val="0089616F"/>
    <w:rsid w:val="008961B0"/>
    <w:rsid w:val="008963BD"/>
    <w:rsid w:val="008965F0"/>
    <w:rsid w:val="00896625"/>
    <w:rsid w:val="00896C23"/>
    <w:rsid w:val="00896CD8"/>
    <w:rsid w:val="00897074"/>
    <w:rsid w:val="008971BF"/>
    <w:rsid w:val="008974E0"/>
    <w:rsid w:val="008A0251"/>
    <w:rsid w:val="008A02CA"/>
    <w:rsid w:val="008A043A"/>
    <w:rsid w:val="008A07E8"/>
    <w:rsid w:val="008A0B25"/>
    <w:rsid w:val="008A1055"/>
    <w:rsid w:val="008A12B2"/>
    <w:rsid w:val="008A1A86"/>
    <w:rsid w:val="008A1AAE"/>
    <w:rsid w:val="008A1B3E"/>
    <w:rsid w:val="008A1CA9"/>
    <w:rsid w:val="008A1F2B"/>
    <w:rsid w:val="008A2268"/>
    <w:rsid w:val="008A2340"/>
    <w:rsid w:val="008A37C5"/>
    <w:rsid w:val="008A39BC"/>
    <w:rsid w:val="008A3D48"/>
    <w:rsid w:val="008A40E8"/>
    <w:rsid w:val="008A4167"/>
    <w:rsid w:val="008A43C8"/>
    <w:rsid w:val="008A4600"/>
    <w:rsid w:val="008A4E67"/>
    <w:rsid w:val="008A52D5"/>
    <w:rsid w:val="008A5505"/>
    <w:rsid w:val="008A5784"/>
    <w:rsid w:val="008A580A"/>
    <w:rsid w:val="008A6048"/>
    <w:rsid w:val="008A60C3"/>
    <w:rsid w:val="008A60F1"/>
    <w:rsid w:val="008A67AC"/>
    <w:rsid w:val="008A697F"/>
    <w:rsid w:val="008A6C50"/>
    <w:rsid w:val="008A6C65"/>
    <w:rsid w:val="008A71EB"/>
    <w:rsid w:val="008A7272"/>
    <w:rsid w:val="008A72B9"/>
    <w:rsid w:val="008A7434"/>
    <w:rsid w:val="008A758E"/>
    <w:rsid w:val="008A7759"/>
    <w:rsid w:val="008A7A9A"/>
    <w:rsid w:val="008A7C85"/>
    <w:rsid w:val="008A7CA8"/>
    <w:rsid w:val="008B0120"/>
    <w:rsid w:val="008B02D5"/>
    <w:rsid w:val="008B0433"/>
    <w:rsid w:val="008B07BA"/>
    <w:rsid w:val="008B08AE"/>
    <w:rsid w:val="008B09BF"/>
    <w:rsid w:val="008B0F0D"/>
    <w:rsid w:val="008B113C"/>
    <w:rsid w:val="008B1751"/>
    <w:rsid w:val="008B19FB"/>
    <w:rsid w:val="008B1A54"/>
    <w:rsid w:val="008B1C01"/>
    <w:rsid w:val="008B1FF1"/>
    <w:rsid w:val="008B255C"/>
    <w:rsid w:val="008B274B"/>
    <w:rsid w:val="008B29AE"/>
    <w:rsid w:val="008B368B"/>
    <w:rsid w:val="008B3B77"/>
    <w:rsid w:val="008B3F14"/>
    <w:rsid w:val="008B4475"/>
    <w:rsid w:val="008B4499"/>
    <w:rsid w:val="008B44DF"/>
    <w:rsid w:val="008B4CAE"/>
    <w:rsid w:val="008B4DA6"/>
    <w:rsid w:val="008B4ED4"/>
    <w:rsid w:val="008B53ED"/>
    <w:rsid w:val="008B54B1"/>
    <w:rsid w:val="008B5AF6"/>
    <w:rsid w:val="008B5E3F"/>
    <w:rsid w:val="008B5EE9"/>
    <w:rsid w:val="008B6214"/>
    <w:rsid w:val="008B6348"/>
    <w:rsid w:val="008B63E1"/>
    <w:rsid w:val="008B6D29"/>
    <w:rsid w:val="008B717D"/>
    <w:rsid w:val="008B7B8C"/>
    <w:rsid w:val="008B7B9C"/>
    <w:rsid w:val="008B7C8A"/>
    <w:rsid w:val="008C0C5C"/>
    <w:rsid w:val="008C0ECA"/>
    <w:rsid w:val="008C0F7C"/>
    <w:rsid w:val="008C0F92"/>
    <w:rsid w:val="008C1390"/>
    <w:rsid w:val="008C193F"/>
    <w:rsid w:val="008C198A"/>
    <w:rsid w:val="008C1E35"/>
    <w:rsid w:val="008C1EA0"/>
    <w:rsid w:val="008C2A87"/>
    <w:rsid w:val="008C2ABA"/>
    <w:rsid w:val="008C30C5"/>
    <w:rsid w:val="008C3407"/>
    <w:rsid w:val="008C3457"/>
    <w:rsid w:val="008C3DB9"/>
    <w:rsid w:val="008C3F98"/>
    <w:rsid w:val="008C445B"/>
    <w:rsid w:val="008C4478"/>
    <w:rsid w:val="008C466B"/>
    <w:rsid w:val="008C48C5"/>
    <w:rsid w:val="008C5057"/>
    <w:rsid w:val="008C50FC"/>
    <w:rsid w:val="008C529C"/>
    <w:rsid w:val="008C56B5"/>
    <w:rsid w:val="008C618D"/>
    <w:rsid w:val="008C6444"/>
    <w:rsid w:val="008C64A1"/>
    <w:rsid w:val="008C6613"/>
    <w:rsid w:val="008C68C0"/>
    <w:rsid w:val="008C6A6B"/>
    <w:rsid w:val="008C6E95"/>
    <w:rsid w:val="008C7298"/>
    <w:rsid w:val="008C72BE"/>
    <w:rsid w:val="008C7479"/>
    <w:rsid w:val="008C75DB"/>
    <w:rsid w:val="008C775C"/>
    <w:rsid w:val="008C7A63"/>
    <w:rsid w:val="008C7EA8"/>
    <w:rsid w:val="008C7F0E"/>
    <w:rsid w:val="008C7F8A"/>
    <w:rsid w:val="008D090C"/>
    <w:rsid w:val="008D0947"/>
    <w:rsid w:val="008D0CCA"/>
    <w:rsid w:val="008D173E"/>
    <w:rsid w:val="008D1A37"/>
    <w:rsid w:val="008D2138"/>
    <w:rsid w:val="008D229F"/>
    <w:rsid w:val="008D2A27"/>
    <w:rsid w:val="008D2AD1"/>
    <w:rsid w:val="008D2ECD"/>
    <w:rsid w:val="008D3089"/>
    <w:rsid w:val="008D3101"/>
    <w:rsid w:val="008D327E"/>
    <w:rsid w:val="008D35D2"/>
    <w:rsid w:val="008D38CD"/>
    <w:rsid w:val="008D394E"/>
    <w:rsid w:val="008D3E15"/>
    <w:rsid w:val="008D3E68"/>
    <w:rsid w:val="008D4286"/>
    <w:rsid w:val="008D4724"/>
    <w:rsid w:val="008D494C"/>
    <w:rsid w:val="008D4F2F"/>
    <w:rsid w:val="008D4F53"/>
    <w:rsid w:val="008D4FE1"/>
    <w:rsid w:val="008D5826"/>
    <w:rsid w:val="008D583E"/>
    <w:rsid w:val="008D586C"/>
    <w:rsid w:val="008D5945"/>
    <w:rsid w:val="008D5B6A"/>
    <w:rsid w:val="008D5BAE"/>
    <w:rsid w:val="008D5C92"/>
    <w:rsid w:val="008D5F85"/>
    <w:rsid w:val="008D5FF8"/>
    <w:rsid w:val="008D6096"/>
    <w:rsid w:val="008D6436"/>
    <w:rsid w:val="008D763C"/>
    <w:rsid w:val="008D76A6"/>
    <w:rsid w:val="008D798E"/>
    <w:rsid w:val="008D7AA5"/>
    <w:rsid w:val="008D7C98"/>
    <w:rsid w:val="008D7CAD"/>
    <w:rsid w:val="008D7CF6"/>
    <w:rsid w:val="008E01B5"/>
    <w:rsid w:val="008E0653"/>
    <w:rsid w:val="008E084D"/>
    <w:rsid w:val="008E098F"/>
    <w:rsid w:val="008E0DD9"/>
    <w:rsid w:val="008E182B"/>
    <w:rsid w:val="008E1953"/>
    <w:rsid w:val="008E1AE7"/>
    <w:rsid w:val="008E1BFE"/>
    <w:rsid w:val="008E2200"/>
    <w:rsid w:val="008E235A"/>
    <w:rsid w:val="008E24ED"/>
    <w:rsid w:val="008E2BD9"/>
    <w:rsid w:val="008E307D"/>
    <w:rsid w:val="008E34BC"/>
    <w:rsid w:val="008E35AE"/>
    <w:rsid w:val="008E37FB"/>
    <w:rsid w:val="008E3938"/>
    <w:rsid w:val="008E3B0E"/>
    <w:rsid w:val="008E3FBD"/>
    <w:rsid w:val="008E4654"/>
    <w:rsid w:val="008E49FB"/>
    <w:rsid w:val="008E4CD1"/>
    <w:rsid w:val="008E4EA3"/>
    <w:rsid w:val="008E5091"/>
    <w:rsid w:val="008E5204"/>
    <w:rsid w:val="008E5272"/>
    <w:rsid w:val="008E548A"/>
    <w:rsid w:val="008E5673"/>
    <w:rsid w:val="008E5683"/>
    <w:rsid w:val="008E5833"/>
    <w:rsid w:val="008E5FA2"/>
    <w:rsid w:val="008E6001"/>
    <w:rsid w:val="008E62D8"/>
    <w:rsid w:val="008E645F"/>
    <w:rsid w:val="008E67D0"/>
    <w:rsid w:val="008E6B1D"/>
    <w:rsid w:val="008E722F"/>
    <w:rsid w:val="008E7B50"/>
    <w:rsid w:val="008E7EAE"/>
    <w:rsid w:val="008E7EFA"/>
    <w:rsid w:val="008E8002"/>
    <w:rsid w:val="008F008D"/>
    <w:rsid w:val="008F09E8"/>
    <w:rsid w:val="008F0E04"/>
    <w:rsid w:val="008F1084"/>
    <w:rsid w:val="008F129C"/>
    <w:rsid w:val="008F23B2"/>
    <w:rsid w:val="008F29A5"/>
    <w:rsid w:val="008F2B03"/>
    <w:rsid w:val="008F2C4D"/>
    <w:rsid w:val="008F2CDC"/>
    <w:rsid w:val="008F2D5B"/>
    <w:rsid w:val="008F2E03"/>
    <w:rsid w:val="008F2EC0"/>
    <w:rsid w:val="008F32C5"/>
    <w:rsid w:val="008F331F"/>
    <w:rsid w:val="008F3425"/>
    <w:rsid w:val="008F3B79"/>
    <w:rsid w:val="008F3BED"/>
    <w:rsid w:val="008F3EC6"/>
    <w:rsid w:val="008F46C6"/>
    <w:rsid w:val="008F4ADB"/>
    <w:rsid w:val="008F505D"/>
    <w:rsid w:val="008F510B"/>
    <w:rsid w:val="008F5572"/>
    <w:rsid w:val="008F5633"/>
    <w:rsid w:val="008F5634"/>
    <w:rsid w:val="008F5AB4"/>
    <w:rsid w:val="008F5BB0"/>
    <w:rsid w:val="008F5CDC"/>
    <w:rsid w:val="008F5E08"/>
    <w:rsid w:val="008F61CA"/>
    <w:rsid w:val="008F6760"/>
    <w:rsid w:val="008F6A75"/>
    <w:rsid w:val="008F6AB5"/>
    <w:rsid w:val="008F72F2"/>
    <w:rsid w:val="008F754F"/>
    <w:rsid w:val="008F75CB"/>
    <w:rsid w:val="008F76AA"/>
    <w:rsid w:val="008F76B5"/>
    <w:rsid w:val="008F7731"/>
    <w:rsid w:val="008F7B9B"/>
    <w:rsid w:val="008F7C93"/>
    <w:rsid w:val="008F7E72"/>
    <w:rsid w:val="008F7F9A"/>
    <w:rsid w:val="0090014F"/>
    <w:rsid w:val="00900737"/>
    <w:rsid w:val="009007C5"/>
    <w:rsid w:val="0090091D"/>
    <w:rsid w:val="00900E55"/>
    <w:rsid w:val="00901558"/>
    <w:rsid w:val="009015B9"/>
    <w:rsid w:val="009015D2"/>
    <w:rsid w:val="00901AAA"/>
    <w:rsid w:val="009020C6"/>
    <w:rsid w:val="00902A20"/>
    <w:rsid w:val="00902B51"/>
    <w:rsid w:val="00902BFE"/>
    <w:rsid w:val="009037BB"/>
    <w:rsid w:val="00903C8C"/>
    <w:rsid w:val="009043B0"/>
    <w:rsid w:val="00904536"/>
    <w:rsid w:val="00904647"/>
    <w:rsid w:val="00904C18"/>
    <w:rsid w:val="00904C51"/>
    <w:rsid w:val="009053F1"/>
    <w:rsid w:val="009054AE"/>
    <w:rsid w:val="0090586B"/>
    <w:rsid w:val="0090598A"/>
    <w:rsid w:val="00905C09"/>
    <w:rsid w:val="00905DAA"/>
    <w:rsid w:val="00906397"/>
    <w:rsid w:val="009065CC"/>
    <w:rsid w:val="00906A1A"/>
    <w:rsid w:val="00906E77"/>
    <w:rsid w:val="0090762A"/>
    <w:rsid w:val="00907683"/>
    <w:rsid w:val="00907E22"/>
    <w:rsid w:val="00907F77"/>
    <w:rsid w:val="0091021D"/>
    <w:rsid w:val="00910426"/>
    <w:rsid w:val="00910571"/>
    <w:rsid w:val="00910847"/>
    <w:rsid w:val="009108A6"/>
    <w:rsid w:val="00910B51"/>
    <w:rsid w:val="00910E05"/>
    <w:rsid w:val="00911512"/>
    <w:rsid w:val="00911AE4"/>
    <w:rsid w:val="00912651"/>
    <w:rsid w:val="00912772"/>
    <w:rsid w:val="00912C26"/>
    <w:rsid w:val="00912E7F"/>
    <w:rsid w:val="00913214"/>
    <w:rsid w:val="00913372"/>
    <w:rsid w:val="009133D7"/>
    <w:rsid w:val="009133F3"/>
    <w:rsid w:val="009135AF"/>
    <w:rsid w:val="009138EB"/>
    <w:rsid w:val="00913ED5"/>
    <w:rsid w:val="00913FC1"/>
    <w:rsid w:val="00914129"/>
    <w:rsid w:val="009141EB"/>
    <w:rsid w:val="0091434B"/>
    <w:rsid w:val="00914418"/>
    <w:rsid w:val="0091448E"/>
    <w:rsid w:val="00914592"/>
    <w:rsid w:val="00914613"/>
    <w:rsid w:val="00914762"/>
    <w:rsid w:val="00914D1F"/>
    <w:rsid w:val="00914DF4"/>
    <w:rsid w:val="0091532F"/>
    <w:rsid w:val="0091546D"/>
    <w:rsid w:val="009154A6"/>
    <w:rsid w:val="009157BF"/>
    <w:rsid w:val="00915DBA"/>
    <w:rsid w:val="009165D1"/>
    <w:rsid w:val="00916913"/>
    <w:rsid w:val="00917260"/>
    <w:rsid w:val="0091784B"/>
    <w:rsid w:val="00917A24"/>
    <w:rsid w:val="00917DB6"/>
    <w:rsid w:val="009201AC"/>
    <w:rsid w:val="00920497"/>
    <w:rsid w:val="009205FD"/>
    <w:rsid w:val="00920D59"/>
    <w:rsid w:val="00920FD8"/>
    <w:rsid w:val="009211DB"/>
    <w:rsid w:val="009211F4"/>
    <w:rsid w:val="009214DA"/>
    <w:rsid w:val="00921535"/>
    <w:rsid w:val="0092157A"/>
    <w:rsid w:val="00921B97"/>
    <w:rsid w:val="00921B99"/>
    <w:rsid w:val="00921D60"/>
    <w:rsid w:val="00921DF2"/>
    <w:rsid w:val="00921EF4"/>
    <w:rsid w:val="00922157"/>
    <w:rsid w:val="0092228F"/>
    <w:rsid w:val="00922490"/>
    <w:rsid w:val="0092279F"/>
    <w:rsid w:val="00922D18"/>
    <w:rsid w:val="00922E7B"/>
    <w:rsid w:val="00923ED2"/>
    <w:rsid w:val="00924185"/>
    <w:rsid w:val="00924220"/>
    <w:rsid w:val="0092427D"/>
    <w:rsid w:val="00924339"/>
    <w:rsid w:val="00924377"/>
    <w:rsid w:val="00924388"/>
    <w:rsid w:val="009245DD"/>
    <w:rsid w:val="00924666"/>
    <w:rsid w:val="0092473D"/>
    <w:rsid w:val="00924C38"/>
    <w:rsid w:val="00924E3A"/>
    <w:rsid w:val="00925055"/>
    <w:rsid w:val="0092510A"/>
    <w:rsid w:val="0092514E"/>
    <w:rsid w:val="00925198"/>
    <w:rsid w:val="00925558"/>
    <w:rsid w:val="00925B84"/>
    <w:rsid w:val="00926E30"/>
    <w:rsid w:val="0092717B"/>
    <w:rsid w:val="0092729E"/>
    <w:rsid w:val="00927507"/>
    <w:rsid w:val="00927776"/>
    <w:rsid w:val="009279ED"/>
    <w:rsid w:val="00927CB2"/>
    <w:rsid w:val="00927E27"/>
    <w:rsid w:val="00927E8B"/>
    <w:rsid w:val="00927F10"/>
    <w:rsid w:val="00927FC6"/>
    <w:rsid w:val="009302DB"/>
    <w:rsid w:val="009304F1"/>
    <w:rsid w:val="00930767"/>
    <w:rsid w:val="00930C9C"/>
    <w:rsid w:val="00930D9C"/>
    <w:rsid w:val="0093138C"/>
    <w:rsid w:val="009314F8"/>
    <w:rsid w:val="009318E3"/>
    <w:rsid w:val="00931A6B"/>
    <w:rsid w:val="0093231B"/>
    <w:rsid w:val="00932570"/>
    <w:rsid w:val="00932879"/>
    <w:rsid w:val="00932A32"/>
    <w:rsid w:val="00932BCD"/>
    <w:rsid w:val="009330ED"/>
    <w:rsid w:val="00933268"/>
    <w:rsid w:val="00933383"/>
    <w:rsid w:val="00933393"/>
    <w:rsid w:val="009338C5"/>
    <w:rsid w:val="00933A9A"/>
    <w:rsid w:val="00933BB2"/>
    <w:rsid w:val="00934209"/>
    <w:rsid w:val="0093436B"/>
    <w:rsid w:val="00934A6A"/>
    <w:rsid w:val="009352B5"/>
    <w:rsid w:val="00935904"/>
    <w:rsid w:val="00935A6C"/>
    <w:rsid w:val="00935A6E"/>
    <w:rsid w:val="0093613C"/>
    <w:rsid w:val="00936AFF"/>
    <w:rsid w:val="00936BF5"/>
    <w:rsid w:val="00937089"/>
    <w:rsid w:val="009375A2"/>
    <w:rsid w:val="00937637"/>
    <w:rsid w:val="00937FDC"/>
    <w:rsid w:val="0094054F"/>
    <w:rsid w:val="0094060E"/>
    <w:rsid w:val="009407A6"/>
    <w:rsid w:val="009407AF"/>
    <w:rsid w:val="00940D96"/>
    <w:rsid w:val="00940FBC"/>
    <w:rsid w:val="00940FD3"/>
    <w:rsid w:val="00941279"/>
    <w:rsid w:val="00941514"/>
    <w:rsid w:val="00941590"/>
    <w:rsid w:val="0094180B"/>
    <w:rsid w:val="00941962"/>
    <w:rsid w:val="00941A81"/>
    <w:rsid w:val="00941D1E"/>
    <w:rsid w:val="00941DC3"/>
    <w:rsid w:val="009420BC"/>
    <w:rsid w:val="00942249"/>
    <w:rsid w:val="00942A66"/>
    <w:rsid w:val="00942E8E"/>
    <w:rsid w:val="009436E2"/>
    <w:rsid w:val="009437C6"/>
    <w:rsid w:val="00943913"/>
    <w:rsid w:val="00943951"/>
    <w:rsid w:val="0094395B"/>
    <w:rsid w:val="00943965"/>
    <w:rsid w:val="00943E98"/>
    <w:rsid w:val="0094407E"/>
    <w:rsid w:val="0094460A"/>
    <w:rsid w:val="00944879"/>
    <w:rsid w:val="00944ECE"/>
    <w:rsid w:val="00944FD1"/>
    <w:rsid w:val="00945236"/>
    <w:rsid w:val="00945A4F"/>
    <w:rsid w:val="00945D12"/>
    <w:rsid w:val="00945F42"/>
    <w:rsid w:val="00946824"/>
    <w:rsid w:val="00946883"/>
    <w:rsid w:val="00946E1E"/>
    <w:rsid w:val="009471A2"/>
    <w:rsid w:val="00947282"/>
    <w:rsid w:val="009473FD"/>
    <w:rsid w:val="00947968"/>
    <w:rsid w:val="00947AD7"/>
    <w:rsid w:val="00947B88"/>
    <w:rsid w:val="00947D4E"/>
    <w:rsid w:val="00947D6C"/>
    <w:rsid w:val="0095006F"/>
    <w:rsid w:val="00950112"/>
    <w:rsid w:val="00950191"/>
    <w:rsid w:val="009502AF"/>
    <w:rsid w:val="0095069C"/>
    <w:rsid w:val="009506E5"/>
    <w:rsid w:val="009507A6"/>
    <w:rsid w:val="0095101D"/>
    <w:rsid w:val="00951198"/>
    <w:rsid w:val="00951625"/>
    <w:rsid w:val="0095195E"/>
    <w:rsid w:val="00951A9E"/>
    <w:rsid w:val="00951C54"/>
    <w:rsid w:val="00951C67"/>
    <w:rsid w:val="00951DF0"/>
    <w:rsid w:val="009521B6"/>
    <w:rsid w:val="0095235D"/>
    <w:rsid w:val="0095238E"/>
    <w:rsid w:val="00952C0F"/>
    <w:rsid w:val="009530E9"/>
    <w:rsid w:val="00953280"/>
    <w:rsid w:val="00953725"/>
    <w:rsid w:val="0095434C"/>
    <w:rsid w:val="00954890"/>
    <w:rsid w:val="00954BBE"/>
    <w:rsid w:val="00954DE8"/>
    <w:rsid w:val="00954E5C"/>
    <w:rsid w:val="00954F6A"/>
    <w:rsid w:val="009556D6"/>
    <w:rsid w:val="0095592E"/>
    <w:rsid w:val="00955AAC"/>
    <w:rsid w:val="00955C84"/>
    <w:rsid w:val="00956391"/>
    <w:rsid w:val="00956844"/>
    <w:rsid w:val="00956B1A"/>
    <w:rsid w:val="00956EF4"/>
    <w:rsid w:val="00956FA2"/>
    <w:rsid w:val="00957542"/>
    <w:rsid w:val="00957C73"/>
    <w:rsid w:val="00957DD0"/>
    <w:rsid w:val="00957EEF"/>
    <w:rsid w:val="00960448"/>
    <w:rsid w:val="0096083C"/>
    <w:rsid w:val="009610ED"/>
    <w:rsid w:val="0096147F"/>
    <w:rsid w:val="009615F6"/>
    <w:rsid w:val="0096193B"/>
    <w:rsid w:val="00961A1B"/>
    <w:rsid w:val="009622DF"/>
    <w:rsid w:val="00962646"/>
    <w:rsid w:val="00962792"/>
    <w:rsid w:val="0096281F"/>
    <w:rsid w:val="00962846"/>
    <w:rsid w:val="00962949"/>
    <w:rsid w:val="00962C53"/>
    <w:rsid w:val="00962DBC"/>
    <w:rsid w:val="00962FC6"/>
    <w:rsid w:val="00963246"/>
    <w:rsid w:val="00963892"/>
    <w:rsid w:val="00963AC0"/>
    <w:rsid w:val="00963E17"/>
    <w:rsid w:val="00963F0B"/>
    <w:rsid w:val="0096455C"/>
    <w:rsid w:val="00964D33"/>
    <w:rsid w:val="00964D87"/>
    <w:rsid w:val="009652F3"/>
    <w:rsid w:val="00965500"/>
    <w:rsid w:val="009658BA"/>
    <w:rsid w:val="00965CC0"/>
    <w:rsid w:val="00965DA0"/>
    <w:rsid w:val="00965EC7"/>
    <w:rsid w:val="009665C1"/>
    <w:rsid w:val="009676AA"/>
    <w:rsid w:val="0096789D"/>
    <w:rsid w:val="009678DA"/>
    <w:rsid w:val="009679A8"/>
    <w:rsid w:val="00967BD6"/>
    <w:rsid w:val="00967E6B"/>
    <w:rsid w:val="00967F00"/>
    <w:rsid w:val="0097030C"/>
    <w:rsid w:val="0097068E"/>
    <w:rsid w:val="00970883"/>
    <w:rsid w:val="009708D8"/>
    <w:rsid w:val="0097099C"/>
    <w:rsid w:val="00970C89"/>
    <w:rsid w:val="00970CEB"/>
    <w:rsid w:val="00971540"/>
    <w:rsid w:val="009715CD"/>
    <w:rsid w:val="009715E2"/>
    <w:rsid w:val="009717D1"/>
    <w:rsid w:val="00971FC5"/>
    <w:rsid w:val="009721DD"/>
    <w:rsid w:val="00972395"/>
    <w:rsid w:val="009725D8"/>
    <w:rsid w:val="00972878"/>
    <w:rsid w:val="00972AF2"/>
    <w:rsid w:val="00972F2C"/>
    <w:rsid w:val="00972FF7"/>
    <w:rsid w:val="0097342C"/>
    <w:rsid w:val="0097390F"/>
    <w:rsid w:val="00973A65"/>
    <w:rsid w:val="00973E53"/>
    <w:rsid w:val="009740DF"/>
    <w:rsid w:val="00974282"/>
    <w:rsid w:val="009743F5"/>
    <w:rsid w:val="00974A85"/>
    <w:rsid w:val="00974B43"/>
    <w:rsid w:val="00974D02"/>
    <w:rsid w:val="00975499"/>
    <w:rsid w:val="00975E61"/>
    <w:rsid w:val="00976268"/>
    <w:rsid w:val="0097673C"/>
    <w:rsid w:val="00976877"/>
    <w:rsid w:val="00976964"/>
    <w:rsid w:val="009769F7"/>
    <w:rsid w:val="009772F3"/>
    <w:rsid w:val="0097741E"/>
    <w:rsid w:val="0097785E"/>
    <w:rsid w:val="00977880"/>
    <w:rsid w:val="00977C94"/>
    <w:rsid w:val="00980689"/>
    <w:rsid w:val="00980706"/>
    <w:rsid w:val="009808CF"/>
    <w:rsid w:val="00980ADE"/>
    <w:rsid w:val="00980AFE"/>
    <w:rsid w:val="00980B94"/>
    <w:rsid w:val="00980CDB"/>
    <w:rsid w:val="00981126"/>
    <w:rsid w:val="009814FB"/>
    <w:rsid w:val="009819FC"/>
    <w:rsid w:val="00981B9A"/>
    <w:rsid w:val="00982A63"/>
    <w:rsid w:val="00982D15"/>
    <w:rsid w:val="00982D6D"/>
    <w:rsid w:val="00982F23"/>
    <w:rsid w:val="009831B9"/>
    <w:rsid w:val="00983584"/>
    <w:rsid w:val="009840A6"/>
    <w:rsid w:val="009846D2"/>
    <w:rsid w:val="0098478D"/>
    <w:rsid w:val="00984D51"/>
    <w:rsid w:val="00984DD4"/>
    <w:rsid w:val="00984E34"/>
    <w:rsid w:val="00984F4D"/>
    <w:rsid w:val="00984FC6"/>
    <w:rsid w:val="009857D3"/>
    <w:rsid w:val="00985DB8"/>
    <w:rsid w:val="00985E7A"/>
    <w:rsid w:val="00985EF7"/>
    <w:rsid w:val="0098634F"/>
    <w:rsid w:val="00986719"/>
    <w:rsid w:val="00986834"/>
    <w:rsid w:val="0098697F"/>
    <w:rsid w:val="00986B4A"/>
    <w:rsid w:val="00986C0D"/>
    <w:rsid w:val="00986D12"/>
    <w:rsid w:val="009870F7"/>
    <w:rsid w:val="00987555"/>
    <w:rsid w:val="009876EE"/>
    <w:rsid w:val="00987BF0"/>
    <w:rsid w:val="00987C10"/>
    <w:rsid w:val="009907D2"/>
    <w:rsid w:val="00990996"/>
    <w:rsid w:val="00990D30"/>
    <w:rsid w:val="00990EBD"/>
    <w:rsid w:val="0099101C"/>
    <w:rsid w:val="00991539"/>
    <w:rsid w:val="00991D55"/>
    <w:rsid w:val="0099210F"/>
    <w:rsid w:val="009923DC"/>
    <w:rsid w:val="00992998"/>
    <w:rsid w:val="00992B74"/>
    <w:rsid w:val="0099378D"/>
    <w:rsid w:val="00993A9B"/>
    <w:rsid w:val="009940D5"/>
    <w:rsid w:val="009942CF"/>
    <w:rsid w:val="00994A5A"/>
    <w:rsid w:val="00994EF8"/>
    <w:rsid w:val="00995275"/>
    <w:rsid w:val="0099539B"/>
    <w:rsid w:val="009953E0"/>
    <w:rsid w:val="009954AF"/>
    <w:rsid w:val="00995D46"/>
    <w:rsid w:val="00995ED7"/>
    <w:rsid w:val="00995F8F"/>
    <w:rsid w:val="00996071"/>
    <w:rsid w:val="0099621B"/>
    <w:rsid w:val="009968A7"/>
    <w:rsid w:val="00996D15"/>
    <w:rsid w:val="00996F44"/>
    <w:rsid w:val="00996F54"/>
    <w:rsid w:val="009970F8"/>
    <w:rsid w:val="00997260"/>
    <w:rsid w:val="00997520"/>
    <w:rsid w:val="00997806"/>
    <w:rsid w:val="009A0246"/>
    <w:rsid w:val="009A04AA"/>
    <w:rsid w:val="009A0882"/>
    <w:rsid w:val="009A0AA9"/>
    <w:rsid w:val="009A0C75"/>
    <w:rsid w:val="009A0C7B"/>
    <w:rsid w:val="009A0E30"/>
    <w:rsid w:val="009A1010"/>
    <w:rsid w:val="009A1AA8"/>
    <w:rsid w:val="009A233F"/>
    <w:rsid w:val="009A234B"/>
    <w:rsid w:val="009A26CD"/>
    <w:rsid w:val="009A2B6F"/>
    <w:rsid w:val="009A2D51"/>
    <w:rsid w:val="009A2E75"/>
    <w:rsid w:val="009A2F33"/>
    <w:rsid w:val="009A34AF"/>
    <w:rsid w:val="009A3645"/>
    <w:rsid w:val="009A3857"/>
    <w:rsid w:val="009A392E"/>
    <w:rsid w:val="009A3D89"/>
    <w:rsid w:val="009A3DBF"/>
    <w:rsid w:val="009A408C"/>
    <w:rsid w:val="009A422D"/>
    <w:rsid w:val="009A48CF"/>
    <w:rsid w:val="009A49EC"/>
    <w:rsid w:val="009A4C84"/>
    <w:rsid w:val="009A54C9"/>
    <w:rsid w:val="009A563B"/>
    <w:rsid w:val="009A588A"/>
    <w:rsid w:val="009A5AC5"/>
    <w:rsid w:val="009A5AE5"/>
    <w:rsid w:val="009A5BA2"/>
    <w:rsid w:val="009A5DFC"/>
    <w:rsid w:val="009A5F76"/>
    <w:rsid w:val="009A6A6F"/>
    <w:rsid w:val="009A6EC2"/>
    <w:rsid w:val="009A7DEF"/>
    <w:rsid w:val="009A7E12"/>
    <w:rsid w:val="009A7F24"/>
    <w:rsid w:val="009B00BF"/>
    <w:rsid w:val="009B0131"/>
    <w:rsid w:val="009B01E7"/>
    <w:rsid w:val="009B04CB"/>
    <w:rsid w:val="009B056E"/>
    <w:rsid w:val="009B0571"/>
    <w:rsid w:val="009B06A6"/>
    <w:rsid w:val="009B0972"/>
    <w:rsid w:val="009B0AC2"/>
    <w:rsid w:val="009B0CEA"/>
    <w:rsid w:val="009B1F37"/>
    <w:rsid w:val="009B1F5D"/>
    <w:rsid w:val="009B20E2"/>
    <w:rsid w:val="009B234A"/>
    <w:rsid w:val="009B26F0"/>
    <w:rsid w:val="009B2A54"/>
    <w:rsid w:val="009B2C6D"/>
    <w:rsid w:val="009B2DBD"/>
    <w:rsid w:val="009B3507"/>
    <w:rsid w:val="009B371A"/>
    <w:rsid w:val="009B3B96"/>
    <w:rsid w:val="009B3D24"/>
    <w:rsid w:val="009B3F36"/>
    <w:rsid w:val="009B3F88"/>
    <w:rsid w:val="009B3FD7"/>
    <w:rsid w:val="009B42AC"/>
    <w:rsid w:val="009B4C08"/>
    <w:rsid w:val="009B52AC"/>
    <w:rsid w:val="009B551A"/>
    <w:rsid w:val="009B5604"/>
    <w:rsid w:val="009B5D13"/>
    <w:rsid w:val="009B6477"/>
    <w:rsid w:val="009B6556"/>
    <w:rsid w:val="009B6ECD"/>
    <w:rsid w:val="009B6FC1"/>
    <w:rsid w:val="009B74F2"/>
    <w:rsid w:val="009B7F54"/>
    <w:rsid w:val="009B7FB0"/>
    <w:rsid w:val="009C0260"/>
    <w:rsid w:val="009C047B"/>
    <w:rsid w:val="009C0925"/>
    <w:rsid w:val="009C0AA7"/>
    <w:rsid w:val="009C0BEA"/>
    <w:rsid w:val="009C1420"/>
    <w:rsid w:val="009C1677"/>
    <w:rsid w:val="009C23D0"/>
    <w:rsid w:val="009C2AEB"/>
    <w:rsid w:val="009C2C34"/>
    <w:rsid w:val="009C2E18"/>
    <w:rsid w:val="009C317C"/>
    <w:rsid w:val="009C31BD"/>
    <w:rsid w:val="009C37E5"/>
    <w:rsid w:val="009C3AEE"/>
    <w:rsid w:val="009C3B67"/>
    <w:rsid w:val="009C3D4D"/>
    <w:rsid w:val="009C4E49"/>
    <w:rsid w:val="009C4E80"/>
    <w:rsid w:val="009C50D7"/>
    <w:rsid w:val="009C54C6"/>
    <w:rsid w:val="009C5581"/>
    <w:rsid w:val="009C5932"/>
    <w:rsid w:val="009C5E43"/>
    <w:rsid w:val="009C6048"/>
    <w:rsid w:val="009C61F2"/>
    <w:rsid w:val="009C6A5B"/>
    <w:rsid w:val="009C6D0A"/>
    <w:rsid w:val="009C6DB2"/>
    <w:rsid w:val="009C7634"/>
    <w:rsid w:val="009C789F"/>
    <w:rsid w:val="009C7D34"/>
    <w:rsid w:val="009C7E23"/>
    <w:rsid w:val="009C7E83"/>
    <w:rsid w:val="009C7FFB"/>
    <w:rsid w:val="009D06DB"/>
    <w:rsid w:val="009D121C"/>
    <w:rsid w:val="009D162E"/>
    <w:rsid w:val="009D2EB2"/>
    <w:rsid w:val="009D3234"/>
    <w:rsid w:val="009D36D4"/>
    <w:rsid w:val="009D3765"/>
    <w:rsid w:val="009D386D"/>
    <w:rsid w:val="009D392D"/>
    <w:rsid w:val="009D3B0A"/>
    <w:rsid w:val="009D3DF0"/>
    <w:rsid w:val="009D3F2A"/>
    <w:rsid w:val="009D415A"/>
    <w:rsid w:val="009D4890"/>
    <w:rsid w:val="009D4DD0"/>
    <w:rsid w:val="009D5803"/>
    <w:rsid w:val="009D5BD2"/>
    <w:rsid w:val="009D606B"/>
    <w:rsid w:val="009D6B33"/>
    <w:rsid w:val="009D708D"/>
    <w:rsid w:val="009D73B5"/>
    <w:rsid w:val="009D75FB"/>
    <w:rsid w:val="009D7807"/>
    <w:rsid w:val="009D7831"/>
    <w:rsid w:val="009D7898"/>
    <w:rsid w:val="009E0006"/>
    <w:rsid w:val="009E039C"/>
    <w:rsid w:val="009E0A10"/>
    <w:rsid w:val="009E0A3A"/>
    <w:rsid w:val="009E0B8C"/>
    <w:rsid w:val="009E1568"/>
    <w:rsid w:val="009E17ED"/>
    <w:rsid w:val="009E17F3"/>
    <w:rsid w:val="009E1E6D"/>
    <w:rsid w:val="009E23AF"/>
    <w:rsid w:val="009E2BED"/>
    <w:rsid w:val="009E307C"/>
    <w:rsid w:val="009E3104"/>
    <w:rsid w:val="009E34F7"/>
    <w:rsid w:val="009E3757"/>
    <w:rsid w:val="009E38E5"/>
    <w:rsid w:val="009E3AE6"/>
    <w:rsid w:val="009E4076"/>
    <w:rsid w:val="009E40B6"/>
    <w:rsid w:val="009E4325"/>
    <w:rsid w:val="009E498E"/>
    <w:rsid w:val="009E4AB5"/>
    <w:rsid w:val="009E4C2D"/>
    <w:rsid w:val="009E512B"/>
    <w:rsid w:val="009E5146"/>
    <w:rsid w:val="009E5306"/>
    <w:rsid w:val="009E5CBE"/>
    <w:rsid w:val="009E5E3F"/>
    <w:rsid w:val="009E5F12"/>
    <w:rsid w:val="009E6016"/>
    <w:rsid w:val="009E627B"/>
    <w:rsid w:val="009E63C2"/>
    <w:rsid w:val="009E63ED"/>
    <w:rsid w:val="009E6584"/>
    <w:rsid w:val="009E659A"/>
    <w:rsid w:val="009E75D8"/>
    <w:rsid w:val="009E7837"/>
    <w:rsid w:val="009E7915"/>
    <w:rsid w:val="009E7A0D"/>
    <w:rsid w:val="009E7AB2"/>
    <w:rsid w:val="009E7B36"/>
    <w:rsid w:val="009F01F3"/>
    <w:rsid w:val="009F0317"/>
    <w:rsid w:val="009F0375"/>
    <w:rsid w:val="009F04C7"/>
    <w:rsid w:val="009F131A"/>
    <w:rsid w:val="009F1CFE"/>
    <w:rsid w:val="009F2488"/>
    <w:rsid w:val="009F278F"/>
    <w:rsid w:val="009F2F1D"/>
    <w:rsid w:val="009F35FE"/>
    <w:rsid w:val="009F3797"/>
    <w:rsid w:val="009F3898"/>
    <w:rsid w:val="009F3AA7"/>
    <w:rsid w:val="009F3DE3"/>
    <w:rsid w:val="009F3EA5"/>
    <w:rsid w:val="009F3EA8"/>
    <w:rsid w:val="009F3F79"/>
    <w:rsid w:val="009F41C0"/>
    <w:rsid w:val="009F42D1"/>
    <w:rsid w:val="009F48A2"/>
    <w:rsid w:val="009F48E2"/>
    <w:rsid w:val="009F4CF1"/>
    <w:rsid w:val="009F4D60"/>
    <w:rsid w:val="009F5550"/>
    <w:rsid w:val="009F5EF0"/>
    <w:rsid w:val="009F5F5E"/>
    <w:rsid w:val="009F6086"/>
    <w:rsid w:val="009F624B"/>
    <w:rsid w:val="009F76E3"/>
    <w:rsid w:val="009F7B15"/>
    <w:rsid w:val="009F7D45"/>
    <w:rsid w:val="009F7FE9"/>
    <w:rsid w:val="00A00103"/>
    <w:rsid w:val="00A002C9"/>
    <w:rsid w:val="00A00D84"/>
    <w:rsid w:val="00A01410"/>
    <w:rsid w:val="00A015C4"/>
    <w:rsid w:val="00A01645"/>
    <w:rsid w:val="00A019C9"/>
    <w:rsid w:val="00A02032"/>
    <w:rsid w:val="00A02437"/>
    <w:rsid w:val="00A024A3"/>
    <w:rsid w:val="00A025BB"/>
    <w:rsid w:val="00A02B46"/>
    <w:rsid w:val="00A02FB3"/>
    <w:rsid w:val="00A032F6"/>
    <w:rsid w:val="00A03353"/>
    <w:rsid w:val="00A0337C"/>
    <w:rsid w:val="00A037BE"/>
    <w:rsid w:val="00A037EF"/>
    <w:rsid w:val="00A03A6A"/>
    <w:rsid w:val="00A03D4A"/>
    <w:rsid w:val="00A03D9B"/>
    <w:rsid w:val="00A042D1"/>
    <w:rsid w:val="00A047DD"/>
    <w:rsid w:val="00A0487B"/>
    <w:rsid w:val="00A04A8C"/>
    <w:rsid w:val="00A04B0B"/>
    <w:rsid w:val="00A04B39"/>
    <w:rsid w:val="00A04EC4"/>
    <w:rsid w:val="00A04ED6"/>
    <w:rsid w:val="00A05D4E"/>
    <w:rsid w:val="00A05EDB"/>
    <w:rsid w:val="00A05F17"/>
    <w:rsid w:val="00A0613B"/>
    <w:rsid w:val="00A06A58"/>
    <w:rsid w:val="00A06A7B"/>
    <w:rsid w:val="00A06AC1"/>
    <w:rsid w:val="00A07004"/>
    <w:rsid w:val="00A071FE"/>
    <w:rsid w:val="00A072EA"/>
    <w:rsid w:val="00A101DE"/>
    <w:rsid w:val="00A104DB"/>
    <w:rsid w:val="00A10647"/>
    <w:rsid w:val="00A106C4"/>
    <w:rsid w:val="00A10728"/>
    <w:rsid w:val="00A10DA6"/>
    <w:rsid w:val="00A10FE9"/>
    <w:rsid w:val="00A111FB"/>
    <w:rsid w:val="00A112C1"/>
    <w:rsid w:val="00A11741"/>
    <w:rsid w:val="00A11967"/>
    <w:rsid w:val="00A11ADE"/>
    <w:rsid w:val="00A11CE3"/>
    <w:rsid w:val="00A120D6"/>
    <w:rsid w:val="00A12160"/>
    <w:rsid w:val="00A1230F"/>
    <w:rsid w:val="00A125C7"/>
    <w:rsid w:val="00A12BA4"/>
    <w:rsid w:val="00A12D69"/>
    <w:rsid w:val="00A13235"/>
    <w:rsid w:val="00A133BA"/>
    <w:rsid w:val="00A135AE"/>
    <w:rsid w:val="00A1365E"/>
    <w:rsid w:val="00A13961"/>
    <w:rsid w:val="00A13A72"/>
    <w:rsid w:val="00A13C5F"/>
    <w:rsid w:val="00A13E27"/>
    <w:rsid w:val="00A142FA"/>
    <w:rsid w:val="00A145C6"/>
    <w:rsid w:val="00A14D55"/>
    <w:rsid w:val="00A159A9"/>
    <w:rsid w:val="00A15AB0"/>
    <w:rsid w:val="00A15BD2"/>
    <w:rsid w:val="00A16314"/>
    <w:rsid w:val="00A163E4"/>
    <w:rsid w:val="00A166FC"/>
    <w:rsid w:val="00A1671A"/>
    <w:rsid w:val="00A167AF"/>
    <w:rsid w:val="00A171E4"/>
    <w:rsid w:val="00A1746C"/>
    <w:rsid w:val="00A176F2"/>
    <w:rsid w:val="00A17A68"/>
    <w:rsid w:val="00A2023B"/>
    <w:rsid w:val="00A20286"/>
    <w:rsid w:val="00A206D9"/>
    <w:rsid w:val="00A207EC"/>
    <w:rsid w:val="00A21196"/>
    <w:rsid w:val="00A21227"/>
    <w:rsid w:val="00A21AC7"/>
    <w:rsid w:val="00A21F86"/>
    <w:rsid w:val="00A21F8F"/>
    <w:rsid w:val="00A22235"/>
    <w:rsid w:val="00A225D3"/>
    <w:rsid w:val="00A227E9"/>
    <w:rsid w:val="00A22F6E"/>
    <w:rsid w:val="00A233CF"/>
    <w:rsid w:val="00A23565"/>
    <w:rsid w:val="00A24380"/>
    <w:rsid w:val="00A244CD"/>
    <w:rsid w:val="00A244F6"/>
    <w:rsid w:val="00A24703"/>
    <w:rsid w:val="00A24772"/>
    <w:rsid w:val="00A247A0"/>
    <w:rsid w:val="00A247F4"/>
    <w:rsid w:val="00A249A3"/>
    <w:rsid w:val="00A249FC"/>
    <w:rsid w:val="00A25190"/>
    <w:rsid w:val="00A25399"/>
    <w:rsid w:val="00A256CF"/>
    <w:rsid w:val="00A25DCC"/>
    <w:rsid w:val="00A2608E"/>
    <w:rsid w:val="00A263E1"/>
    <w:rsid w:val="00A264DD"/>
    <w:rsid w:val="00A26B90"/>
    <w:rsid w:val="00A26E14"/>
    <w:rsid w:val="00A274EB"/>
    <w:rsid w:val="00A2780C"/>
    <w:rsid w:val="00A27933"/>
    <w:rsid w:val="00A27D9A"/>
    <w:rsid w:val="00A27FCE"/>
    <w:rsid w:val="00A30175"/>
    <w:rsid w:val="00A3042F"/>
    <w:rsid w:val="00A3057B"/>
    <w:rsid w:val="00A30859"/>
    <w:rsid w:val="00A3085A"/>
    <w:rsid w:val="00A30870"/>
    <w:rsid w:val="00A30AA5"/>
    <w:rsid w:val="00A316E7"/>
    <w:rsid w:val="00A31F72"/>
    <w:rsid w:val="00A321A6"/>
    <w:rsid w:val="00A32536"/>
    <w:rsid w:val="00A32D48"/>
    <w:rsid w:val="00A330A9"/>
    <w:rsid w:val="00A3332D"/>
    <w:rsid w:val="00A3349D"/>
    <w:rsid w:val="00A334FA"/>
    <w:rsid w:val="00A33DC0"/>
    <w:rsid w:val="00A34097"/>
    <w:rsid w:val="00A34498"/>
    <w:rsid w:val="00A3449E"/>
    <w:rsid w:val="00A34637"/>
    <w:rsid w:val="00A34752"/>
    <w:rsid w:val="00A34F4C"/>
    <w:rsid w:val="00A34F7D"/>
    <w:rsid w:val="00A34FB6"/>
    <w:rsid w:val="00A34FEC"/>
    <w:rsid w:val="00A3535D"/>
    <w:rsid w:val="00A355AC"/>
    <w:rsid w:val="00A35F8D"/>
    <w:rsid w:val="00A35FA9"/>
    <w:rsid w:val="00A363C2"/>
    <w:rsid w:val="00A3655D"/>
    <w:rsid w:val="00A36AA3"/>
    <w:rsid w:val="00A36B8B"/>
    <w:rsid w:val="00A36EA9"/>
    <w:rsid w:val="00A373BD"/>
    <w:rsid w:val="00A37497"/>
    <w:rsid w:val="00A37834"/>
    <w:rsid w:val="00A37A09"/>
    <w:rsid w:val="00A37E37"/>
    <w:rsid w:val="00A37E94"/>
    <w:rsid w:val="00A40093"/>
    <w:rsid w:val="00A4030D"/>
    <w:rsid w:val="00A408C9"/>
    <w:rsid w:val="00A408CF"/>
    <w:rsid w:val="00A409E0"/>
    <w:rsid w:val="00A40B25"/>
    <w:rsid w:val="00A40B9B"/>
    <w:rsid w:val="00A40E44"/>
    <w:rsid w:val="00A41104"/>
    <w:rsid w:val="00A412C7"/>
    <w:rsid w:val="00A4146F"/>
    <w:rsid w:val="00A41ACF"/>
    <w:rsid w:val="00A41FB3"/>
    <w:rsid w:val="00A42202"/>
    <w:rsid w:val="00A422D5"/>
    <w:rsid w:val="00A4233F"/>
    <w:rsid w:val="00A424CD"/>
    <w:rsid w:val="00A42A62"/>
    <w:rsid w:val="00A42B4D"/>
    <w:rsid w:val="00A42DA0"/>
    <w:rsid w:val="00A4353F"/>
    <w:rsid w:val="00A43692"/>
    <w:rsid w:val="00A436BB"/>
    <w:rsid w:val="00A43750"/>
    <w:rsid w:val="00A43FDC"/>
    <w:rsid w:val="00A43FF7"/>
    <w:rsid w:val="00A4405E"/>
    <w:rsid w:val="00A44255"/>
    <w:rsid w:val="00A44529"/>
    <w:rsid w:val="00A446A2"/>
    <w:rsid w:val="00A44712"/>
    <w:rsid w:val="00A44884"/>
    <w:rsid w:val="00A44893"/>
    <w:rsid w:val="00A44B62"/>
    <w:rsid w:val="00A45013"/>
    <w:rsid w:val="00A4506B"/>
    <w:rsid w:val="00A4597B"/>
    <w:rsid w:val="00A468C0"/>
    <w:rsid w:val="00A46E53"/>
    <w:rsid w:val="00A47265"/>
    <w:rsid w:val="00A476BE"/>
    <w:rsid w:val="00A4781A"/>
    <w:rsid w:val="00A479A1"/>
    <w:rsid w:val="00A47B0E"/>
    <w:rsid w:val="00A47C74"/>
    <w:rsid w:val="00A47CAB"/>
    <w:rsid w:val="00A47CD1"/>
    <w:rsid w:val="00A47D63"/>
    <w:rsid w:val="00A47E17"/>
    <w:rsid w:val="00A500B7"/>
    <w:rsid w:val="00A502A9"/>
    <w:rsid w:val="00A505FB"/>
    <w:rsid w:val="00A50800"/>
    <w:rsid w:val="00A50AB5"/>
    <w:rsid w:val="00A50EE5"/>
    <w:rsid w:val="00A50EED"/>
    <w:rsid w:val="00A51280"/>
    <w:rsid w:val="00A512C4"/>
    <w:rsid w:val="00A51F80"/>
    <w:rsid w:val="00A51FD9"/>
    <w:rsid w:val="00A5222A"/>
    <w:rsid w:val="00A525C4"/>
    <w:rsid w:val="00A530CB"/>
    <w:rsid w:val="00A5319E"/>
    <w:rsid w:val="00A532B5"/>
    <w:rsid w:val="00A535E7"/>
    <w:rsid w:val="00A5371C"/>
    <w:rsid w:val="00A5379F"/>
    <w:rsid w:val="00A53862"/>
    <w:rsid w:val="00A539A0"/>
    <w:rsid w:val="00A53E06"/>
    <w:rsid w:val="00A53EFD"/>
    <w:rsid w:val="00A53F01"/>
    <w:rsid w:val="00A54013"/>
    <w:rsid w:val="00A55220"/>
    <w:rsid w:val="00A5576C"/>
    <w:rsid w:val="00A557B5"/>
    <w:rsid w:val="00A560E2"/>
    <w:rsid w:val="00A56306"/>
    <w:rsid w:val="00A5650D"/>
    <w:rsid w:val="00A56579"/>
    <w:rsid w:val="00A56A85"/>
    <w:rsid w:val="00A56D93"/>
    <w:rsid w:val="00A570D2"/>
    <w:rsid w:val="00A57396"/>
    <w:rsid w:val="00A57AA7"/>
    <w:rsid w:val="00A57DFD"/>
    <w:rsid w:val="00A600D2"/>
    <w:rsid w:val="00A60133"/>
    <w:rsid w:val="00A60186"/>
    <w:rsid w:val="00A60239"/>
    <w:rsid w:val="00A606C3"/>
    <w:rsid w:val="00A607B0"/>
    <w:rsid w:val="00A60BFA"/>
    <w:rsid w:val="00A60C18"/>
    <w:rsid w:val="00A60C93"/>
    <w:rsid w:val="00A60E0A"/>
    <w:rsid w:val="00A60F52"/>
    <w:rsid w:val="00A61332"/>
    <w:rsid w:val="00A6145D"/>
    <w:rsid w:val="00A61796"/>
    <w:rsid w:val="00A61D3C"/>
    <w:rsid w:val="00A621F6"/>
    <w:rsid w:val="00A62454"/>
    <w:rsid w:val="00A627FB"/>
    <w:rsid w:val="00A62DD2"/>
    <w:rsid w:val="00A63018"/>
    <w:rsid w:val="00A635BE"/>
    <w:rsid w:val="00A6394A"/>
    <w:rsid w:val="00A63A0F"/>
    <w:rsid w:val="00A63A1B"/>
    <w:rsid w:val="00A63BCC"/>
    <w:rsid w:val="00A63CF5"/>
    <w:rsid w:val="00A63F35"/>
    <w:rsid w:val="00A6463C"/>
    <w:rsid w:val="00A646AA"/>
    <w:rsid w:val="00A653F8"/>
    <w:rsid w:val="00A65755"/>
    <w:rsid w:val="00A65B45"/>
    <w:rsid w:val="00A65FEF"/>
    <w:rsid w:val="00A66004"/>
    <w:rsid w:val="00A66196"/>
    <w:rsid w:val="00A663F6"/>
    <w:rsid w:val="00A66560"/>
    <w:rsid w:val="00A66C8E"/>
    <w:rsid w:val="00A6738A"/>
    <w:rsid w:val="00A675D9"/>
    <w:rsid w:val="00A67897"/>
    <w:rsid w:val="00A678E3"/>
    <w:rsid w:val="00A679AB"/>
    <w:rsid w:val="00A67DB0"/>
    <w:rsid w:val="00A67DC8"/>
    <w:rsid w:val="00A67E35"/>
    <w:rsid w:val="00A70132"/>
    <w:rsid w:val="00A70894"/>
    <w:rsid w:val="00A70BBE"/>
    <w:rsid w:val="00A70C41"/>
    <w:rsid w:val="00A70F25"/>
    <w:rsid w:val="00A71813"/>
    <w:rsid w:val="00A71833"/>
    <w:rsid w:val="00A718E0"/>
    <w:rsid w:val="00A71D27"/>
    <w:rsid w:val="00A71DA9"/>
    <w:rsid w:val="00A71F5A"/>
    <w:rsid w:val="00A72199"/>
    <w:rsid w:val="00A7252F"/>
    <w:rsid w:val="00A725D5"/>
    <w:rsid w:val="00A72600"/>
    <w:rsid w:val="00A72FE4"/>
    <w:rsid w:val="00A734C8"/>
    <w:rsid w:val="00A736E3"/>
    <w:rsid w:val="00A73C69"/>
    <w:rsid w:val="00A73F0F"/>
    <w:rsid w:val="00A73F82"/>
    <w:rsid w:val="00A752C9"/>
    <w:rsid w:val="00A75A44"/>
    <w:rsid w:val="00A75E96"/>
    <w:rsid w:val="00A75EBB"/>
    <w:rsid w:val="00A75EF3"/>
    <w:rsid w:val="00A76233"/>
    <w:rsid w:val="00A763F2"/>
    <w:rsid w:val="00A767DA"/>
    <w:rsid w:val="00A767EF"/>
    <w:rsid w:val="00A76851"/>
    <w:rsid w:val="00A769C1"/>
    <w:rsid w:val="00A777FD"/>
    <w:rsid w:val="00A77801"/>
    <w:rsid w:val="00A800B5"/>
    <w:rsid w:val="00A806D6"/>
    <w:rsid w:val="00A80AEF"/>
    <w:rsid w:val="00A80C1B"/>
    <w:rsid w:val="00A812E9"/>
    <w:rsid w:val="00A81365"/>
    <w:rsid w:val="00A81A8E"/>
    <w:rsid w:val="00A81A93"/>
    <w:rsid w:val="00A81C13"/>
    <w:rsid w:val="00A81C74"/>
    <w:rsid w:val="00A81E64"/>
    <w:rsid w:val="00A81EEB"/>
    <w:rsid w:val="00A81F84"/>
    <w:rsid w:val="00A822AB"/>
    <w:rsid w:val="00A8241A"/>
    <w:rsid w:val="00A82901"/>
    <w:rsid w:val="00A829B8"/>
    <w:rsid w:val="00A82B56"/>
    <w:rsid w:val="00A830C2"/>
    <w:rsid w:val="00A8323E"/>
    <w:rsid w:val="00A8330D"/>
    <w:rsid w:val="00A83525"/>
    <w:rsid w:val="00A83842"/>
    <w:rsid w:val="00A8386B"/>
    <w:rsid w:val="00A83DE9"/>
    <w:rsid w:val="00A83E91"/>
    <w:rsid w:val="00A83E9F"/>
    <w:rsid w:val="00A844E0"/>
    <w:rsid w:val="00A8452F"/>
    <w:rsid w:val="00A84BEF"/>
    <w:rsid w:val="00A84C58"/>
    <w:rsid w:val="00A84D61"/>
    <w:rsid w:val="00A85225"/>
    <w:rsid w:val="00A853CF"/>
    <w:rsid w:val="00A8567A"/>
    <w:rsid w:val="00A85826"/>
    <w:rsid w:val="00A85887"/>
    <w:rsid w:val="00A85A6C"/>
    <w:rsid w:val="00A85AA1"/>
    <w:rsid w:val="00A85BAC"/>
    <w:rsid w:val="00A85E3D"/>
    <w:rsid w:val="00A860E5"/>
    <w:rsid w:val="00A861C8"/>
    <w:rsid w:val="00A8623D"/>
    <w:rsid w:val="00A863EB"/>
    <w:rsid w:val="00A86827"/>
    <w:rsid w:val="00A869E3"/>
    <w:rsid w:val="00A86A54"/>
    <w:rsid w:val="00A873E4"/>
    <w:rsid w:val="00A87568"/>
    <w:rsid w:val="00A87686"/>
    <w:rsid w:val="00A877E8"/>
    <w:rsid w:val="00A87885"/>
    <w:rsid w:val="00A87A56"/>
    <w:rsid w:val="00A90140"/>
    <w:rsid w:val="00A901B7"/>
    <w:rsid w:val="00A901EA"/>
    <w:rsid w:val="00A902DD"/>
    <w:rsid w:val="00A902E5"/>
    <w:rsid w:val="00A904D0"/>
    <w:rsid w:val="00A906FB"/>
    <w:rsid w:val="00A9071D"/>
    <w:rsid w:val="00A907BC"/>
    <w:rsid w:val="00A90CD7"/>
    <w:rsid w:val="00A90CEB"/>
    <w:rsid w:val="00A91011"/>
    <w:rsid w:val="00A91477"/>
    <w:rsid w:val="00A91C6A"/>
    <w:rsid w:val="00A91D85"/>
    <w:rsid w:val="00A91FD9"/>
    <w:rsid w:val="00A92146"/>
    <w:rsid w:val="00A923F6"/>
    <w:rsid w:val="00A92855"/>
    <w:rsid w:val="00A92DEF"/>
    <w:rsid w:val="00A937F1"/>
    <w:rsid w:val="00A93B14"/>
    <w:rsid w:val="00A93C3D"/>
    <w:rsid w:val="00A93C87"/>
    <w:rsid w:val="00A93C8C"/>
    <w:rsid w:val="00A93E49"/>
    <w:rsid w:val="00A94105"/>
    <w:rsid w:val="00A948FB"/>
    <w:rsid w:val="00A94C07"/>
    <w:rsid w:val="00A95045"/>
    <w:rsid w:val="00A951D4"/>
    <w:rsid w:val="00A95297"/>
    <w:rsid w:val="00A9586A"/>
    <w:rsid w:val="00A95A1A"/>
    <w:rsid w:val="00A95C81"/>
    <w:rsid w:val="00A95D6A"/>
    <w:rsid w:val="00A95F16"/>
    <w:rsid w:val="00A96343"/>
    <w:rsid w:val="00A965AA"/>
    <w:rsid w:val="00A96850"/>
    <w:rsid w:val="00A96886"/>
    <w:rsid w:val="00A968AA"/>
    <w:rsid w:val="00A9696C"/>
    <w:rsid w:val="00A96990"/>
    <w:rsid w:val="00A96AE8"/>
    <w:rsid w:val="00A96D1A"/>
    <w:rsid w:val="00A972F8"/>
    <w:rsid w:val="00A9795D"/>
    <w:rsid w:val="00A97A68"/>
    <w:rsid w:val="00A97CB4"/>
    <w:rsid w:val="00A97E10"/>
    <w:rsid w:val="00AA035E"/>
    <w:rsid w:val="00AA03FA"/>
    <w:rsid w:val="00AA092A"/>
    <w:rsid w:val="00AA0B4F"/>
    <w:rsid w:val="00AA0C09"/>
    <w:rsid w:val="00AA0D34"/>
    <w:rsid w:val="00AA0D3A"/>
    <w:rsid w:val="00AA1069"/>
    <w:rsid w:val="00AA11F3"/>
    <w:rsid w:val="00AA17D6"/>
    <w:rsid w:val="00AA1F95"/>
    <w:rsid w:val="00AA1FBD"/>
    <w:rsid w:val="00AA2000"/>
    <w:rsid w:val="00AA237B"/>
    <w:rsid w:val="00AA251C"/>
    <w:rsid w:val="00AA26E1"/>
    <w:rsid w:val="00AA2F29"/>
    <w:rsid w:val="00AA2F5F"/>
    <w:rsid w:val="00AA2F7A"/>
    <w:rsid w:val="00AA2F7E"/>
    <w:rsid w:val="00AA301F"/>
    <w:rsid w:val="00AA33F9"/>
    <w:rsid w:val="00AA3479"/>
    <w:rsid w:val="00AA3699"/>
    <w:rsid w:val="00AA36D8"/>
    <w:rsid w:val="00AA378A"/>
    <w:rsid w:val="00AA37D4"/>
    <w:rsid w:val="00AA380B"/>
    <w:rsid w:val="00AA3877"/>
    <w:rsid w:val="00AA3B10"/>
    <w:rsid w:val="00AA3E12"/>
    <w:rsid w:val="00AA417B"/>
    <w:rsid w:val="00AA436F"/>
    <w:rsid w:val="00AA4A5A"/>
    <w:rsid w:val="00AA4C4D"/>
    <w:rsid w:val="00AA4C52"/>
    <w:rsid w:val="00AA4F36"/>
    <w:rsid w:val="00AA4FFE"/>
    <w:rsid w:val="00AA5404"/>
    <w:rsid w:val="00AA56F4"/>
    <w:rsid w:val="00AA57C0"/>
    <w:rsid w:val="00AA5AFB"/>
    <w:rsid w:val="00AA5E5C"/>
    <w:rsid w:val="00AA6055"/>
    <w:rsid w:val="00AA6414"/>
    <w:rsid w:val="00AA66FA"/>
    <w:rsid w:val="00AA75FE"/>
    <w:rsid w:val="00AA79DE"/>
    <w:rsid w:val="00AA7A2D"/>
    <w:rsid w:val="00AA7A68"/>
    <w:rsid w:val="00AB002C"/>
    <w:rsid w:val="00AB0451"/>
    <w:rsid w:val="00AB09B4"/>
    <w:rsid w:val="00AB0AB5"/>
    <w:rsid w:val="00AB0BDA"/>
    <w:rsid w:val="00AB12A0"/>
    <w:rsid w:val="00AB152E"/>
    <w:rsid w:val="00AB1857"/>
    <w:rsid w:val="00AB19F8"/>
    <w:rsid w:val="00AB1B61"/>
    <w:rsid w:val="00AB1E6B"/>
    <w:rsid w:val="00AB209A"/>
    <w:rsid w:val="00AB21D5"/>
    <w:rsid w:val="00AB22FD"/>
    <w:rsid w:val="00AB2871"/>
    <w:rsid w:val="00AB2880"/>
    <w:rsid w:val="00AB2A66"/>
    <w:rsid w:val="00AB2AAD"/>
    <w:rsid w:val="00AB2DF4"/>
    <w:rsid w:val="00AB2FD5"/>
    <w:rsid w:val="00AB3010"/>
    <w:rsid w:val="00AB3155"/>
    <w:rsid w:val="00AB319B"/>
    <w:rsid w:val="00AB33C2"/>
    <w:rsid w:val="00AB3747"/>
    <w:rsid w:val="00AB3F54"/>
    <w:rsid w:val="00AB4679"/>
    <w:rsid w:val="00AB4983"/>
    <w:rsid w:val="00AB4BB9"/>
    <w:rsid w:val="00AB4BFD"/>
    <w:rsid w:val="00AB4F62"/>
    <w:rsid w:val="00AB549C"/>
    <w:rsid w:val="00AB5E4A"/>
    <w:rsid w:val="00AB61D1"/>
    <w:rsid w:val="00AB6C1D"/>
    <w:rsid w:val="00AB6EC1"/>
    <w:rsid w:val="00AB719E"/>
    <w:rsid w:val="00AB77AE"/>
    <w:rsid w:val="00AB77BA"/>
    <w:rsid w:val="00AB7F16"/>
    <w:rsid w:val="00AC02B3"/>
    <w:rsid w:val="00AC0440"/>
    <w:rsid w:val="00AC04A1"/>
    <w:rsid w:val="00AC086A"/>
    <w:rsid w:val="00AC0C63"/>
    <w:rsid w:val="00AC15D2"/>
    <w:rsid w:val="00AC1802"/>
    <w:rsid w:val="00AC191D"/>
    <w:rsid w:val="00AC1EAF"/>
    <w:rsid w:val="00AC264F"/>
    <w:rsid w:val="00AC2880"/>
    <w:rsid w:val="00AC2C55"/>
    <w:rsid w:val="00AC3932"/>
    <w:rsid w:val="00AC3939"/>
    <w:rsid w:val="00AC3B11"/>
    <w:rsid w:val="00AC4228"/>
    <w:rsid w:val="00AC42DA"/>
    <w:rsid w:val="00AC43EF"/>
    <w:rsid w:val="00AC468D"/>
    <w:rsid w:val="00AC4E42"/>
    <w:rsid w:val="00AC53E9"/>
    <w:rsid w:val="00AC54DE"/>
    <w:rsid w:val="00AC55E7"/>
    <w:rsid w:val="00AC5762"/>
    <w:rsid w:val="00AC5854"/>
    <w:rsid w:val="00AC5AC3"/>
    <w:rsid w:val="00AC5BB1"/>
    <w:rsid w:val="00AC5D9F"/>
    <w:rsid w:val="00AC6245"/>
    <w:rsid w:val="00AC6250"/>
    <w:rsid w:val="00AC62DB"/>
    <w:rsid w:val="00AC63F9"/>
    <w:rsid w:val="00AC6553"/>
    <w:rsid w:val="00AC6E57"/>
    <w:rsid w:val="00AC6EDD"/>
    <w:rsid w:val="00AC7176"/>
    <w:rsid w:val="00AC7245"/>
    <w:rsid w:val="00AD02B8"/>
    <w:rsid w:val="00AD0451"/>
    <w:rsid w:val="00AD064F"/>
    <w:rsid w:val="00AD0694"/>
    <w:rsid w:val="00AD0763"/>
    <w:rsid w:val="00AD0E8B"/>
    <w:rsid w:val="00AD0EE9"/>
    <w:rsid w:val="00AD1623"/>
    <w:rsid w:val="00AD1682"/>
    <w:rsid w:val="00AD1CC4"/>
    <w:rsid w:val="00AD1DD8"/>
    <w:rsid w:val="00AD1EE6"/>
    <w:rsid w:val="00AD203D"/>
    <w:rsid w:val="00AD2443"/>
    <w:rsid w:val="00AD25E1"/>
    <w:rsid w:val="00AD29B9"/>
    <w:rsid w:val="00AD2A1A"/>
    <w:rsid w:val="00AD2A8F"/>
    <w:rsid w:val="00AD2CF4"/>
    <w:rsid w:val="00AD2DD4"/>
    <w:rsid w:val="00AD2ECE"/>
    <w:rsid w:val="00AD37E5"/>
    <w:rsid w:val="00AD3868"/>
    <w:rsid w:val="00AD393F"/>
    <w:rsid w:val="00AD3B11"/>
    <w:rsid w:val="00AD3DED"/>
    <w:rsid w:val="00AD3F50"/>
    <w:rsid w:val="00AD44FE"/>
    <w:rsid w:val="00AD45AC"/>
    <w:rsid w:val="00AD473C"/>
    <w:rsid w:val="00AD4C60"/>
    <w:rsid w:val="00AD4F0B"/>
    <w:rsid w:val="00AD4F12"/>
    <w:rsid w:val="00AD50CF"/>
    <w:rsid w:val="00AD5882"/>
    <w:rsid w:val="00AD5C18"/>
    <w:rsid w:val="00AD5CB7"/>
    <w:rsid w:val="00AD619F"/>
    <w:rsid w:val="00AD65D5"/>
    <w:rsid w:val="00AD687A"/>
    <w:rsid w:val="00AD68EE"/>
    <w:rsid w:val="00AD6A52"/>
    <w:rsid w:val="00AD6F6F"/>
    <w:rsid w:val="00AD7C09"/>
    <w:rsid w:val="00AD7CBD"/>
    <w:rsid w:val="00AD7DE5"/>
    <w:rsid w:val="00AE0501"/>
    <w:rsid w:val="00AE052E"/>
    <w:rsid w:val="00AE062C"/>
    <w:rsid w:val="00AE0727"/>
    <w:rsid w:val="00AE0861"/>
    <w:rsid w:val="00AE09AB"/>
    <w:rsid w:val="00AE09F1"/>
    <w:rsid w:val="00AE0B3F"/>
    <w:rsid w:val="00AE0F99"/>
    <w:rsid w:val="00AE1460"/>
    <w:rsid w:val="00AE1F9C"/>
    <w:rsid w:val="00AE2814"/>
    <w:rsid w:val="00AE2D2B"/>
    <w:rsid w:val="00AE376B"/>
    <w:rsid w:val="00AE37B7"/>
    <w:rsid w:val="00AE3909"/>
    <w:rsid w:val="00AE39BD"/>
    <w:rsid w:val="00AE3AD5"/>
    <w:rsid w:val="00AE3BCB"/>
    <w:rsid w:val="00AE3C97"/>
    <w:rsid w:val="00AE3CC0"/>
    <w:rsid w:val="00AE49C2"/>
    <w:rsid w:val="00AE519A"/>
    <w:rsid w:val="00AE5339"/>
    <w:rsid w:val="00AE573E"/>
    <w:rsid w:val="00AE5B13"/>
    <w:rsid w:val="00AE60E4"/>
    <w:rsid w:val="00AE6507"/>
    <w:rsid w:val="00AE679E"/>
    <w:rsid w:val="00AE6A2E"/>
    <w:rsid w:val="00AE6AC3"/>
    <w:rsid w:val="00AE6ACC"/>
    <w:rsid w:val="00AE7046"/>
    <w:rsid w:val="00AE7552"/>
    <w:rsid w:val="00AE773B"/>
    <w:rsid w:val="00AE7C93"/>
    <w:rsid w:val="00AE7F74"/>
    <w:rsid w:val="00AF0088"/>
    <w:rsid w:val="00AF0164"/>
    <w:rsid w:val="00AF0340"/>
    <w:rsid w:val="00AF0825"/>
    <w:rsid w:val="00AF0CE3"/>
    <w:rsid w:val="00AF0E71"/>
    <w:rsid w:val="00AF12D0"/>
    <w:rsid w:val="00AF1562"/>
    <w:rsid w:val="00AF15B5"/>
    <w:rsid w:val="00AF173E"/>
    <w:rsid w:val="00AF1CF3"/>
    <w:rsid w:val="00AF216A"/>
    <w:rsid w:val="00AF2431"/>
    <w:rsid w:val="00AF256E"/>
    <w:rsid w:val="00AF2A6A"/>
    <w:rsid w:val="00AF2DDA"/>
    <w:rsid w:val="00AF3091"/>
    <w:rsid w:val="00AF3411"/>
    <w:rsid w:val="00AF3490"/>
    <w:rsid w:val="00AF35B9"/>
    <w:rsid w:val="00AF35C7"/>
    <w:rsid w:val="00AF37B3"/>
    <w:rsid w:val="00AF3A59"/>
    <w:rsid w:val="00AF3A6A"/>
    <w:rsid w:val="00AF3B60"/>
    <w:rsid w:val="00AF3DDE"/>
    <w:rsid w:val="00AF3F90"/>
    <w:rsid w:val="00AF4436"/>
    <w:rsid w:val="00AF4785"/>
    <w:rsid w:val="00AF4790"/>
    <w:rsid w:val="00AF4AF5"/>
    <w:rsid w:val="00AF4EBA"/>
    <w:rsid w:val="00AF523D"/>
    <w:rsid w:val="00AF53AF"/>
    <w:rsid w:val="00AF57F1"/>
    <w:rsid w:val="00AF58FF"/>
    <w:rsid w:val="00AF5DD4"/>
    <w:rsid w:val="00AF65AB"/>
    <w:rsid w:val="00AF6DB3"/>
    <w:rsid w:val="00AF6E4F"/>
    <w:rsid w:val="00AF6E80"/>
    <w:rsid w:val="00AF6F94"/>
    <w:rsid w:val="00AF7387"/>
    <w:rsid w:val="00AF73D9"/>
    <w:rsid w:val="00AF74E9"/>
    <w:rsid w:val="00AF76CD"/>
    <w:rsid w:val="00AF7C7E"/>
    <w:rsid w:val="00B0045E"/>
    <w:rsid w:val="00B00512"/>
    <w:rsid w:val="00B005E4"/>
    <w:rsid w:val="00B00BD9"/>
    <w:rsid w:val="00B00E5B"/>
    <w:rsid w:val="00B00F7A"/>
    <w:rsid w:val="00B01061"/>
    <w:rsid w:val="00B0127A"/>
    <w:rsid w:val="00B01520"/>
    <w:rsid w:val="00B01827"/>
    <w:rsid w:val="00B01CBA"/>
    <w:rsid w:val="00B01D11"/>
    <w:rsid w:val="00B02004"/>
    <w:rsid w:val="00B02007"/>
    <w:rsid w:val="00B021F1"/>
    <w:rsid w:val="00B024F4"/>
    <w:rsid w:val="00B02945"/>
    <w:rsid w:val="00B02F4F"/>
    <w:rsid w:val="00B037FA"/>
    <w:rsid w:val="00B03CE0"/>
    <w:rsid w:val="00B0437D"/>
    <w:rsid w:val="00B0454B"/>
    <w:rsid w:val="00B0475B"/>
    <w:rsid w:val="00B04808"/>
    <w:rsid w:val="00B04AE9"/>
    <w:rsid w:val="00B05020"/>
    <w:rsid w:val="00B0523D"/>
    <w:rsid w:val="00B053F3"/>
    <w:rsid w:val="00B05746"/>
    <w:rsid w:val="00B05801"/>
    <w:rsid w:val="00B05845"/>
    <w:rsid w:val="00B05C9F"/>
    <w:rsid w:val="00B06615"/>
    <w:rsid w:val="00B066F5"/>
    <w:rsid w:val="00B06888"/>
    <w:rsid w:val="00B0701B"/>
    <w:rsid w:val="00B07239"/>
    <w:rsid w:val="00B07518"/>
    <w:rsid w:val="00B076F2"/>
    <w:rsid w:val="00B078D7"/>
    <w:rsid w:val="00B07ECB"/>
    <w:rsid w:val="00B10044"/>
    <w:rsid w:val="00B10B23"/>
    <w:rsid w:val="00B1118E"/>
    <w:rsid w:val="00B113B0"/>
    <w:rsid w:val="00B11F97"/>
    <w:rsid w:val="00B1216F"/>
    <w:rsid w:val="00B1222D"/>
    <w:rsid w:val="00B12329"/>
    <w:rsid w:val="00B125A4"/>
    <w:rsid w:val="00B12CDF"/>
    <w:rsid w:val="00B12DE8"/>
    <w:rsid w:val="00B1324A"/>
    <w:rsid w:val="00B13ADF"/>
    <w:rsid w:val="00B13EFB"/>
    <w:rsid w:val="00B13F8B"/>
    <w:rsid w:val="00B14175"/>
    <w:rsid w:val="00B141C3"/>
    <w:rsid w:val="00B1425F"/>
    <w:rsid w:val="00B144E4"/>
    <w:rsid w:val="00B14D44"/>
    <w:rsid w:val="00B1531F"/>
    <w:rsid w:val="00B15362"/>
    <w:rsid w:val="00B15B46"/>
    <w:rsid w:val="00B15C09"/>
    <w:rsid w:val="00B164AC"/>
    <w:rsid w:val="00B164CE"/>
    <w:rsid w:val="00B1681B"/>
    <w:rsid w:val="00B16A9A"/>
    <w:rsid w:val="00B172A4"/>
    <w:rsid w:val="00B17394"/>
    <w:rsid w:val="00B17C31"/>
    <w:rsid w:val="00B2048D"/>
    <w:rsid w:val="00B2079B"/>
    <w:rsid w:val="00B2085D"/>
    <w:rsid w:val="00B20BA3"/>
    <w:rsid w:val="00B20CD2"/>
    <w:rsid w:val="00B20E55"/>
    <w:rsid w:val="00B21021"/>
    <w:rsid w:val="00B21200"/>
    <w:rsid w:val="00B214C4"/>
    <w:rsid w:val="00B21908"/>
    <w:rsid w:val="00B219E9"/>
    <w:rsid w:val="00B21D18"/>
    <w:rsid w:val="00B22282"/>
    <w:rsid w:val="00B2231C"/>
    <w:rsid w:val="00B22A24"/>
    <w:rsid w:val="00B23392"/>
    <w:rsid w:val="00B237D0"/>
    <w:rsid w:val="00B23AC9"/>
    <w:rsid w:val="00B24054"/>
    <w:rsid w:val="00B241A0"/>
    <w:rsid w:val="00B241BE"/>
    <w:rsid w:val="00B244DE"/>
    <w:rsid w:val="00B24518"/>
    <w:rsid w:val="00B2488D"/>
    <w:rsid w:val="00B24923"/>
    <w:rsid w:val="00B24D67"/>
    <w:rsid w:val="00B252B3"/>
    <w:rsid w:val="00B25306"/>
    <w:rsid w:val="00B25437"/>
    <w:rsid w:val="00B25515"/>
    <w:rsid w:val="00B25C65"/>
    <w:rsid w:val="00B26269"/>
    <w:rsid w:val="00B26432"/>
    <w:rsid w:val="00B26452"/>
    <w:rsid w:val="00B26AB6"/>
    <w:rsid w:val="00B26B54"/>
    <w:rsid w:val="00B26DB6"/>
    <w:rsid w:val="00B27397"/>
    <w:rsid w:val="00B27A0D"/>
    <w:rsid w:val="00B27B72"/>
    <w:rsid w:val="00B30523"/>
    <w:rsid w:val="00B3054C"/>
    <w:rsid w:val="00B3070B"/>
    <w:rsid w:val="00B30A2E"/>
    <w:rsid w:val="00B30C61"/>
    <w:rsid w:val="00B314EC"/>
    <w:rsid w:val="00B3150B"/>
    <w:rsid w:val="00B316D5"/>
    <w:rsid w:val="00B317BD"/>
    <w:rsid w:val="00B317C9"/>
    <w:rsid w:val="00B318DA"/>
    <w:rsid w:val="00B31919"/>
    <w:rsid w:val="00B32060"/>
    <w:rsid w:val="00B320D4"/>
    <w:rsid w:val="00B32399"/>
    <w:rsid w:val="00B32598"/>
    <w:rsid w:val="00B32613"/>
    <w:rsid w:val="00B327AE"/>
    <w:rsid w:val="00B32B2D"/>
    <w:rsid w:val="00B32D25"/>
    <w:rsid w:val="00B32D5E"/>
    <w:rsid w:val="00B32D83"/>
    <w:rsid w:val="00B330BD"/>
    <w:rsid w:val="00B33690"/>
    <w:rsid w:val="00B336B2"/>
    <w:rsid w:val="00B33714"/>
    <w:rsid w:val="00B33788"/>
    <w:rsid w:val="00B33BDC"/>
    <w:rsid w:val="00B33CAB"/>
    <w:rsid w:val="00B33CAF"/>
    <w:rsid w:val="00B33D80"/>
    <w:rsid w:val="00B33E89"/>
    <w:rsid w:val="00B3446A"/>
    <w:rsid w:val="00B34854"/>
    <w:rsid w:val="00B34BDF"/>
    <w:rsid w:val="00B35083"/>
    <w:rsid w:val="00B35439"/>
    <w:rsid w:val="00B35764"/>
    <w:rsid w:val="00B3591D"/>
    <w:rsid w:val="00B35A01"/>
    <w:rsid w:val="00B35E1C"/>
    <w:rsid w:val="00B36097"/>
    <w:rsid w:val="00B36887"/>
    <w:rsid w:val="00B368F2"/>
    <w:rsid w:val="00B36DDB"/>
    <w:rsid w:val="00B36E92"/>
    <w:rsid w:val="00B37300"/>
    <w:rsid w:val="00B37799"/>
    <w:rsid w:val="00B37812"/>
    <w:rsid w:val="00B37D81"/>
    <w:rsid w:val="00B37E22"/>
    <w:rsid w:val="00B4001E"/>
    <w:rsid w:val="00B40E7A"/>
    <w:rsid w:val="00B41522"/>
    <w:rsid w:val="00B41914"/>
    <w:rsid w:val="00B419F7"/>
    <w:rsid w:val="00B41A23"/>
    <w:rsid w:val="00B41A3B"/>
    <w:rsid w:val="00B41C30"/>
    <w:rsid w:val="00B42088"/>
    <w:rsid w:val="00B42EF0"/>
    <w:rsid w:val="00B4344A"/>
    <w:rsid w:val="00B4344E"/>
    <w:rsid w:val="00B437B8"/>
    <w:rsid w:val="00B43820"/>
    <w:rsid w:val="00B438D5"/>
    <w:rsid w:val="00B438FE"/>
    <w:rsid w:val="00B43B8B"/>
    <w:rsid w:val="00B43C82"/>
    <w:rsid w:val="00B43E05"/>
    <w:rsid w:val="00B43F20"/>
    <w:rsid w:val="00B43FCB"/>
    <w:rsid w:val="00B44216"/>
    <w:rsid w:val="00B4441F"/>
    <w:rsid w:val="00B446D2"/>
    <w:rsid w:val="00B44CC7"/>
    <w:rsid w:val="00B44D73"/>
    <w:rsid w:val="00B44E49"/>
    <w:rsid w:val="00B44E7B"/>
    <w:rsid w:val="00B44F37"/>
    <w:rsid w:val="00B4505D"/>
    <w:rsid w:val="00B45333"/>
    <w:rsid w:val="00B45365"/>
    <w:rsid w:val="00B455EF"/>
    <w:rsid w:val="00B4569E"/>
    <w:rsid w:val="00B45885"/>
    <w:rsid w:val="00B458CA"/>
    <w:rsid w:val="00B459F2"/>
    <w:rsid w:val="00B45AEE"/>
    <w:rsid w:val="00B45D62"/>
    <w:rsid w:val="00B469D9"/>
    <w:rsid w:val="00B4708C"/>
    <w:rsid w:val="00B471B9"/>
    <w:rsid w:val="00B4744F"/>
    <w:rsid w:val="00B47716"/>
    <w:rsid w:val="00B47756"/>
    <w:rsid w:val="00B47F5E"/>
    <w:rsid w:val="00B50268"/>
    <w:rsid w:val="00B50368"/>
    <w:rsid w:val="00B5074C"/>
    <w:rsid w:val="00B507F8"/>
    <w:rsid w:val="00B51482"/>
    <w:rsid w:val="00B51814"/>
    <w:rsid w:val="00B51917"/>
    <w:rsid w:val="00B51985"/>
    <w:rsid w:val="00B51B53"/>
    <w:rsid w:val="00B51BA3"/>
    <w:rsid w:val="00B51BE7"/>
    <w:rsid w:val="00B51D46"/>
    <w:rsid w:val="00B51E97"/>
    <w:rsid w:val="00B51FC5"/>
    <w:rsid w:val="00B523A2"/>
    <w:rsid w:val="00B523B6"/>
    <w:rsid w:val="00B52527"/>
    <w:rsid w:val="00B52583"/>
    <w:rsid w:val="00B52A63"/>
    <w:rsid w:val="00B52B3A"/>
    <w:rsid w:val="00B52BDF"/>
    <w:rsid w:val="00B52FED"/>
    <w:rsid w:val="00B530CB"/>
    <w:rsid w:val="00B5325B"/>
    <w:rsid w:val="00B53634"/>
    <w:rsid w:val="00B536F3"/>
    <w:rsid w:val="00B5374A"/>
    <w:rsid w:val="00B539B0"/>
    <w:rsid w:val="00B539C3"/>
    <w:rsid w:val="00B53EE1"/>
    <w:rsid w:val="00B54284"/>
    <w:rsid w:val="00B542A6"/>
    <w:rsid w:val="00B544A4"/>
    <w:rsid w:val="00B54513"/>
    <w:rsid w:val="00B547C7"/>
    <w:rsid w:val="00B54833"/>
    <w:rsid w:val="00B54BD6"/>
    <w:rsid w:val="00B54BE7"/>
    <w:rsid w:val="00B5541A"/>
    <w:rsid w:val="00B55568"/>
    <w:rsid w:val="00B5584B"/>
    <w:rsid w:val="00B55A30"/>
    <w:rsid w:val="00B55E82"/>
    <w:rsid w:val="00B55FF3"/>
    <w:rsid w:val="00B5649A"/>
    <w:rsid w:val="00B56570"/>
    <w:rsid w:val="00B5665C"/>
    <w:rsid w:val="00B569FF"/>
    <w:rsid w:val="00B56AAF"/>
    <w:rsid w:val="00B574DA"/>
    <w:rsid w:val="00B576E9"/>
    <w:rsid w:val="00B579D6"/>
    <w:rsid w:val="00B57C05"/>
    <w:rsid w:val="00B57F58"/>
    <w:rsid w:val="00B60298"/>
    <w:rsid w:val="00B6070C"/>
    <w:rsid w:val="00B60855"/>
    <w:rsid w:val="00B60A43"/>
    <w:rsid w:val="00B60AD5"/>
    <w:rsid w:val="00B60E3E"/>
    <w:rsid w:val="00B616F5"/>
    <w:rsid w:val="00B6176C"/>
    <w:rsid w:val="00B61977"/>
    <w:rsid w:val="00B61CEB"/>
    <w:rsid w:val="00B61EFF"/>
    <w:rsid w:val="00B62087"/>
    <w:rsid w:val="00B620F4"/>
    <w:rsid w:val="00B6210E"/>
    <w:rsid w:val="00B6224B"/>
    <w:rsid w:val="00B6253D"/>
    <w:rsid w:val="00B625BC"/>
    <w:rsid w:val="00B6274C"/>
    <w:rsid w:val="00B62ACB"/>
    <w:rsid w:val="00B62C74"/>
    <w:rsid w:val="00B63020"/>
    <w:rsid w:val="00B631DB"/>
    <w:rsid w:val="00B633F7"/>
    <w:rsid w:val="00B636FC"/>
    <w:rsid w:val="00B63DED"/>
    <w:rsid w:val="00B63DF3"/>
    <w:rsid w:val="00B640E0"/>
    <w:rsid w:val="00B648A2"/>
    <w:rsid w:val="00B64D40"/>
    <w:rsid w:val="00B65AC8"/>
    <w:rsid w:val="00B65D97"/>
    <w:rsid w:val="00B6606B"/>
    <w:rsid w:val="00B661F7"/>
    <w:rsid w:val="00B66E7A"/>
    <w:rsid w:val="00B671D9"/>
    <w:rsid w:val="00B6755F"/>
    <w:rsid w:val="00B676B5"/>
    <w:rsid w:val="00B678CA"/>
    <w:rsid w:val="00B678D6"/>
    <w:rsid w:val="00B67BCD"/>
    <w:rsid w:val="00B67F32"/>
    <w:rsid w:val="00B67F59"/>
    <w:rsid w:val="00B7020F"/>
    <w:rsid w:val="00B7027A"/>
    <w:rsid w:val="00B7048B"/>
    <w:rsid w:val="00B704AD"/>
    <w:rsid w:val="00B7055D"/>
    <w:rsid w:val="00B707A6"/>
    <w:rsid w:val="00B71044"/>
    <w:rsid w:val="00B71107"/>
    <w:rsid w:val="00B7118B"/>
    <w:rsid w:val="00B715B0"/>
    <w:rsid w:val="00B7180D"/>
    <w:rsid w:val="00B71872"/>
    <w:rsid w:val="00B7239A"/>
    <w:rsid w:val="00B725C6"/>
    <w:rsid w:val="00B72613"/>
    <w:rsid w:val="00B72826"/>
    <w:rsid w:val="00B72C16"/>
    <w:rsid w:val="00B72FE0"/>
    <w:rsid w:val="00B73549"/>
    <w:rsid w:val="00B738CA"/>
    <w:rsid w:val="00B73BC1"/>
    <w:rsid w:val="00B73CD7"/>
    <w:rsid w:val="00B73D3F"/>
    <w:rsid w:val="00B73DAB"/>
    <w:rsid w:val="00B73F96"/>
    <w:rsid w:val="00B74761"/>
    <w:rsid w:val="00B74AC3"/>
    <w:rsid w:val="00B75041"/>
    <w:rsid w:val="00B750B4"/>
    <w:rsid w:val="00B75739"/>
    <w:rsid w:val="00B757D6"/>
    <w:rsid w:val="00B75E9F"/>
    <w:rsid w:val="00B75FED"/>
    <w:rsid w:val="00B76475"/>
    <w:rsid w:val="00B7664F"/>
    <w:rsid w:val="00B76772"/>
    <w:rsid w:val="00B76933"/>
    <w:rsid w:val="00B769AD"/>
    <w:rsid w:val="00B76DE7"/>
    <w:rsid w:val="00B774C1"/>
    <w:rsid w:val="00B77690"/>
    <w:rsid w:val="00B77E8E"/>
    <w:rsid w:val="00B80E2E"/>
    <w:rsid w:val="00B8103B"/>
    <w:rsid w:val="00B816FD"/>
    <w:rsid w:val="00B818A5"/>
    <w:rsid w:val="00B81935"/>
    <w:rsid w:val="00B819F1"/>
    <w:rsid w:val="00B81C62"/>
    <w:rsid w:val="00B81E1B"/>
    <w:rsid w:val="00B824E6"/>
    <w:rsid w:val="00B824F1"/>
    <w:rsid w:val="00B82953"/>
    <w:rsid w:val="00B8299D"/>
    <w:rsid w:val="00B82C7C"/>
    <w:rsid w:val="00B835F9"/>
    <w:rsid w:val="00B8420A"/>
    <w:rsid w:val="00B84451"/>
    <w:rsid w:val="00B8452B"/>
    <w:rsid w:val="00B84696"/>
    <w:rsid w:val="00B846E5"/>
    <w:rsid w:val="00B848BE"/>
    <w:rsid w:val="00B84B7B"/>
    <w:rsid w:val="00B84D6D"/>
    <w:rsid w:val="00B84E34"/>
    <w:rsid w:val="00B85D7B"/>
    <w:rsid w:val="00B86080"/>
    <w:rsid w:val="00B86225"/>
    <w:rsid w:val="00B869E4"/>
    <w:rsid w:val="00B86A3E"/>
    <w:rsid w:val="00B87571"/>
    <w:rsid w:val="00B8793E"/>
    <w:rsid w:val="00B87D43"/>
    <w:rsid w:val="00B900DD"/>
    <w:rsid w:val="00B9086E"/>
    <w:rsid w:val="00B909ED"/>
    <w:rsid w:val="00B90BBE"/>
    <w:rsid w:val="00B91D09"/>
    <w:rsid w:val="00B91F6D"/>
    <w:rsid w:val="00B91FD3"/>
    <w:rsid w:val="00B920E9"/>
    <w:rsid w:val="00B92623"/>
    <w:rsid w:val="00B92792"/>
    <w:rsid w:val="00B928B8"/>
    <w:rsid w:val="00B92B56"/>
    <w:rsid w:val="00B92C1C"/>
    <w:rsid w:val="00B9304D"/>
    <w:rsid w:val="00B931EC"/>
    <w:rsid w:val="00B932F4"/>
    <w:rsid w:val="00B935ED"/>
    <w:rsid w:val="00B93845"/>
    <w:rsid w:val="00B93C25"/>
    <w:rsid w:val="00B93FE4"/>
    <w:rsid w:val="00B948A3"/>
    <w:rsid w:val="00B94E83"/>
    <w:rsid w:val="00B95381"/>
    <w:rsid w:val="00B9562A"/>
    <w:rsid w:val="00B95787"/>
    <w:rsid w:val="00B957A4"/>
    <w:rsid w:val="00B95BC2"/>
    <w:rsid w:val="00B95D04"/>
    <w:rsid w:val="00B960E6"/>
    <w:rsid w:val="00B962BA"/>
    <w:rsid w:val="00B96852"/>
    <w:rsid w:val="00B9708C"/>
    <w:rsid w:val="00B97432"/>
    <w:rsid w:val="00B97C1B"/>
    <w:rsid w:val="00B97E9D"/>
    <w:rsid w:val="00BA003F"/>
    <w:rsid w:val="00BA07C4"/>
    <w:rsid w:val="00BA0B84"/>
    <w:rsid w:val="00BA0E48"/>
    <w:rsid w:val="00BA12E5"/>
    <w:rsid w:val="00BA13FB"/>
    <w:rsid w:val="00BA14E2"/>
    <w:rsid w:val="00BA15C9"/>
    <w:rsid w:val="00BA1D67"/>
    <w:rsid w:val="00BA1F6F"/>
    <w:rsid w:val="00BA2701"/>
    <w:rsid w:val="00BA271C"/>
    <w:rsid w:val="00BA28B3"/>
    <w:rsid w:val="00BA2D99"/>
    <w:rsid w:val="00BA3067"/>
    <w:rsid w:val="00BA3216"/>
    <w:rsid w:val="00BA3A66"/>
    <w:rsid w:val="00BA3AC3"/>
    <w:rsid w:val="00BA3B9B"/>
    <w:rsid w:val="00BA3D32"/>
    <w:rsid w:val="00BA3D41"/>
    <w:rsid w:val="00BA3EF1"/>
    <w:rsid w:val="00BA3F23"/>
    <w:rsid w:val="00BA3FBE"/>
    <w:rsid w:val="00BA4DAE"/>
    <w:rsid w:val="00BA5142"/>
    <w:rsid w:val="00BA5224"/>
    <w:rsid w:val="00BA559A"/>
    <w:rsid w:val="00BA5739"/>
    <w:rsid w:val="00BA5840"/>
    <w:rsid w:val="00BA5932"/>
    <w:rsid w:val="00BA598B"/>
    <w:rsid w:val="00BA6135"/>
    <w:rsid w:val="00BA6483"/>
    <w:rsid w:val="00BA6610"/>
    <w:rsid w:val="00BA671E"/>
    <w:rsid w:val="00BA69A1"/>
    <w:rsid w:val="00BA7110"/>
    <w:rsid w:val="00BA7439"/>
    <w:rsid w:val="00BA75FE"/>
    <w:rsid w:val="00BA77EC"/>
    <w:rsid w:val="00BA7982"/>
    <w:rsid w:val="00BA7A38"/>
    <w:rsid w:val="00BA7C2C"/>
    <w:rsid w:val="00BA7CDD"/>
    <w:rsid w:val="00BA7EA7"/>
    <w:rsid w:val="00BB0304"/>
    <w:rsid w:val="00BB072D"/>
    <w:rsid w:val="00BB10A1"/>
    <w:rsid w:val="00BB10AB"/>
    <w:rsid w:val="00BB1102"/>
    <w:rsid w:val="00BB1496"/>
    <w:rsid w:val="00BB168F"/>
    <w:rsid w:val="00BB1868"/>
    <w:rsid w:val="00BB1AF3"/>
    <w:rsid w:val="00BB1D22"/>
    <w:rsid w:val="00BB1D42"/>
    <w:rsid w:val="00BB1E4D"/>
    <w:rsid w:val="00BB1EA4"/>
    <w:rsid w:val="00BB2126"/>
    <w:rsid w:val="00BB2407"/>
    <w:rsid w:val="00BB246C"/>
    <w:rsid w:val="00BB2543"/>
    <w:rsid w:val="00BB281E"/>
    <w:rsid w:val="00BB2DBE"/>
    <w:rsid w:val="00BB2E63"/>
    <w:rsid w:val="00BB2EB5"/>
    <w:rsid w:val="00BB3351"/>
    <w:rsid w:val="00BB355B"/>
    <w:rsid w:val="00BB3AB4"/>
    <w:rsid w:val="00BB3D10"/>
    <w:rsid w:val="00BB3EC5"/>
    <w:rsid w:val="00BB466F"/>
    <w:rsid w:val="00BB46F8"/>
    <w:rsid w:val="00BB4AF3"/>
    <w:rsid w:val="00BB5141"/>
    <w:rsid w:val="00BB5206"/>
    <w:rsid w:val="00BB5689"/>
    <w:rsid w:val="00BB5BCB"/>
    <w:rsid w:val="00BB5F6F"/>
    <w:rsid w:val="00BB6B76"/>
    <w:rsid w:val="00BB6C81"/>
    <w:rsid w:val="00BB6D1B"/>
    <w:rsid w:val="00BB744B"/>
    <w:rsid w:val="00BB79CF"/>
    <w:rsid w:val="00BB7A3D"/>
    <w:rsid w:val="00BB7D93"/>
    <w:rsid w:val="00BC0292"/>
    <w:rsid w:val="00BC0C50"/>
    <w:rsid w:val="00BC0E8D"/>
    <w:rsid w:val="00BC0F51"/>
    <w:rsid w:val="00BC1594"/>
    <w:rsid w:val="00BC20AB"/>
    <w:rsid w:val="00BC2268"/>
    <w:rsid w:val="00BC26B6"/>
    <w:rsid w:val="00BC2AD1"/>
    <w:rsid w:val="00BC2DB0"/>
    <w:rsid w:val="00BC31D5"/>
    <w:rsid w:val="00BC3646"/>
    <w:rsid w:val="00BC37A5"/>
    <w:rsid w:val="00BC3AC9"/>
    <w:rsid w:val="00BC3BF9"/>
    <w:rsid w:val="00BC42C8"/>
    <w:rsid w:val="00BC47A4"/>
    <w:rsid w:val="00BC4A7E"/>
    <w:rsid w:val="00BC4B4D"/>
    <w:rsid w:val="00BC5006"/>
    <w:rsid w:val="00BC50CC"/>
    <w:rsid w:val="00BC5389"/>
    <w:rsid w:val="00BC5979"/>
    <w:rsid w:val="00BC5DDE"/>
    <w:rsid w:val="00BC5E4C"/>
    <w:rsid w:val="00BC6266"/>
    <w:rsid w:val="00BC68DA"/>
    <w:rsid w:val="00BC6957"/>
    <w:rsid w:val="00BC6BC8"/>
    <w:rsid w:val="00BC6E00"/>
    <w:rsid w:val="00BC737B"/>
    <w:rsid w:val="00BC73BD"/>
    <w:rsid w:val="00BC73EF"/>
    <w:rsid w:val="00BC75AA"/>
    <w:rsid w:val="00BC7A96"/>
    <w:rsid w:val="00BC7AD2"/>
    <w:rsid w:val="00BC7BE6"/>
    <w:rsid w:val="00BC7EBF"/>
    <w:rsid w:val="00BD0047"/>
    <w:rsid w:val="00BD03B7"/>
    <w:rsid w:val="00BD063F"/>
    <w:rsid w:val="00BD0903"/>
    <w:rsid w:val="00BD0B03"/>
    <w:rsid w:val="00BD0FD9"/>
    <w:rsid w:val="00BD103D"/>
    <w:rsid w:val="00BD10E9"/>
    <w:rsid w:val="00BD1260"/>
    <w:rsid w:val="00BD1288"/>
    <w:rsid w:val="00BD1335"/>
    <w:rsid w:val="00BD13AF"/>
    <w:rsid w:val="00BD1BF3"/>
    <w:rsid w:val="00BD1DAB"/>
    <w:rsid w:val="00BD1F87"/>
    <w:rsid w:val="00BD21D4"/>
    <w:rsid w:val="00BD23B3"/>
    <w:rsid w:val="00BD26A6"/>
    <w:rsid w:val="00BD27FB"/>
    <w:rsid w:val="00BD2AFB"/>
    <w:rsid w:val="00BD2F1F"/>
    <w:rsid w:val="00BD3085"/>
    <w:rsid w:val="00BD3465"/>
    <w:rsid w:val="00BD34D6"/>
    <w:rsid w:val="00BD377B"/>
    <w:rsid w:val="00BD393B"/>
    <w:rsid w:val="00BD3EEA"/>
    <w:rsid w:val="00BD418C"/>
    <w:rsid w:val="00BD4359"/>
    <w:rsid w:val="00BD44F2"/>
    <w:rsid w:val="00BD45E1"/>
    <w:rsid w:val="00BD49A4"/>
    <w:rsid w:val="00BD49B6"/>
    <w:rsid w:val="00BD4BE4"/>
    <w:rsid w:val="00BD4C43"/>
    <w:rsid w:val="00BD4C9C"/>
    <w:rsid w:val="00BD5047"/>
    <w:rsid w:val="00BD5452"/>
    <w:rsid w:val="00BD5784"/>
    <w:rsid w:val="00BD5977"/>
    <w:rsid w:val="00BD5C60"/>
    <w:rsid w:val="00BD5DDC"/>
    <w:rsid w:val="00BD650A"/>
    <w:rsid w:val="00BD6745"/>
    <w:rsid w:val="00BD683D"/>
    <w:rsid w:val="00BD6B1C"/>
    <w:rsid w:val="00BD6CD5"/>
    <w:rsid w:val="00BD6D97"/>
    <w:rsid w:val="00BD6DE5"/>
    <w:rsid w:val="00BD6F99"/>
    <w:rsid w:val="00BD7116"/>
    <w:rsid w:val="00BD7163"/>
    <w:rsid w:val="00BD719A"/>
    <w:rsid w:val="00BD71D1"/>
    <w:rsid w:val="00BD7688"/>
    <w:rsid w:val="00BD7696"/>
    <w:rsid w:val="00BD77FD"/>
    <w:rsid w:val="00BD7AA1"/>
    <w:rsid w:val="00BD7E50"/>
    <w:rsid w:val="00BE0150"/>
    <w:rsid w:val="00BE0298"/>
    <w:rsid w:val="00BE082C"/>
    <w:rsid w:val="00BE10ED"/>
    <w:rsid w:val="00BE1274"/>
    <w:rsid w:val="00BE12AE"/>
    <w:rsid w:val="00BE15BB"/>
    <w:rsid w:val="00BE164A"/>
    <w:rsid w:val="00BE1B67"/>
    <w:rsid w:val="00BE1D09"/>
    <w:rsid w:val="00BE201F"/>
    <w:rsid w:val="00BE22D9"/>
    <w:rsid w:val="00BE2413"/>
    <w:rsid w:val="00BE27C4"/>
    <w:rsid w:val="00BE2BC9"/>
    <w:rsid w:val="00BE2BFC"/>
    <w:rsid w:val="00BE36C3"/>
    <w:rsid w:val="00BE3F68"/>
    <w:rsid w:val="00BE4247"/>
    <w:rsid w:val="00BE47DF"/>
    <w:rsid w:val="00BE4C6C"/>
    <w:rsid w:val="00BE562B"/>
    <w:rsid w:val="00BE576B"/>
    <w:rsid w:val="00BE58E2"/>
    <w:rsid w:val="00BE5936"/>
    <w:rsid w:val="00BE5A1B"/>
    <w:rsid w:val="00BE5A47"/>
    <w:rsid w:val="00BE5DC4"/>
    <w:rsid w:val="00BE5F6E"/>
    <w:rsid w:val="00BE6D1E"/>
    <w:rsid w:val="00BE6DB0"/>
    <w:rsid w:val="00BE6E96"/>
    <w:rsid w:val="00BE70FB"/>
    <w:rsid w:val="00BE7680"/>
    <w:rsid w:val="00BE76BC"/>
    <w:rsid w:val="00BE7885"/>
    <w:rsid w:val="00BF01ED"/>
    <w:rsid w:val="00BF0470"/>
    <w:rsid w:val="00BF0B6C"/>
    <w:rsid w:val="00BF17CA"/>
    <w:rsid w:val="00BF17D5"/>
    <w:rsid w:val="00BF190F"/>
    <w:rsid w:val="00BF1AE0"/>
    <w:rsid w:val="00BF1BE9"/>
    <w:rsid w:val="00BF20AC"/>
    <w:rsid w:val="00BF20F7"/>
    <w:rsid w:val="00BF219E"/>
    <w:rsid w:val="00BF24A4"/>
    <w:rsid w:val="00BF257F"/>
    <w:rsid w:val="00BF2EFC"/>
    <w:rsid w:val="00BF3147"/>
    <w:rsid w:val="00BF345E"/>
    <w:rsid w:val="00BF34AA"/>
    <w:rsid w:val="00BF3777"/>
    <w:rsid w:val="00BF39C7"/>
    <w:rsid w:val="00BF39CF"/>
    <w:rsid w:val="00BF3BB6"/>
    <w:rsid w:val="00BF4183"/>
    <w:rsid w:val="00BF4484"/>
    <w:rsid w:val="00BF4757"/>
    <w:rsid w:val="00BF4A39"/>
    <w:rsid w:val="00BF5324"/>
    <w:rsid w:val="00BF54A8"/>
    <w:rsid w:val="00BF595F"/>
    <w:rsid w:val="00BF60AC"/>
    <w:rsid w:val="00BF65ED"/>
    <w:rsid w:val="00BF6E08"/>
    <w:rsid w:val="00BF6E78"/>
    <w:rsid w:val="00BF6E8F"/>
    <w:rsid w:val="00BF7DFE"/>
    <w:rsid w:val="00BF7E9F"/>
    <w:rsid w:val="00C003C4"/>
    <w:rsid w:val="00C005A0"/>
    <w:rsid w:val="00C00F58"/>
    <w:rsid w:val="00C013F8"/>
    <w:rsid w:val="00C015FC"/>
    <w:rsid w:val="00C01810"/>
    <w:rsid w:val="00C01840"/>
    <w:rsid w:val="00C01A83"/>
    <w:rsid w:val="00C01C33"/>
    <w:rsid w:val="00C01FC9"/>
    <w:rsid w:val="00C0234B"/>
    <w:rsid w:val="00C023AE"/>
    <w:rsid w:val="00C02834"/>
    <w:rsid w:val="00C029E0"/>
    <w:rsid w:val="00C02C49"/>
    <w:rsid w:val="00C02F9D"/>
    <w:rsid w:val="00C03915"/>
    <w:rsid w:val="00C03954"/>
    <w:rsid w:val="00C03C3D"/>
    <w:rsid w:val="00C03FBE"/>
    <w:rsid w:val="00C040F5"/>
    <w:rsid w:val="00C044DF"/>
    <w:rsid w:val="00C04858"/>
    <w:rsid w:val="00C0499E"/>
    <w:rsid w:val="00C04F14"/>
    <w:rsid w:val="00C04F18"/>
    <w:rsid w:val="00C05483"/>
    <w:rsid w:val="00C05630"/>
    <w:rsid w:val="00C05A40"/>
    <w:rsid w:val="00C05C98"/>
    <w:rsid w:val="00C06704"/>
    <w:rsid w:val="00C0777E"/>
    <w:rsid w:val="00C07BB7"/>
    <w:rsid w:val="00C07C6F"/>
    <w:rsid w:val="00C10090"/>
    <w:rsid w:val="00C100A9"/>
    <w:rsid w:val="00C101AA"/>
    <w:rsid w:val="00C10248"/>
    <w:rsid w:val="00C106ED"/>
    <w:rsid w:val="00C10767"/>
    <w:rsid w:val="00C10798"/>
    <w:rsid w:val="00C108DC"/>
    <w:rsid w:val="00C11107"/>
    <w:rsid w:val="00C11312"/>
    <w:rsid w:val="00C11315"/>
    <w:rsid w:val="00C116DC"/>
    <w:rsid w:val="00C11829"/>
    <w:rsid w:val="00C11838"/>
    <w:rsid w:val="00C11C05"/>
    <w:rsid w:val="00C11E8E"/>
    <w:rsid w:val="00C11EC5"/>
    <w:rsid w:val="00C12269"/>
    <w:rsid w:val="00C12420"/>
    <w:rsid w:val="00C12C49"/>
    <w:rsid w:val="00C12E0A"/>
    <w:rsid w:val="00C12E6A"/>
    <w:rsid w:val="00C12E6D"/>
    <w:rsid w:val="00C12F9D"/>
    <w:rsid w:val="00C13064"/>
    <w:rsid w:val="00C13536"/>
    <w:rsid w:val="00C1360A"/>
    <w:rsid w:val="00C1372A"/>
    <w:rsid w:val="00C13812"/>
    <w:rsid w:val="00C144AC"/>
    <w:rsid w:val="00C1486C"/>
    <w:rsid w:val="00C150B2"/>
    <w:rsid w:val="00C15180"/>
    <w:rsid w:val="00C153D0"/>
    <w:rsid w:val="00C15A29"/>
    <w:rsid w:val="00C16714"/>
    <w:rsid w:val="00C1674D"/>
    <w:rsid w:val="00C16965"/>
    <w:rsid w:val="00C16AA9"/>
    <w:rsid w:val="00C16F70"/>
    <w:rsid w:val="00C16FDE"/>
    <w:rsid w:val="00C1715D"/>
    <w:rsid w:val="00C171CC"/>
    <w:rsid w:val="00C177FE"/>
    <w:rsid w:val="00C179E2"/>
    <w:rsid w:val="00C17BE7"/>
    <w:rsid w:val="00C17C92"/>
    <w:rsid w:val="00C17E39"/>
    <w:rsid w:val="00C17FCA"/>
    <w:rsid w:val="00C202A6"/>
    <w:rsid w:val="00C20341"/>
    <w:rsid w:val="00C2062E"/>
    <w:rsid w:val="00C20B6F"/>
    <w:rsid w:val="00C20BD2"/>
    <w:rsid w:val="00C21032"/>
    <w:rsid w:val="00C21690"/>
    <w:rsid w:val="00C2179D"/>
    <w:rsid w:val="00C21D7B"/>
    <w:rsid w:val="00C21D90"/>
    <w:rsid w:val="00C222A8"/>
    <w:rsid w:val="00C223E0"/>
    <w:rsid w:val="00C2251D"/>
    <w:rsid w:val="00C2262E"/>
    <w:rsid w:val="00C2267D"/>
    <w:rsid w:val="00C226EB"/>
    <w:rsid w:val="00C22A63"/>
    <w:rsid w:val="00C22A89"/>
    <w:rsid w:val="00C22D47"/>
    <w:rsid w:val="00C22FE4"/>
    <w:rsid w:val="00C2313A"/>
    <w:rsid w:val="00C2318E"/>
    <w:rsid w:val="00C234D5"/>
    <w:rsid w:val="00C235B4"/>
    <w:rsid w:val="00C23C21"/>
    <w:rsid w:val="00C23C78"/>
    <w:rsid w:val="00C23EB9"/>
    <w:rsid w:val="00C2440C"/>
    <w:rsid w:val="00C24841"/>
    <w:rsid w:val="00C2487A"/>
    <w:rsid w:val="00C24AEE"/>
    <w:rsid w:val="00C24E5E"/>
    <w:rsid w:val="00C25EE5"/>
    <w:rsid w:val="00C25F26"/>
    <w:rsid w:val="00C25FC5"/>
    <w:rsid w:val="00C2643D"/>
    <w:rsid w:val="00C2649A"/>
    <w:rsid w:val="00C26C13"/>
    <w:rsid w:val="00C272C6"/>
    <w:rsid w:val="00C27423"/>
    <w:rsid w:val="00C27438"/>
    <w:rsid w:val="00C27541"/>
    <w:rsid w:val="00C277DF"/>
    <w:rsid w:val="00C27A3B"/>
    <w:rsid w:val="00C30770"/>
    <w:rsid w:val="00C3091B"/>
    <w:rsid w:val="00C309C6"/>
    <w:rsid w:val="00C3117A"/>
    <w:rsid w:val="00C314B3"/>
    <w:rsid w:val="00C3154F"/>
    <w:rsid w:val="00C3177B"/>
    <w:rsid w:val="00C31D23"/>
    <w:rsid w:val="00C31D48"/>
    <w:rsid w:val="00C31EC9"/>
    <w:rsid w:val="00C321B7"/>
    <w:rsid w:val="00C3251A"/>
    <w:rsid w:val="00C32846"/>
    <w:rsid w:val="00C3294D"/>
    <w:rsid w:val="00C32F02"/>
    <w:rsid w:val="00C32F8E"/>
    <w:rsid w:val="00C33274"/>
    <w:rsid w:val="00C33295"/>
    <w:rsid w:val="00C332A3"/>
    <w:rsid w:val="00C334D0"/>
    <w:rsid w:val="00C3351E"/>
    <w:rsid w:val="00C33713"/>
    <w:rsid w:val="00C33F29"/>
    <w:rsid w:val="00C34206"/>
    <w:rsid w:val="00C34515"/>
    <w:rsid w:val="00C34833"/>
    <w:rsid w:val="00C34A3F"/>
    <w:rsid w:val="00C34C60"/>
    <w:rsid w:val="00C34DF8"/>
    <w:rsid w:val="00C35922"/>
    <w:rsid w:val="00C35AA8"/>
    <w:rsid w:val="00C35F42"/>
    <w:rsid w:val="00C3614A"/>
    <w:rsid w:val="00C36171"/>
    <w:rsid w:val="00C366FD"/>
    <w:rsid w:val="00C36CB3"/>
    <w:rsid w:val="00C36FF1"/>
    <w:rsid w:val="00C37729"/>
    <w:rsid w:val="00C3787D"/>
    <w:rsid w:val="00C37A26"/>
    <w:rsid w:val="00C37CB8"/>
    <w:rsid w:val="00C37D7B"/>
    <w:rsid w:val="00C37FF6"/>
    <w:rsid w:val="00C40230"/>
    <w:rsid w:val="00C4061E"/>
    <w:rsid w:val="00C40735"/>
    <w:rsid w:val="00C408AB"/>
    <w:rsid w:val="00C40C58"/>
    <w:rsid w:val="00C4102B"/>
    <w:rsid w:val="00C41044"/>
    <w:rsid w:val="00C411F7"/>
    <w:rsid w:val="00C412FF"/>
    <w:rsid w:val="00C416CC"/>
    <w:rsid w:val="00C41733"/>
    <w:rsid w:val="00C41ADE"/>
    <w:rsid w:val="00C41D86"/>
    <w:rsid w:val="00C41DA3"/>
    <w:rsid w:val="00C420D4"/>
    <w:rsid w:val="00C421A1"/>
    <w:rsid w:val="00C42333"/>
    <w:rsid w:val="00C425F2"/>
    <w:rsid w:val="00C426B0"/>
    <w:rsid w:val="00C429AD"/>
    <w:rsid w:val="00C42FF0"/>
    <w:rsid w:val="00C4319E"/>
    <w:rsid w:val="00C435FC"/>
    <w:rsid w:val="00C437D4"/>
    <w:rsid w:val="00C437E9"/>
    <w:rsid w:val="00C43871"/>
    <w:rsid w:val="00C43B08"/>
    <w:rsid w:val="00C44133"/>
    <w:rsid w:val="00C443D8"/>
    <w:rsid w:val="00C4444E"/>
    <w:rsid w:val="00C44563"/>
    <w:rsid w:val="00C44C48"/>
    <w:rsid w:val="00C44F61"/>
    <w:rsid w:val="00C44F9E"/>
    <w:rsid w:val="00C4507D"/>
    <w:rsid w:val="00C4523B"/>
    <w:rsid w:val="00C45412"/>
    <w:rsid w:val="00C456B7"/>
    <w:rsid w:val="00C4584F"/>
    <w:rsid w:val="00C45975"/>
    <w:rsid w:val="00C46502"/>
    <w:rsid w:val="00C46A62"/>
    <w:rsid w:val="00C46F43"/>
    <w:rsid w:val="00C47784"/>
    <w:rsid w:val="00C47BE0"/>
    <w:rsid w:val="00C500C9"/>
    <w:rsid w:val="00C50391"/>
    <w:rsid w:val="00C507C2"/>
    <w:rsid w:val="00C50C00"/>
    <w:rsid w:val="00C50EA2"/>
    <w:rsid w:val="00C51370"/>
    <w:rsid w:val="00C51C1B"/>
    <w:rsid w:val="00C51EF9"/>
    <w:rsid w:val="00C52269"/>
    <w:rsid w:val="00C528E2"/>
    <w:rsid w:val="00C52BFE"/>
    <w:rsid w:val="00C52D15"/>
    <w:rsid w:val="00C52DB1"/>
    <w:rsid w:val="00C52EDE"/>
    <w:rsid w:val="00C53028"/>
    <w:rsid w:val="00C531A2"/>
    <w:rsid w:val="00C53607"/>
    <w:rsid w:val="00C539EB"/>
    <w:rsid w:val="00C53D60"/>
    <w:rsid w:val="00C53D92"/>
    <w:rsid w:val="00C54132"/>
    <w:rsid w:val="00C541C4"/>
    <w:rsid w:val="00C541DD"/>
    <w:rsid w:val="00C547B6"/>
    <w:rsid w:val="00C54C4E"/>
    <w:rsid w:val="00C54E6E"/>
    <w:rsid w:val="00C551E5"/>
    <w:rsid w:val="00C551EC"/>
    <w:rsid w:val="00C55414"/>
    <w:rsid w:val="00C559A5"/>
    <w:rsid w:val="00C559AD"/>
    <w:rsid w:val="00C55C88"/>
    <w:rsid w:val="00C55DEF"/>
    <w:rsid w:val="00C55EE5"/>
    <w:rsid w:val="00C55EED"/>
    <w:rsid w:val="00C55F3D"/>
    <w:rsid w:val="00C5635B"/>
    <w:rsid w:val="00C5678E"/>
    <w:rsid w:val="00C56965"/>
    <w:rsid w:val="00C56B85"/>
    <w:rsid w:val="00C56DEC"/>
    <w:rsid w:val="00C56E1B"/>
    <w:rsid w:val="00C56FB7"/>
    <w:rsid w:val="00C57128"/>
    <w:rsid w:val="00C571CC"/>
    <w:rsid w:val="00C575D3"/>
    <w:rsid w:val="00C575DE"/>
    <w:rsid w:val="00C57CB6"/>
    <w:rsid w:val="00C601CB"/>
    <w:rsid w:val="00C60A20"/>
    <w:rsid w:val="00C60D76"/>
    <w:rsid w:val="00C60DA2"/>
    <w:rsid w:val="00C613F1"/>
    <w:rsid w:val="00C61414"/>
    <w:rsid w:val="00C618BE"/>
    <w:rsid w:val="00C619D0"/>
    <w:rsid w:val="00C61E79"/>
    <w:rsid w:val="00C61FA7"/>
    <w:rsid w:val="00C6201A"/>
    <w:rsid w:val="00C62262"/>
    <w:rsid w:val="00C62381"/>
    <w:rsid w:val="00C62459"/>
    <w:rsid w:val="00C62739"/>
    <w:rsid w:val="00C62D59"/>
    <w:rsid w:val="00C63151"/>
    <w:rsid w:val="00C632CB"/>
    <w:rsid w:val="00C6334E"/>
    <w:rsid w:val="00C6395F"/>
    <w:rsid w:val="00C63B7B"/>
    <w:rsid w:val="00C63CE7"/>
    <w:rsid w:val="00C64280"/>
    <w:rsid w:val="00C647DF"/>
    <w:rsid w:val="00C64C78"/>
    <w:rsid w:val="00C65099"/>
    <w:rsid w:val="00C651B6"/>
    <w:rsid w:val="00C65231"/>
    <w:rsid w:val="00C6578A"/>
    <w:rsid w:val="00C66B0C"/>
    <w:rsid w:val="00C66C2A"/>
    <w:rsid w:val="00C66F22"/>
    <w:rsid w:val="00C66F54"/>
    <w:rsid w:val="00C67113"/>
    <w:rsid w:val="00C6748F"/>
    <w:rsid w:val="00C67510"/>
    <w:rsid w:val="00C6782C"/>
    <w:rsid w:val="00C67B69"/>
    <w:rsid w:val="00C67C77"/>
    <w:rsid w:val="00C67E6C"/>
    <w:rsid w:val="00C701D6"/>
    <w:rsid w:val="00C7026C"/>
    <w:rsid w:val="00C706B2"/>
    <w:rsid w:val="00C7076D"/>
    <w:rsid w:val="00C70E72"/>
    <w:rsid w:val="00C70F19"/>
    <w:rsid w:val="00C70F90"/>
    <w:rsid w:val="00C7102B"/>
    <w:rsid w:val="00C713B6"/>
    <w:rsid w:val="00C714F1"/>
    <w:rsid w:val="00C71768"/>
    <w:rsid w:val="00C7234C"/>
    <w:rsid w:val="00C7239A"/>
    <w:rsid w:val="00C723D4"/>
    <w:rsid w:val="00C72476"/>
    <w:rsid w:val="00C725CD"/>
    <w:rsid w:val="00C727A8"/>
    <w:rsid w:val="00C728FE"/>
    <w:rsid w:val="00C72DD7"/>
    <w:rsid w:val="00C72F6D"/>
    <w:rsid w:val="00C733C5"/>
    <w:rsid w:val="00C73897"/>
    <w:rsid w:val="00C73B03"/>
    <w:rsid w:val="00C73F68"/>
    <w:rsid w:val="00C74291"/>
    <w:rsid w:val="00C743D6"/>
    <w:rsid w:val="00C74856"/>
    <w:rsid w:val="00C74978"/>
    <w:rsid w:val="00C74BEF"/>
    <w:rsid w:val="00C74CCB"/>
    <w:rsid w:val="00C75163"/>
    <w:rsid w:val="00C7518D"/>
    <w:rsid w:val="00C7529E"/>
    <w:rsid w:val="00C752C0"/>
    <w:rsid w:val="00C75699"/>
    <w:rsid w:val="00C75782"/>
    <w:rsid w:val="00C759A0"/>
    <w:rsid w:val="00C75AA9"/>
    <w:rsid w:val="00C76954"/>
    <w:rsid w:val="00C77052"/>
    <w:rsid w:val="00C77668"/>
    <w:rsid w:val="00C77F8E"/>
    <w:rsid w:val="00C80018"/>
    <w:rsid w:val="00C802B8"/>
    <w:rsid w:val="00C803AD"/>
    <w:rsid w:val="00C80810"/>
    <w:rsid w:val="00C80C49"/>
    <w:rsid w:val="00C81137"/>
    <w:rsid w:val="00C8140F"/>
    <w:rsid w:val="00C823AB"/>
    <w:rsid w:val="00C823CE"/>
    <w:rsid w:val="00C8249F"/>
    <w:rsid w:val="00C8260E"/>
    <w:rsid w:val="00C829E7"/>
    <w:rsid w:val="00C829F9"/>
    <w:rsid w:val="00C82C7B"/>
    <w:rsid w:val="00C8304B"/>
    <w:rsid w:val="00C83113"/>
    <w:rsid w:val="00C8322D"/>
    <w:rsid w:val="00C83867"/>
    <w:rsid w:val="00C83B23"/>
    <w:rsid w:val="00C83CCB"/>
    <w:rsid w:val="00C83DE1"/>
    <w:rsid w:val="00C840D1"/>
    <w:rsid w:val="00C84270"/>
    <w:rsid w:val="00C844F3"/>
    <w:rsid w:val="00C8457D"/>
    <w:rsid w:val="00C845A0"/>
    <w:rsid w:val="00C847D0"/>
    <w:rsid w:val="00C853FC"/>
    <w:rsid w:val="00C857EA"/>
    <w:rsid w:val="00C858F2"/>
    <w:rsid w:val="00C859F6"/>
    <w:rsid w:val="00C85F25"/>
    <w:rsid w:val="00C861EE"/>
    <w:rsid w:val="00C86485"/>
    <w:rsid w:val="00C865BA"/>
    <w:rsid w:val="00C86738"/>
    <w:rsid w:val="00C867C2"/>
    <w:rsid w:val="00C86B62"/>
    <w:rsid w:val="00C87149"/>
    <w:rsid w:val="00C872EB"/>
    <w:rsid w:val="00C8754A"/>
    <w:rsid w:val="00C876DD"/>
    <w:rsid w:val="00C87817"/>
    <w:rsid w:val="00C87930"/>
    <w:rsid w:val="00C87E57"/>
    <w:rsid w:val="00C90112"/>
    <w:rsid w:val="00C9047D"/>
    <w:rsid w:val="00C90623"/>
    <w:rsid w:val="00C91174"/>
    <w:rsid w:val="00C911DA"/>
    <w:rsid w:val="00C9147B"/>
    <w:rsid w:val="00C9160B"/>
    <w:rsid w:val="00C9163D"/>
    <w:rsid w:val="00C91678"/>
    <w:rsid w:val="00C916AC"/>
    <w:rsid w:val="00C9173F"/>
    <w:rsid w:val="00C91815"/>
    <w:rsid w:val="00C9198F"/>
    <w:rsid w:val="00C91BD7"/>
    <w:rsid w:val="00C91C22"/>
    <w:rsid w:val="00C91CE1"/>
    <w:rsid w:val="00C92116"/>
    <w:rsid w:val="00C922AD"/>
    <w:rsid w:val="00C928D5"/>
    <w:rsid w:val="00C92B71"/>
    <w:rsid w:val="00C92BB6"/>
    <w:rsid w:val="00C92CE1"/>
    <w:rsid w:val="00C9303C"/>
    <w:rsid w:val="00C931AA"/>
    <w:rsid w:val="00C93488"/>
    <w:rsid w:val="00C934E1"/>
    <w:rsid w:val="00C93699"/>
    <w:rsid w:val="00C937B4"/>
    <w:rsid w:val="00C947D0"/>
    <w:rsid w:val="00C94A9E"/>
    <w:rsid w:val="00C94EC7"/>
    <w:rsid w:val="00C94F42"/>
    <w:rsid w:val="00C94FD8"/>
    <w:rsid w:val="00C951B6"/>
    <w:rsid w:val="00C9555D"/>
    <w:rsid w:val="00C95895"/>
    <w:rsid w:val="00C95BC8"/>
    <w:rsid w:val="00C962CD"/>
    <w:rsid w:val="00C964FE"/>
    <w:rsid w:val="00C966BE"/>
    <w:rsid w:val="00C96BF4"/>
    <w:rsid w:val="00C96DAF"/>
    <w:rsid w:val="00C96DCF"/>
    <w:rsid w:val="00C96FDD"/>
    <w:rsid w:val="00C97116"/>
    <w:rsid w:val="00C97405"/>
    <w:rsid w:val="00C97763"/>
    <w:rsid w:val="00C9784C"/>
    <w:rsid w:val="00C97985"/>
    <w:rsid w:val="00C97A79"/>
    <w:rsid w:val="00CA00EA"/>
    <w:rsid w:val="00CA0732"/>
    <w:rsid w:val="00CA0982"/>
    <w:rsid w:val="00CA0C5D"/>
    <w:rsid w:val="00CA0C64"/>
    <w:rsid w:val="00CA0FE6"/>
    <w:rsid w:val="00CA1741"/>
    <w:rsid w:val="00CA1B2F"/>
    <w:rsid w:val="00CA1E6C"/>
    <w:rsid w:val="00CA21E4"/>
    <w:rsid w:val="00CA25F6"/>
    <w:rsid w:val="00CA271D"/>
    <w:rsid w:val="00CA273D"/>
    <w:rsid w:val="00CA2762"/>
    <w:rsid w:val="00CA2C8B"/>
    <w:rsid w:val="00CA2D12"/>
    <w:rsid w:val="00CA2FB8"/>
    <w:rsid w:val="00CA325D"/>
    <w:rsid w:val="00CA35D6"/>
    <w:rsid w:val="00CA3A89"/>
    <w:rsid w:val="00CA3C64"/>
    <w:rsid w:val="00CA3C8A"/>
    <w:rsid w:val="00CA3D69"/>
    <w:rsid w:val="00CA3EFD"/>
    <w:rsid w:val="00CA3FD1"/>
    <w:rsid w:val="00CA4058"/>
    <w:rsid w:val="00CA4121"/>
    <w:rsid w:val="00CA4375"/>
    <w:rsid w:val="00CA4889"/>
    <w:rsid w:val="00CA4EFD"/>
    <w:rsid w:val="00CA532B"/>
    <w:rsid w:val="00CA54B8"/>
    <w:rsid w:val="00CA55E2"/>
    <w:rsid w:val="00CA5BFF"/>
    <w:rsid w:val="00CA6740"/>
    <w:rsid w:val="00CA6DFA"/>
    <w:rsid w:val="00CA6F30"/>
    <w:rsid w:val="00CA71E6"/>
    <w:rsid w:val="00CA71EF"/>
    <w:rsid w:val="00CA72BE"/>
    <w:rsid w:val="00CA7529"/>
    <w:rsid w:val="00CA765F"/>
    <w:rsid w:val="00CA76FD"/>
    <w:rsid w:val="00CA7BEE"/>
    <w:rsid w:val="00CA7EDB"/>
    <w:rsid w:val="00CB0071"/>
    <w:rsid w:val="00CB0679"/>
    <w:rsid w:val="00CB068B"/>
    <w:rsid w:val="00CB06CD"/>
    <w:rsid w:val="00CB06E8"/>
    <w:rsid w:val="00CB0790"/>
    <w:rsid w:val="00CB0A47"/>
    <w:rsid w:val="00CB0C82"/>
    <w:rsid w:val="00CB0E88"/>
    <w:rsid w:val="00CB0F06"/>
    <w:rsid w:val="00CB0FC3"/>
    <w:rsid w:val="00CB12E2"/>
    <w:rsid w:val="00CB14CB"/>
    <w:rsid w:val="00CB1869"/>
    <w:rsid w:val="00CB1A01"/>
    <w:rsid w:val="00CB1F60"/>
    <w:rsid w:val="00CB20FB"/>
    <w:rsid w:val="00CB232A"/>
    <w:rsid w:val="00CB27A8"/>
    <w:rsid w:val="00CB2AE7"/>
    <w:rsid w:val="00CB2DFA"/>
    <w:rsid w:val="00CB2F2B"/>
    <w:rsid w:val="00CB303F"/>
    <w:rsid w:val="00CB3073"/>
    <w:rsid w:val="00CB33EE"/>
    <w:rsid w:val="00CB35BF"/>
    <w:rsid w:val="00CB37FD"/>
    <w:rsid w:val="00CB3AA0"/>
    <w:rsid w:val="00CB3B38"/>
    <w:rsid w:val="00CB3DE2"/>
    <w:rsid w:val="00CB3F8C"/>
    <w:rsid w:val="00CB4092"/>
    <w:rsid w:val="00CB40ED"/>
    <w:rsid w:val="00CB440A"/>
    <w:rsid w:val="00CB4A6B"/>
    <w:rsid w:val="00CB52BB"/>
    <w:rsid w:val="00CB52D6"/>
    <w:rsid w:val="00CB5D04"/>
    <w:rsid w:val="00CB5D1F"/>
    <w:rsid w:val="00CB5DA1"/>
    <w:rsid w:val="00CB610E"/>
    <w:rsid w:val="00CB6329"/>
    <w:rsid w:val="00CB645D"/>
    <w:rsid w:val="00CB6642"/>
    <w:rsid w:val="00CB66E0"/>
    <w:rsid w:val="00CB66EC"/>
    <w:rsid w:val="00CB6A6D"/>
    <w:rsid w:val="00CB6AC1"/>
    <w:rsid w:val="00CB7214"/>
    <w:rsid w:val="00CB745C"/>
    <w:rsid w:val="00CB7E21"/>
    <w:rsid w:val="00CC0BBF"/>
    <w:rsid w:val="00CC0F68"/>
    <w:rsid w:val="00CC18BB"/>
    <w:rsid w:val="00CC18CD"/>
    <w:rsid w:val="00CC1B29"/>
    <w:rsid w:val="00CC1B4C"/>
    <w:rsid w:val="00CC1E36"/>
    <w:rsid w:val="00CC2734"/>
    <w:rsid w:val="00CC3080"/>
    <w:rsid w:val="00CC327E"/>
    <w:rsid w:val="00CC345A"/>
    <w:rsid w:val="00CC3466"/>
    <w:rsid w:val="00CC3A68"/>
    <w:rsid w:val="00CC3E13"/>
    <w:rsid w:val="00CC47F6"/>
    <w:rsid w:val="00CC4849"/>
    <w:rsid w:val="00CC4BAF"/>
    <w:rsid w:val="00CC50F0"/>
    <w:rsid w:val="00CC513A"/>
    <w:rsid w:val="00CC5795"/>
    <w:rsid w:val="00CC57CD"/>
    <w:rsid w:val="00CC5A26"/>
    <w:rsid w:val="00CC5CC9"/>
    <w:rsid w:val="00CC5E4A"/>
    <w:rsid w:val="00CC5E8F"/>
    <w:rsid w:val="00CC5E92"/>
    <w:rsid w:val="00CC601A"/>
    <w:rsid w:val="00CC60D5"/>
    <w:rsid w:val="00CC6305"/>
    <w:rsid w:val="00CC6649"/>
    <w:rsid w:val="00CC6811"/>
    <w:rsid w:val="00CC6AC8"/>
    <w:rsid w:val="00CC6F5E"/>
    <w:rsid w:val="00CC70C2"/>
    <w:rsid w:val="00CC71F8"/>
    <w:rsid w:val="00CC73FF"/>
    <w:rsid w:val="00CC76B7"/>
    <w:rsid w:val="00CC776A"/>
    <w:rsid w:val="00CC7A93"/>
    <w:rsid w:val="00CC7B33"/>
    <w:rsid w:val="00CC7C40"/>
    <w:rsid w:val="00CC7CBC"/>
    <w:rsid w:val="00CD0262"/>
    <w:rsid w:val="00CD0A7F"/>
    <w:rsid w:val="00CD0C3F"/>
    <w:rsid w:val="00CD10F5"/>
    <w:rsid w:val="00CD121E"/>
    <w:rsid w:val="00CD1AB6"/>
    <w:rsid w:val="00CD1CC4"/>
    <w:rsid w:val="00CD22BC"/>
    <w:rsid w:val="00CD2753"/>
    <w:rsid w:val="00CD2780"/>
    <w:rsid w:val="00CD28F8"/>
    <w:rsid w:val="00CD37BC"/>
    <w:rsid w:val="00CD3855"/>
    <w:rsid w:val="00CD3DE7"/>
    <w:rsid w:val="00CD3E88"/>
    <w:rsid w:val="00CD3EB4"/>
    <w:rsid w:val="00CD41D2"/>
    <w:rsid w:val="00CD4363"/>
    <w:rsid w:val="00CD4416"/>
    <w:rsid w:val="00CD4E6F"/>
    <w:rsid w:val="00CD50E6"/>
    <w:rsid w:val="00CD512A"/>
    <w:rsid w:val="00CD529F"/>
    <w:rsid w:val="00CD53F8"/>
    <w:rsid w:val="00CD5C0D"/>
    <w:rsid w:val="00CD5C67"/>
    <w:rsid w:val="00CD5F25"/>
    <w:rsid w:val="00CD6975"/>
    <w:rsid w:val="00CD6CAA"/>
    <w:rsid w:val="00CD741E"/>
    <w:rsid w:val="00CD7E88"/>
    <w:rsid w:val="00CD7E93"/>
    <w:rsid w:val="00CE00A0"/>
    <w:rsid w:val="00CE0177"/>
    <w:rsid w:val="00CE023D"/>
    <w:rsid w:val="00CE04E9"/>
    <w:rsid w:val="00CE0BC6"/>
    <w:rsid w:val="00CE0ECB"/>
    <w:rsid w:val="00CE1017"/>
    <w:rsid w:val="00CE1232"/>
    <w:rsid w:val="00CE12BC"/>
    <w:rsid w:val="00CE160E"/>
    <w:rsid w:val="00CE1C4F"/>
    <w:rsid w:val="00CE1FCD"/>
    <w:rsid w:val="00CE215E"/>
    <w:rsid w:val="00CE2993"/>
    <w:rsid w:val="00CE30BE"/>
    <w:rsid w:val="00CE333E"/>
    <w:rsid w:val="00CE35A6"/>
    <w:rsid w:val="00CE35B4"/>
    <w:rsid w:val="00CE3897"/>
    <w:rsid w:val="00CE3A2D"/>
    <w:rsid w:val="00CE3F0A"/>
    <w:rsid w:val="00CE3FFE"/>
    <w:rsid w:val="00CE4110"/>
    <w:rsid w:val="00CE4193"/>
    <w:rsid w:val="00CE4525"/>
    <w:rsid w:val="00CE4603"/>
    <w:rsid w:val="00CE47D8"/>
    <w:rsid w:val="00CE4837"/>
    <w:rsid w:val="00CE4AC2"/>
    <w:rsid w:val="00CE4B31"/>
    <w:rsid w:val="00CE4C97"/>
    <w:rsid w:val="00CE4D2A"/>
    <w:rsid w:val="00CE4F85"/>
    <w:rsid w:val="00CE50B6"/>
    <w:rsid w:val="00CE5114"/>
    <w:rsid w:val="00CE5440"/>
    <w:rsid w:val="00CE5566"/>
    <w:rsid w:val="00CE5BF3"/>
    <w:rsid w:val="00CE5CB9"/>
    <w:rsid w:val="00CE5D9E"/>
    <w:rsid w:val="00CE5E31"/>
    <w:rsid w:val="00CE609E"/>
    <w:rsid w:val="00CE62F3"/>
    <w:rsid w:val="00CE637E"/>
    <w:rsid w:val="00CE65A2"/>
    <w:rsid w:val="00CE6834"/>
    <w:rsid w:val="00CE6954"/>
    <w:rsid w:val="00CE6A4C"/>
    <w:rsid w:val="00CE6AAB"/>
    <w:rsid w:val="00CE6B3E"/>
    <w:rsid w:val="00CE6CCC"/>
    <w:rsid w:val="00CE6E1B"/>
    <w:rsid w:val="00CE6E25"/>
    <w:rsid w:val="00CE78CF"/>
    <w:rsid w:val="00CE7BF3"/>
    <w:rsid w:val="00CE7C08"/>
    <w:rsid w:val="00CE7D18"/>
    <w:rsid w:val="00CE7D50"/>
    <w:rsid w:val="00CF0202"/>
    <w:rsid w:val="00CF10A3"/>
    <w:rsid w:val="00CF1643"/>
    <w:rsid w:val="00CF19CC"/>
    <w:rsid w:val="00CF19E7"/>
    <w:rsid w:val="00CF1DD2"/>
    <w:rsid w:val="00CF23AC"/>
    <w:rsid w:val="00CF249A"/>
    <w:rsid w:val="00CF256A"/>
    <w:rsid w:val="00CF2798"/>
    <w:rsid w:val="00CF2B5D"/>
    <w:rsid w:val="00CF2D8F"/>
    <w:rsid w:val="00CF2DCC"/>
    <w:rsid w:val="00CF2E86"/>
    <w:rsid w:val="00CF3352"/>
    <w:rsid w:val="00CF35FE"/>
    <w:rsid w:val="00CF37C3"/>
    <w:rsid w:val="00CF37D2"/>
    <w:rsid w:val="00CF3ACF"/>
    <w:rsid w:val="00CF3C0D"/>
    <w:rsid w:val="00CF456B"/>
    <w:rsid w:val="00CF48D3"/>
    <w:rsid w:val="00CF4951"/>
    <w:rsid w:val="00CF4A50"/>
    <w:rsid w:val="00CF4B10"/>
    <w:rsid w:val="00CF4EFE"/>
    <w:rsid w:val="00CF4FFC"/>
    <w:rsid w:val="00CF51B4"/>
    <w:rsid w:val="00CF5221"/>
    <w:rsid w:val="00CF5357"/>
    <w:rsid w:val="00CF56E3"/>
    <w:rsid w:val="00CF5764"/>
    <w:rsid w:val="00CF57F0"/>
    <w:rsid w:val="00CF5E69"/>
    <w:rsid w:val="00CF6405"/>
    <w:rsid w:val="00CF6526"/>
    <w:rsid w:val="00CF6622"/>
    <w:rsid w:val="00CF674E"/>
    <w:rsid w:val="00CF689A"/>
    <w:rsid w:val="00CF68E3"/>
    <w:rsid w:val="00CF6CFB"/>
    <w:rsid w:val="00CF6E43"/>
    <w:rsid w:val="00CF6E76"/>
    <w:rsid w:val="00CF71E6"/>
    <w:rsid w:val="00CF748F"/>
    <w:rsid w:val="00CF7678"/>
    <w:rsid w:val="00CF796B"/>
    <w:rsid w:val="00CF7A2F"/>
    <w:rsid w:val="00CF7A93"/>
    <w:rsid w:val="00D00210"/>
    <w:rsid w:val="00D00219"/>
    <w:rsid w:val="00D0054F"/>
    <w:rsid w:val="00D00669"/>
    <w:rsid w:val="00D008E4"/>
    <w:rsid w:val="00D01154"/>
    <w:rsid w:val="00D01359"/>
    <w:rsid w:val="00D015DF"/>
    <w:rsid w:val="00D01696"/>
    <w:rsid w:val="00D01DDB"/>
    <w:rsid w:val="00D02175"/>
    <w:rsid w:val="00D021DC"/>
    <w:rsid w:val="00D02258"/>
    <w:rsid w:val="00D022D9"/>
    <w:rsid w:val="00D02715"/>
    <w:rsid w:val="00D02999"/>
    <w:rsid w:val="00D02B73"/>
    <w:rsid w:val="00D02CB2"/>
    <w:rsid w:val="00D03006"/>
    <w:rsid w:val="00D032E8"/>
    <w:rsid w:val="00D0343F"/>
    <w:rsid w:val="00D03956"/>
    <w:rsid w:val="00D03ACF"/>
    <w:rsid w:val="00D03CF2"/>
    <w:rsid w:val="00D03D71"/>
    <w:rsid w:val="00D03DC3"/>
    <w:rsid w:val="00D04493"/>
    <w:rsid w:val="00D045E1"/>
    <w:rsid w:val="00D046B9"/>
    <w:rsid w:val="00D04973"/>
    <w:rsid w:val="00D05022"/>
    <w:rsid w:val="00D05087"/>
    <w:rsid w:val="00D05162"/>
    <w:rsid w:val="00D0531F"/>
    <w:rsid w:val="00D05390"/>
    <w:rsid w:val="00D053C6"/>
    <w:rsid w:val="00D055B5"/>
    <w:rsid w:val="00D05712"/>
    <w:rsid w:val="00D05B27"/>
    <w:rsid w:val="00D05C4C"/>
    <w:rsid w:val="00D05F1B"/>
    <w:rsid w:val="00D06022"/>
    <w:rsid w:val="00D06026"/>
    <w:rsid w:val="00D064EE"/>
    <w:rsid w:val="00D0673C"/>
    <w:rsid w:val="00D06A33"/>
    <w:rsid w:val="00D06C1E"/>
    <w:rsid w:val="00D06C6E"/>
    <w:rsid w:val="00D06F8B"/>
    <w:rsid w:val="00D072A6"/>
    <w:rsid w:val="00D0770C"/>
    <w:rsid w:val="00D0773A"/>
    <w:rsid w:val="00D07A33"/>
    <w:rsid w:val="00D07AA4"/>
    <w:rsid w:val="00D07E99"/>
    <w:rsid w:val="00D07FD9"/>
    <w:rsid w:val="00D1014B"/>
    <w:rsid w:val="00D10404"/>
    <w:rsid w:val="00D104FA"/>
    <w:rsid w:val="00D10AF2"/>
    <w:rsid w:val="00D10F66"/>
    <w:rsid w:val="00D111B5"/>
    <w:rsid w:val="00D111CC"/>
    <w:rsid w:val="00D11226"/>
    <w:rsid w:val="00D11500"/>
    <w:rsid w:val="00D11E19"/>
    <w:rsid w:val="00D121A8"/>
    <w:rsid w:val="00D121B3"/>
    <w:rsid w:val="00D12479"/>
    <w:rsid w:val="00D125B6"/>
    <w:rsid w:val="00D1284B"/>
    <w:rsid w:val="00D12989"/>
    <w:rsid w:val="00D13236"/>
    <w:rsid w:val="00D13614"/>
    <w:rsid w:val="00D13A31"/>
    <w:rsid w:val="00D13E6C"/>
    <w:rsid w:val="00D141A9"/>
    <w:rsid w:val="00D141C9"/>
    <w:rsid w:val="00D145EB"/>
    <w:rsid w:val="00D1480B"/>
    <w:rsid w:val="00D149D2"/>
    <w:rsid w:val="00D15936"/>
    <w:rsid w:val="00D15E72"/>
    <w:rsid w:val="00D16ADA"/>
    <w:rsid w:val="00D16B64"/>
    <w:rsid w:val="00D17190"/>
    <w:rsid w:val="00D17753"/>
    <w:rsid w:val="00D17982"/>
    <w:rsid w:val="00D17B72"/>
    <w:rsid w:val="00D17C02"/>
    <w:rsid w:val="00D17F2F"/>
    <w:rsid w:val="00D20455"/>
    <w:rsid w:val="00D204B9"/>
    <w:rsid w:val="00D206EA"/>
    <w:rsid w:val="00D206F6"/>
    <w:rsid w:val="00D20823"/>
    <w:rsid w:val="00D20854"/>
    <w:rsid w:val="00D2106D"/>
    <w:rsid w:val="00D2140E"/>
    <w:rsid w:val="00D21832"/>
    <w:rsid w:val="00D21845"/>
    <w:rsid w:val="00D218ED"/>
    <w:rsid w:val="00D21927"/>
    <w:rsid w:val="00D21E35"/>
    <w:rsid w:val="00D2232C"/>
    <w:rsid w:val="00D22424"/>
    <w:rsid w:val="00D22428"/>
    <w:rsid w:val="00D22580"/>
    <w:rsid w:val="00D2260B"/>
    <w:rsid w:val="00D22950"/>
    <w:rsid w:val="00D229BC"/>
    <w:rsid w:val="00D23075"/>
    <w:rsid w:val="00D2343D"/>
    <w:rsid w:val="00D23C90"/>
    <w:rsid w:val="00D24172"/>
    <w:rsid w:val="00D242A7"/>
    <w:rsid w:val="00D24626"/>
    <w:rsid w:val="00D2470F"/>
    <w:rsid w:val="00D247AB"/>
    <w:rsid w:val="00D24CD6"/>
    <w:rsid w:val="00D24EC4"/>
    <w:rsid w:val="00D24F01"/>
    <w:rsid w:val="00D24F57"/>
    <w:rsid w:val="00D24FD4"/>
    <w:rsid w:val="00D251C5"/>
    <w:rsid w:val="00D252AB"/>
    <w:rsid w:val="00D2594A"/>
    <w:rsid w:val="00D25F04"/>
    <w:rsid w:val="00D2622F"/>
    <w:rsid w:val="00D26432"/>
    <w:rsid w:val="00D2659F"/>
    <w:rsid w:val="00D2684D"/>
    <w:rsid w:val="00D268CA"/>
    <w:rsid w:val="00D2697B"/>
    <w:rsid w:val="00D26987"/>
    <w:rsid w:val="00D27218"/>
    <w:rsid w:val="00D2734E"/>
    <w:rsid w:val="00D276FB"/>
    <w:rsid w:val="00D2792F"/>
    <w:rsid w:val="00D27AC3"/>
    <w:rsid w:val="00D27B60"/>
    <w:rsid w:val="00D27DCA"/>
    <w:rsid w:val="00D27F57"/>
    <w:rsid w:val="00D30036"/>
    <w:rsid w:val="00D30053"/>
    <w:rsid w:val="00D301A8"/>
    <w:rsid w:val="00D30423"/>
    <w:rsid w:val="00D305F6"/>
    <w:rsid w:val="00D3116C"/>
    <w:rsid w:val="00D311C7"/>
    <w:rsid w:val="00D31276"/>
    <w:rsid w:val="00D31377"/>
    <w:rsid w:val="00D313AB"/>
    <w:rsid w:val="00D31563"/>
    <w:rsid w:val="00D315FF"/>
    <w:rsid w:val="00D31EAA"/>
    <w:rsid w:val="00D32881"/>
    <w:rsid w:val="00D32B13"/>
    <w:rsid w:val="00D32CC0"/>
    <w:rsid w:val="00D330C5"/>
    <w:rsid w:val="00D331AD"/>
    <w:rsid w:val="00D33247"/>
    <w:rsid w:val="00D337AE"/>
    <w:rsid w:val="00D343ED"/>
    <w:rsid w:val="00D3469A"/>
    <w:rsid w:val="00D348B6"/>
    <w:rsid w:val="00D34B4B"/>
    <w:rsid w:val="00D3517D"/>
    <w:rsid w:val="00D3524F"/>
    <w:rsid w:val="00D3544B"/>
    <w:rsid w:val="00D356B0"/>
    <w:rsid w:val="00D3575B"/>
    <w:rsid w:val="00D35BCE"/>
    <w:rsid w:val="00D366EB"/>
    <w:rsid w:val="00D36AD7"/>
    <w:rsid w:val="00D36CCA"/>
    <w:rsid w:val="00D36EEE"/>
    <w:rsid w:val="00D37519"/>
    <w:rsid w:val="00D376D8"/>
    <w:rsid w:val="00D37989"/>
    <w:rsid w:val="00D37C36"/>
    <w:rsid w:val="00D37C8D"/>
    <w:rsid w:val="00D4020C"/>
    <w:rsid w:val="00D41405"/>
    <w:rsid w:val="00D41769"/>
    <w:rsid w:val="00D418B4"/>
    <w:rsid w:val="00D41A1E"/>
    <w:rsid w:val="00D41A93"/>
    <w:rsid w:val="00D41C36"/>
    <w:rsid w:val="00D41D9A"/>
    <w:rsid w:val="00D41DAF"/>
    <w:rsid w:val="00D42354"/>
    <w:rsid w:val="00D425FE"/>
    <w:rsid w:val="00D4267B"/>
    <w:rsid w:val="00D42846"/>
    <w:rsid w:val="00D42C7E"/>
    <w:rsid w:val="00D42F11"/>
    <w:rsid w:val="00D43287"/>
    <w:rsid w:val="00D439E2"/>
    <w:rsid w:val="00D43AC8"/>
    <w:rsid w:val="00D43DB1"/>
    <w:rsid w:val="00D43FB5"/>
    <w:rsid w:val="00D44035"/>
    <w:rsid w:val="00D44110"/>
    <w:rsid w:val="00D44336"/>
    <w:rsid w:val="00D4438F"/>
    <w:rsid w:val="00D444ED"/>
    <w:rsid w:val="00D445C1"/>
    <w:rsid w:val="00D44FEA"/>
    <w:rsid w:val="00D450DB"/>
    <w:rsid w:val="00D455F0"/>
    <w:rsid w:val="00D45627"/>
    <w:rsid w:val="00D45639"/>
    <w:rsid w:val="00D45803"/>
    <w:rsid w:val="00D45B61"/>
    <w:rsid w:val="00D45BFA"/>
    <w:rsid w:val="00D4606A"/>
    <w:rsid w:val="00D460D8"/>
    <w:rsid w:val="00D462C6"/>
    <w:rsid w:val="00D463A5"/>
    <w:rsid w:val="00D4652D"/>
    <w:rsid w:val="00D4687B"/>
    <w:rsid w:val="00D46AF7"/>
    <w:rsid w:val="00D477C9"/>
    <w:rsid w:val="00D47BD2"/>
    <w:rsid w:val="00D50200"/>
    <w:rsid w:val="00D50533"/>
    <w:rsid w:val="00D510CB"/>
    <w:rsid w:val="00D510E3"/>
    <w:rsid w:val="00D5142F"/>
    <w:rsid w:val="00D51930"/>
    <w:rsid w:val="00D51BB3"/>
    <w:rsid w:val="00D51E0D"/>
    <w:rsid w:val="00D51F95"/>
    <w:rsid w:val="00D528B4"/>
    <w:rsid w:val="00D5299A"/>
    <w:rsid w:val="00D52C8B"/>
    <w:rsid w:val="00D52D73"/>
    <w:rsid w:val="00D5307D"/>
    <w:rsid w:val="00D53A56"/>
    <w:rsid w:val="00D53A73"/>
    <w:rsid w:val="00D53D22"/>
    <w:rsid w:val="00D53E56"/>
    <w:rsid w:val="00D544C5"/>
    <w:rsid w:val="00D54641"/>
    <w:rsid w:val="00D54874"/>
    <w:rsid w:val="00D54882"/>
    <w:rsid w:val="00D54902"/>
    <w:rsid w:val="00D553B4"/>
    <w:rsid w:val="00D559A1"/>
    <w:rsid w:val="00D55A00"/>
    <w:rsid w:val="00D55F4F"/>
    <w:rsid w:val="00D56695"/>
    <w:rsid w:val="00D56E6A"/>
    <w:rsid w:val="00D57236"/>
    <w:rsid w:val="00D574D9"/>
    <w:rsid w:val="00D577E7"/>
    <w:rsid w:val="00D57A19"/>
    <w:rsid w:val="00D57C91"/>
    <w:rsid w:val="00D57CC9"/>
    <w:rsid w:val="00D6000D"/>
    <w:rsid w:val="00D6018D"/>
    <w:rsid w:val="00D601DA"/>
    <w:rsid w:val="00D60508"/>
    <w:rsid w:val="00D60756"/>
    <w:rsid w:val="00D6088B"/>
    <w:rsid w:val="00D60911"/>
    <w:rsid w:val="00D60925"/>
    <w:rsid w:val="00D615C7"/>
    <w:rsid w:val="00D61A31"/>
    <w:rsid w:val="00D61B4E"/>
    <w:rsid w:val="00D61B9E"/>
    <w:rsid w:val="00D61C0D"/>
    <w:rsid w:val="00D62142"/>
    <w:rsid w:val="00D62566"/>
    <w:rsid w:val="00D62859"/>
    <w:rsid w:val="00D6346E"/>
    <w:rsid w:val="00D6361C"/>
    <w:rsid w:val="00D636C3"/>
    <w:rsid w:val="00D63E69"/>
    <w:rsid w:val="00D6412E"/>
    <w:rsid w:val="00D643B5"/>
    <w:rsid w:val="00D64563"/>
    <w:rsid w:val="00D64572"/>
    <w:rsid w:val="00D6546E"/>
    <w:rsid w:val="00D654C6"/>
    <w:rsid w:val="00D65623"/>
    <w:rsid w:val="00D65E16"/>
    <w:rsid w:val="00D65E38"/>
    <w:rsid w:val="00D66A11"/>
    <w:rsid w:val="00D66BA2"/>
    <w:rsid w:val="00D670FC"/>
    <w:rsid w:val="00D67185"/>
    <w:rsid w:val="00D672E6"/>
    <w:rsid w:val="00D6732F"/>
    <w:rsid w:val="00D675A7"/>
    <w:rsid w:val="00D6761F"/>
    <w:rsid w:val="00D67634"/>
    <w:rsid w:val="00D67837"/>
    <w:rsid w:val="00D67875"/>
    <w:rsid w:val="00D679DD"/>
    <w:rsid w:val="00D67D0A"/>
    <w:rsid w:val="00D70001"/>
    <w:rsid w:val="00D701BD"/>
    <w:rsid w:val="00D7024B"/>
    <w:rsid w:val="00D7080F"/>
    <w:rsid w:val="00D70A03"/>
    <w:rsid w:val="00D70D96"/>
    <w:rsid w:val="00D70E47"/>
    <w:rsid w:val="00D710E2"/>
    <w:rsid w:val="00D72065"/>
    <w:rsid w:val="00D721B6"/>
    <w:rsid w:val="00D72366"/>
    <w:rsid w:val="00D731FB"/>
    <w:rsid w:val="00D7354C"/>
    <w:rsid w:val="00D741EC"/>
    <w:rsid w:val="00D742B3"/>
    <w:rsid w:val="00D7470E"/>
    <w:rsid w:val="00D74829"/>
    <w:rsid w:val="00D751C7"/>
    <w:rsid w:val="00D75788"/>
    <w:rsid w:val="00D7591B"/>
    <w:rsid w:val="00D75C95"/>
    <w:rsid w:val="00D75D3D"/>
    <w:rsid w:val="00D75FE3"/>
    <w:rsid w:val="00D769FC"/>
    <w:rsid w:val="00D770EB"/>
    <w:rsid w:val="00D77141"/>
    <w:rsid w:val="00D773C6"/>
    <w:rsid w:val="00D778DC"/>
    <w:rsid w:val="00D77EEB"/>
    <w:rsid w:val="00D800F7"/>
    <w:rsid w:val="00D80260"/>
    <w:rsid w:val="00D806FE"/>
    <w:rsid w:val="00D80A1A"/>
    <w:rsid w:val="00D80C60"/>
    <w:rsid w:val="00D80EAB"/>
    <w:rsid w:val="00D810EC"/>
    <w:rsid w:val="00D81600"/>
    <w:rsid w:val="00D81649"/>
    <w:rsid w:val="00D81A4F"/>
    <w:rsid w:val="00D81A63"/>
    <w:rsid w:val="00D822AF"/>
    <w:rsid w:val="00D82339"/>
    <w:rsid w:val="00D82476"/>
    <w:rsid w:val="00D8248F"/>
    <w:rsid w:val="00D828B6"/>
    <w:rsid w:val="00D83398"/>
    <w:rsid w:val="00D8395E"/>
    <w:rsid w:val="00D83BC0"/>
    <w:rsid w:val="00D83D8B"/>
    <w:rsid w:val="00D83F5A"/>
    <w:rsid w:val="00D8414D"/>
    <w:rsid w:val="00D84156"/>
    <w:rsid w:val="00D843C6"/>
    <w:rsid w:val="00D84534"/>
    <w:rsid w:val="00D847F4"/>
    <w:rsid w:val="00D84DFC"/>
    <w:rsid w:val="00D84FA8"/>
    <w:rsid w:val="00D85350"/>
    <w:rsid w:val="00D8535E"/>
    <w:rsid w:val="00D853A3"/>
    <w:rsid w:val="00D85AD0"/>
    <w:rsid w:val="00D86181"/>
    <w:rsid w:val="00D86316"/>
    <w:rsid w:val="00D86328"/>
    <w:rsid w:val="00D866D3"/>
    <w:rsid w:val="00D86EFB"/>
    <w:rsid w:val="00D86F0F"/>
    <w:rsid w:val="00D87525"/>
    <w:rsid w:val="00D875BB"/>
    <w:rsid w:val="00D87A02"/>
    <w:rsid w:val="00D87AE4"/>
    <w:rsid w:val="00D87EF1"/>
    <w:rsid w:val="00D904AC"/>
    <w:rsid w:val="00D907A1"/>
    <w:rsid w:val="00D90B00"/>
    <w:rsid w:val="00D90DF6"/>
    <w:rsid w:val="00D90F36"/>
    <w:rsid w:val="00D90FDB"/>
    <w:rsid w:val="00D91944"/>
    <w:rsid w:val="00D9248A"/>
    <w:rsid w:val="00D92959"/>
    <w:rsid w:val="00D93023"/>
    <w:rsid w:val="00D937E0"/>
    <w:rsid w:val="00D939E0"/>
    <w:rsid w:val="00D94429"/>
    <w:rsid w:val="00D94485"/>
    <w:rsid w:val="00D94543"/>
    <w:rsid w:val="00D945C8"/>
    <w:rsid w:val="00D94730"/>
    <w:rsid w:val="00D947E9"/>
    <w:rsid w:val="00D948C2"/>
    <w:rsid w:val="00D94AB1"/>
    <w:rsid w:val="00D94B75"/>
    <w:rsid w:val="00D94E52"/>
    <w:rsid w:val="00D9522A"/>
    <w:rsid w:val="00D957F7"/>
    <w:rsid w:val="00D95B60"/>
    <w:rsid w:val="00D95BED"/>
    <w:rsid w:val="00D95C15"/>
    <w:rsid w:val="00D9612A"/>
    <w:rsid w:val="00D96564"/>
    <w:rsid w:val="00D965B2"/>
    <w:rsid w:val="00D9665A"/>
    <w:rsid w:val="00D966EC"/>
    <w:rsid w:val="00D968F2"/>
    <w:rsid w:val="00D96A4D"/>
    <w:rsid w:val="00D96C11"/>
    <w:rsid w:val="00D9737B"/>
    <w:rsid w:val="00D97948"/>
    <w:rsid w:val="00D97E47"/>
    <w:rsid w:val="00DA01FB"/>
    <w:rsid w:val="00DA0407"/>
    <w:rsid w:val="00DA0409"/>
    <w:rsid w:val="00DA0463"/>
    <w:rsid w:val="00DA0B66"/>
    <w:rsid w:val="00DA0CB4"/>
    <w:rsid w:val="00DA0DEE"/>
    <w:rsid w:val="00DA0FFB"/>
    <w:rsid w:val="00DA1149"/>
    <w:rsid w:val="00DA124F"/>
    <w:rsid w:val="00DA152B"/>
    <w:rsid w:val="00DA174C"/>
    <w:rsid w:val="00DA1A03"/>
    <w:rsid w:val="00DA1DCE"/>
    <w:rsid w:val="00DA207A"/>
    <w:rsid w:val="00DA20C8"/>
    <w:rsid w:val="00DA27DA"/>
    <w:rsid w:val="00DA3294"/>
    <w:rsid w:val="00DA45FF"/>
    <w:rsid w:val="00DA47F2"/>
    <w:rsid w:val="00DA54EF"/>
    <w:rsid w:val="00DA5786"/>
    <w:rsid w:val="00DA5B26"/>
    <w:rsid w:val="00DA5C9E"/>
    <w:rsid w:val="00DA60F3"/>
    <w:rsid w:val="00DA629E"/>
    <w:rsid w:val="00DA6777"/>
    <w:rsid w:val="00DA6B4C"/>
    <w:rsid w:val="00DA7168"/>
    <w:rsid w:val="00DA76D9"/>
    <w:rsid w:val="00DA7867"/>
    <w:rsid w:val="00DA7E89"/>
    <w:rsid w:val="00DB00B7"/>
    <w:rsid w:val="00DB00D8"/>
    <w:rsid w:val="00DB02D8"/>
    <w:rsid w:val="00DB0975"/>
    <w:rsid w:val="00DB0C40"/>
    <w:rsid w:val="00DB0CCA"/>
    <w:rsid w:val="00DB0F0E"/>
    <w:rsid w:val="00DB1095"/>
    <w:rsid w:val="00DB10BD"/>
    <w:rsid w:val="00DB1362"/>
    <w:rsid w:val="00DB1434"/>
    <w:rsid w:val="00DB1464"/>
    <w:rsid w:val="00DB1BD1"/>
    <w:rsid w:val="00DB23A1"/>
    <w:rsid w:val="00DB28FF"/>
    <w:rsid w:val="00DB2FB0"/>
    <w:rsid w:val="00DB33DF"/>
    <w:rsid w:val="00DB33E3"/>
    <w:rsid w:val="00DB3602"/>
    <w:rsid w:val="00DB4FCD"/>
    <w:rsid w:val="00DB5681"/>
    <w:rsid w:val="00DB5FD1"/>
    <w:rsid w:val="00DB60D8"/>
    <w:rsid w:val="00DB63D0"/>
    <w:rsid w:val="00DB63FF"/>
    <w:rsid w:val="00DB65B1"/>
    <w:rsid w:val="00DB686D"/>
    <w:rsid w:val="00DB6EDD"/>
    <w:rsid w:val="00DB71B0"/>
    <w:rsid w:val="00DB738F"/>
    <w:rsid w:val="00DB73C4"/>
    <w:rsid w:val="00DB7479"/>
    <w:rsid w:val="00DB7CB2"/>
    <w:rsid w:val="00DC0384"/>
    <w:rsid w:val="00DC0421"/>
    <w:rsid w:val="00DC0C55"/>
    <w:rsid w:val="00DC0DCF"/>
    <w:rsid w:val="00DC1CFA"/>
    <w:rsid w:val="00DC1DB7"/>
    <w:rsid w:val="00DC2FA4"/>
    <w:rsid w:val="00DC3884"/>
    <w:rsid w:val="00DC39E3"/>
    <w:rsid w:val="00DC3F69"/>
    <w:rsid w:val="00DC428A"/>
    <w:rsid w:val="00DC42B0"/>
    <w:rsid w:val="00DC430B"/>
    <w:rsid w:val="00DC4430"/>
    <w:rsid w:val="00DC447D"/>
    <w:rsid w:val="00DC46D8"/>
    <w:rsid w:val="00DC4D8C"/>
    <w:rsid w:val="00DC50B0"/>
    <w:rsid w:val="00DC5192"/>
    <w:rsid w:val="00DC53C2"/>
    <w:rsid w:val="00DC5A3A"/>
    <w:rsid w:val="00DC5D07"/>
    <w:rsid w:val="00DC6080"/>
    <w:rsid w:val="00DC6087"/>
    <w:rsid w:val="00DC608D"/>
    <w:rsid w:val="00DC66DF"/>
    <w:rsid w:val="00DC684A"/>
    <w:rsid w:val="00DC6C9B"/>
    <w:rsid w:val="00DC6EB3"/>
    <w:rsid w:val="00DC7625"/>
    <w:rsid w:val="00DC7640"/>
    <w:rsid w:val="00DC7736"/>
    <w:rsid w:val="00DC774D"/>
    <w:rsid w:val="00DC7C28"/>
    <w:rsid w:val="00DC7DFD"/>
    <w:rsid w:val="00DC7E04"/>
    <w:rsid w:val="00DD05EE"/>
    <w:rsid w:val="00DD09D3"/>
    <w:rsid w:val="00DD0B62"/>
    <w:rsid w:val="00DD0E1F"/>
    <w:rsid w:val="00DD12AB"/>
    <w:rsid w:val="00DD137E"/>
    <w:rsid w:val="00DD1B0E"/>
    <w:rsid w:val="00DD2149"/>
    <w:rsid w:val="00DD2962"/>
    <w:rsid w:val="00DD2981"/>
    <w:rsid w:val="00DD2B2D"/>
    <w:rsid w:val="00DD3256"/>
    <w:rsid w:val="00DD3270"/>
    <w:rsid w:val="00DD3554"/>
    <w:rsid w:val="00DD35D7"/>
    <w:rsid w:val="00DD35F8"/>
    <w:rsid w:val="00DD3AA2"/>
    <w:rsid w:val="00DD3B71"/>
    <w:rsid w:val="00DD3C50"/>
    <w:rsid w:val="00DD3C90"/>
    <w:rsid w:val="00DD410E"/>
    <w:rsid w:val="00DD48BD"/>
    <w:rsid w:val="00DD4DA9"/>
    <w:rsid w:val="00DD5087"/>
    <w:rsid w:val="00DD582F"/>
    <w:rsid w:val="00DD58D7"/>
    <w:rsid w:val="00DD5E8D"/>
    <w:rsid w:val="00DD653C"/>
    <w:rsid w:val="00DD661A"/>
    <w:rsid w:val="00DD6872"/>
    <w:rsid w:val="00DD713B"/>
    <w:rsid w:val="00DD74A9"/>
    <w:rsid w:val="00DD777C"/>
    <w:rsid w:val="00DE0584"/>
    <w:rsid w:val="00DE0679"/>
    <w:rsid w:val="00DE06F7"/>
    <w:rsid w:val="00DE0A0F"/>
    <w:rsid w:val="00DE0BEB"/>
    <w:rsid w:val="00DE151F"/>
    <w:rsid w:val="00DE163E"/>
    <w:rsid w:val="00DE1663"/>
    <w:rsid w:val="00DE184F"/>
    <w:rsid w:val="00DE2329"/>
    <w:rsid w:val="00DE245B"/>
    <w:rsid w:val="00DE245C"/>
    <w:rsid w:val="00DE2A1E"/>
    <w:rsid w:val="00DE2DF9"/>
    <w:rsid w:val="00DE3286"/>
    <w:rsid w:val="00DE3373"/>
    <w:rsid w:val="00DE36EE"/>
    <w:rsid w:val="00DE3931"/>
    <w:rsid w:val="00DE3A13"/>
    <w:rsid w:val="00DE3F7F"/>
    <w:rsid w:val="00DE4090"/>
    <w:rsid w:val="00DE4121"/>
    <w:rsid w:val="00DE41DB"/>
    <w:rsid w:val="00DE48BD"/>
    <w:rsid w:val="00DE49C4"/>
    <w:rsid w:val="00DE4CCC"/>
    <w:rsid w:val="00DE512B"/>
    <w:rsid w:val="00DE5680"/>
    <w:rsid w:val="00DE5713"/>
    <w:rsid w:val="00DE5BDB"/>
    <w:rsid w:val="00DE60DF"/>
    <w:rsid w:val="00DE638D"/>
    <w:rsid w:val="00DE6552"/>
    <w:rsid w:val="00DE65AC"/>
    <w:rsid w:val="00DE6A99"/>
    <w:rsid w:val="00DE6B52"/>
    <w:rsid w:val="00DE6FD6"/>
    <w:rsid w:val="00DE70A4"/>
    <w:rsid w:val="00DE7175"/>
    <w:rsid w:val="00DE765D"/>
    <w:rsid w:val="00DE7664"/>
    <w:rsid w:val="00DE7774"/>
    <w:rsid w:val="00DE7932"/>
    <w:rsid w:val="00DF0794"/>
    <w:rsid w:val="00DF084D"/>
    <w:rsid w:val="00DF0A6A"/>
    <w:rsid w:val="00DF1576"/>
    <w:rsid w:val="00DF1606"/>
    <w:rsid w:val="00DF1879"/>
    <w:rsid w:val="00DF1942"/>
    <w:rsid w:val="00DF1B24"/>
    <w:rsid w:val="00DF1FE8"/>
    <w:rsid w:val="00DF20A7"/>
    <w:rsid w:val="00DF23A1"/>
    <w:rsid w:val="00DF2629"/>
    <w:rsid w:val="00DF3004"/>
    <w:rsid w:val="00DF31EF"/>
    <w:rsid w:val="00DF3CD2"/>
    <w:rsid w:val="00DF3DDB"/>
    <w:rsid w:val="00DF3F2A"/>
    <w:rsid w:val="00DF4E6D"/>
    <w:rsid w:val="00DF52F2"/>
    <w:rsid w:val="00DF53B7"/>
    <w:rsid w:val="00DF5495"/>
    <w:rsid w:val="00DF5715"/>
    <w:rsid w:val="00DF577D"/>
    <w:rsid w:val="00DF5BA4"/>
    <w:rsid w:val="00DF5D20"/>
    <w:rsid w:val="00DF5D28"/>
    <w:rsid w:val="00DF6257"/>
    <w:rsid w:val="00DF6494"/>
    <w:rsid w:val="00DF65B4"/>
    <w:rsid w:val="00DF67CC"/>
    <w:rsid w:val="00DF6B04"/>
    <w:rsid w:val="00DF6C2B"/>
    <w:rsid w:val="00DF6F7A"/>
    <w:rsid w:val="00DF7013"/>
    <w:rsid w:val="00DF74AD"/>
    <w:rsid w:val="00DF75E6"/>
    <w:rsid w:val="00DF793A"/>
    <w:rsid w:val="00DF79C8"/>
    <w:rsid w:val="00DF7BA6"/>
    <w:rsid w:val="00DF7C00"/>
    <w:rsid w:val="00E00116"/>
    <w:rsid w:val="00E001A4"/>
    <w:rsid w:val="00E00275"/>
    <w:rsid w:val="00E005FB"/>
    <w:rsid w:val="00E008F9"/>
    <w:rsid w:val="00E0122C"/>
    <w:rsid w:val="00E01FD0"/>
    <w:rsid w:val="00E02280"/>
    <w:rsid w:val="00E024BD"/>
    <w:rsid w:val="00E0287B"/>
    <w:rsid w:val="00E02949"/>
    <w:rsid w:val="00E02BC8"/>
    <w:rsid w:val="00E02C66"/>
    <w:rsid w:val="00E0323F"/>
    <w:rsid w:val="00E03386"/>
    <w:rsid w:val="00E034DE"/>
    <w:rsid w:val="00E034EA"/>
    <w:rsid w:val="00E0362D"/>
    <w:rsid w:val="00E0369F"/>
    <w:rsid w:val="00E03751"/>
    <w:rsid w:val="00E03A23"/>
    <w:rsid w:val="00E03DFD"/>
    <w:rsid w:val="00E04174"/>
    <w:rsid w:val="00E04294"/>
    <w:rsid w:val="00E04295"/>
    <w:rsid w:val="00E04459"/>
    <w:rsid w:val="00E04932"/>
    <w:rsid w:val="00E05010"/>
    <w:rsid w:val="00E0516D"/>
    <w:rsid w:val="00E0532E"/>
    <w:rsid w:val="00E05860"/>
    <w:rsid w:val="00E062A9"/>
    <w:rsid w:val="00E064EB"/>
    <w:rsid w:val="00E069A1"/>
    <w:rsid w:val="00E06DC4"/>
    <w:rsid w:val="00E074A4"/>
    <w:rsid w:val="00E076F7"/>
    <w:rsid w:val="00E07889"/>
    <w:rsid w:val="00E07DE2"/>
    <w:rsid w:val="00E1015B"/>
    <w:rsid w:val="00E104D2"/>
    <w:rsid w:val="00E104F7"/>
    <w:rsid w:val="00E1077F"/>
    <w:rsid w:val="00E107FF"/>
    <w:rsid w:val="00E10963"/>
    <w:rsid w:val="00E10AC0"/>
    <w:rsid w:val="00E112E9"/>
    <w:rsid w:val="00E11BEA"/>
    <w:rsid w:val="00E11E20"/>
    <w:rsid w:val="00E12157"/>
    <w:rsid w:val="00E12472"/>
    <w:rsid w:val="00E124DC"/>
    <w:rsid w:val="00E12999"/>
    <w:rsid w:val="00E134BA"/>
    <w:rsid w:val="00E13A41"/>
    <w:rsid w:val="00E13A48"/>
    <w:rsid w:val="00E13AC8"/>
    <w:rsid w:val="00E13C30"/>
    <w:rsid w:val="00E1414A"/>
    <w:rsid w:val="00E1434C"/>
    <w:rsid w:val="00E14379"/>
    <w:rsid w:val="00E144AA"/>
    <w:rsid w:val="00E146A0"/>
    <w:rsid w:val="00E148DF"/>
    <w:rsid w:val="00E14929"/>
    <w:rsid w:val="00E14940"/>
    <w:rsid w:val="00E14B0D"/>
    <w:rsid w:val="00E151D1"/>
    <w:rsid w:val="00E15580"/>
    <w:rsid w:val="00E15677"/>
    <w:rsid w:val="00E15714"/>
    <w:rsid w:val="00E15D5B"/>
    <w:rsid w:val="00E15D7C"/>
    <w:rsid w:val="00E162F2"/>
    <w:rsid w:val="00E16A7D"/>
    <w:rsid w:val="00E16E3B"/>
    <w:rsid w:val="00E16FD6"/>
    <w:rsid w:val="00E17A52"/>
    <w:rsid w:val="00E17DB6"/>
    <w:rsid w:val="00E17E2B"/>
    <w:rsid w:val="00E201FC"/>
    <w:rsid w:val="00E20779"/>
    <w:rsid w:val="00E20974"/>
    <w:rsid w:val="00E20A61"/>
    <w:rsid w:val="00E20BD4"/>
    <w:rsid w:val="00E2121F"/>
    <w:rsid w:val="00E21308"/>
    <w:rsid w:val="00E217BD"/>
    <w:rsid w:val="00E21E46"/>
    <w:rsid w:val="00E21E67"/>
    <w:rsid w:val="00E2209B"/>
    <w:rsid w:val="00E2233C"/>
    <w:rsid w:val="00E22517"/>
    <w:rsid w:val="00E225E3"/>
    <w:rsid w:val="00E22B91"/>
    <w:rsid w:val="00E231C4"/>
    <w:rsid w:val="00E2370F"/>
    <w:rsid w:val="00E23B08"/>
    <w:rsid w:val="00E23E79"/>
    <w:rsid w:val="00E2437D"/>
    <w:rsid w:val="00E243BA"/>
    <w:rsid w:val="00E248AC"/>
    <w:rsid w:val="00E24E60"/>
    <w:rsid w:val="00E24F08"/>
    <w:rsid w:val="00E250C0"/>
    <w:rsid w:val="00E251D8"/>
    <w:rsid w:val="00E258B0"/>
    <w:rsid w:val="00E25938"/>
    <w:rsid w:val="00E25B6B"/>
    <w:rsid w:val="00E261E0"/>
    <w:rsid w:val="00E2634A"/>
    <w:rsid w:val="00E2694D"/>
    <w:rsid w:val="00E2699A"/>
    <w:rsid w:val="00E26C02"/>
    <w:rsid w:val="00E26CD8"/>
    <w:rsid w:val="00E27568"/>
    <w:rsid w:val="00E275E7"/>
    <w:rsid w:val="00E275F4"/>
    <w:rsid w:val="00E27F10"/>
    <w:rsid w:val="00E300F6"/>
    <w:rsid w:val="00E30A43"/>
    <w:rsid w:val="00E30BDF"/>
    <w:rsid w:val="00E30D61"/>
    <w:rsid w:val="00E313A9"/>
    <w:rsid w:val="00E318AA"/>
    <w:rsid w:val="00E3191C"/>
    <w:rsid w:val="00E31E2F"/>
    <w:rsid w:val="00E31EE0"/>
    <w:rsid w:val="00E3272B"/>
    <w:rsid w:val="00E32B39"/>
    <w:rsid w:val="00E32B47"/>
    <w:rsid w:val="00E32C3E"/>
    <w:rsid w:val="00E32C61"/>
    <w:rsid w:val="00E32CBC"/>
    <w:rsid w:val="00E32EEC"/>
    <w:rsid w:val="00E33932"/>
    <w:rsid w:val="00E33955"/>
    <w:rsid w:val="00E33B1F"/>
    <w:rsid w:val="00E33F3A"/>
    <w:rsid w:val="00E343BA"/>
    <w:rsid w:val="00E34869"/>
    <w:rsid w:val="00E34CF6"/>
    <w:rsid w:val="00E34DF0"/>
    <w:rsid w:val="00E35271"/>
    <w:rsid w:val="00E355C9"/>
    <w:rsid w:val="00E359FE"/>
    <w:rsid w:val="00E35AED"/>
    <w:rsid w:val="00E35BAE"/>
    <w:rsid w:val="00E3631C"/>
    <w:rsid w:val="00E363D7"/>
    <w:rsid w:val="00E365B5"/>
    <w:rsid w:val="00E36835"/>
    <w:rsid w:val="00E368AD"/>
    <w:rsid w:val="00E36994"/>
    <w:rsid w:val="00E372EF"/>
    <w:rsid w:val="00E37341"/>
    <w:rsid w:val="00E373BA"/>
    <w:rsid w:val="00E37D9B"/>
    <w:rsid w:val="00E401B7"/>
    <w:rsid w:val="00E40316"/>
    <w:rsid w:val="00E40477"/>
    <w:rsid w:val="00E40A72"/>
    <w:rsid w:val="00E40C3F"/>
    <w:rsid w:val="00E40CF5"/>
    <w:rsid w:val="00E40D57"/>
    <w:rsid w:val="00E40EB3"/>
    <w:rsid w:val="00E41172"/>
    <w:rsid w:val="00E413D2"/>
    <w:rsid w:val="00E41480"/>
    <w:rsid w:val="00E4251E"/>
    <w:rsid w:val="00E42972"/>
    <w:rsid w:val="00E43147"/>
    <w:rsid w:val="00E43423"/>
    <w:rsid w:val="00E43581"/>
    <w:rsid w:val="00E4361E"/>
    <w:rsid w:val="00E4379A"/>
    <w:rsid w:val="00E43BCD"/>
    <w:rsid w:val="00E448E0"/>
    <w:rsid w:val="00E44944"/>
    <w:rsid w:val="00E44A5A"/>
    <w:rsid w:val="00E44E2C"/>
    <w:rsid w:val="00E44E6E"/>
    <w:rsid w:val="00E44E84"/>
    <w:rsid w:val="00E45109"/>
    <w:rsid w:val="00E4510D"/>
    <w:rsid w:val="00E458D8"/>
    <w:rsid w:val="00E45DE5"/>
    <w:rsid w:val="00E46AB0"/>
    <w:rsid w:val="00E46C22"/>
    <w:rsid w:val="00E47B19"/>
    <w:rsid w:val="00E47CE6"/>
    <w:rsid w:val="00E47D5C"/>
    <w:rsid w:val="00E47DCD"/>
    <w:rsid w:val="00E501EB"/>
    <w:rsid w:val="00E50BAE"/>
    <w:rsid w:val="00E50C72"/>
    <w:rsid w:val="00E50FB4"/>
    <w:rsid w:val="00E51171"/>
    <w:rsid w:val="00E51192"/>
    <w:rsid w:val="00E51510"/>
    <w:rsid w:val="00E51612"/>
    <w:rsid w:val="00E51999"/>
    <w:rsid w:val="00E52052"/>
    <w:rsid w:val="00E520F6"/>
    <w:rsid w:val="00E52B0F"/>
    <w:rsid w:val="00E52C1F"/>
    <w:rsid w:val="00E52C20"/>
    <w:rsid w:val="00E52D38"/>
    <w:rsid w:val="00E52F74"/>
    <w:rsid w:val="00E530F0"/>
    <w:rsid w:val="00E53196"/>
    <w:rsid w:val="00E532C8"/>
    <w:rsid w:val="00E532EC"/>
    <w:rsid w:val="00E5345F"/>
    <w:rsid w:val="00E53BC0"/>
    <w:rsid w:val="00E53D19"/>
    <w:rsid w:val="00E540B7"/>
    <w:rsid w:val="00E54136"/>
    <w:rsid w:val="00E54345"/>
    <w:rsid w:val="00E5465A"/>
    <w:rsid w:val="00E54A68"/>
    <w:rsid w:val="00E54BFA"/>
    <w:rsid w:val="00E551EE"/>
    <w:rsid w:val="00E5553B"/>
    <w:rsid w:val="00E55853"/>
    <w:rsid w:val="00E55A2D"/>
    <w:rsid w:val="00E55FC0"/>
    <w:rsid w:val="00E5628E"/>
    <w:rsid w:val="00E56384"/>
    <w:rsid w:val="00E56D7B"/>
    <w:rsid w:val="00E57031"/>
    <w:rsid w:val="00E57462"/>
    <w:rsid w:val="00E578ED"/>
    <w:rsid w:val="00E57C20"/>
    <w:rsid w:val="00E60006"/>
    <w:rsid w:val="00E604B8"/>
    <w:rsid w:val="00E60915"/>
    <w:rsid w:val="00E60A88"/>
    <w:rsid w:val="00E60D6E"/>
    <w:rsid w:val="00E60DBF"/>
    <w:rsid w:val="00E61380"/>
    <w:rsid w:val="00E61813"/>
    <w:rsid w:val="00E61878"/>
    <w:rsid w:val="00E62191"/>
    <w:rsid w:val="00E6285B"/>
    <w:rsid w:val="00E628E0"/>
    <w:rsid w:val="00E62937"/>
    <w:rsid w:val="00E62965"/>
    <w:rsid w:val="00E62B21"/>
    <w:rsid w:val="00E62F85"/>
    <w:rsid w:val="00E63387"/>
    <w:rsid w:val="00E633B1"/>
    <w:rsid w:val="00E63446"/>
    <w:rsid w:val="00E63490"/>
    <w:rsid w:val="00E6356D"/>
    <w:rsid w:val="00E635C5"/>
    <w:rsid w:val="00E6376F"/>
    <w:rsid w:val="00E6394F"/>
    <w:rsid w:val="00E639A4"/>
    <w:rsid w:val="00E63E8B"/>
    <w:rsid w:val="00E63F69"/>
    <w:rsid w:val="00E63FF7"/>
    <w:rsid w:val="00E648CD"/>
    <w:rsid w:val="00E64951"/>
    <w:rsid w:val="00E64AE5"/>
    <w:rsid w:val="00E65747"/>
    <w:rsid w:val="00E65B68"/>
    <w:rsid w:val="00E66069"/>
    <w:rsid w:val="00E66324"/>
    <w:rsid w:val="00E66387"/>
    <w:rsid w:val="00E669BC"/>
    <w:rsid w:val="00E66AAC"/>
    <w:rsid w:val="00E66D37"/>
    <w:rsid w:val="00E66D9C"/>
    <w:rsid w:val="00E66E53"/>
    <w:rsid w:val="00E675DD"/>
    <w:rsid w:val="00E67BD2"/>
    <w:rsid w:val="00E67C78"/>
    <w:rsid w:val="00E67FA5"/>
    <w:rsid w:val="00E70285"/>
    <w:rsid w:val="00E70C1A"/>
    <w:rsid w:val="00E70D59"/>
    <w:rsid w:val="00E7139F"/>
    <w:rsid w:val="00E71567"/>
    <w:rsid w:val="00E71891"/>
    <w:rsid w:val="00E71909"/>
    <w:rsid w:val="00E7202F"/>
    <w:rsid w:val="00E722EB"/>
    <w:rsid w:val="00E72325"/>
    <w:rsid w:val="00E7282F"/>
    <w:rsid w:val="00E729AB"/>
    <w:rsid w:val="00E72B23"/>
    <w:rsid w:val="00E73340"/>
    <w:rsid w:val="00E73478"/>
    <w:rsid w:val="00E73714"/>
    <w:rsid w:val="00E7387B"/>
    <w:rsid w:val="00E738CA"/>
    <w:rsid w:val="00E73AEE"/>
    <w:rsid w:val="00E73AF1"/>
    <w:rsid w:val="00E73BC9"/>
    <w:rsid w:val="00E73C4B"/>
    <w:rsid w:val="00E73E96"/>
    <w:rsid w:val="00E741A1"/>
    <w:rsid w:val="00E742BB"/>
    <w:rsid w:val="00E74618"/>
    <w:rsid w:val="00E7492F"/>
    <w:rsid w:val="00E75213"/>
    <w:rsid w:val="00E752E5"/>
    <w:rsid w:val="00E75829"/>
    <w:rsid w:val="00E7590F"/>
    <w:rsid w:val="00E75A66"/>
    <w:rsid w:val="00E75D81"/>
    <w:rsid w:val="00E75DD2"/>
    <w:rsid w:val="00E76035"/>
    <w:rsid w:val="00E76274"/>
    <w:rsid w:val="00E76276"/>
    <w:rsid w:val="00E76370"/>
    <w:rsid w:val="00E76842"/>
    <w:rsid w:val="00E769D1"/>
    <w:rsid w:val="00E76B6B"/>
    <w:rsid w:val="00E76D01"/>
    <w:rsid w:val="00E76DA9"/>
    <w:rsid w:val="00E76FCF"/>
    <w:rsid w:val="00E7705F"/>
    <w:rsid w:val="00E774FB"/>
    <w:rsid w:val="00E7763A"/>
    <w:rsid w:val="00E77B83"/>
    <w:rsid w:val="00E77DFE"/>
    <w:rsid w:val="00E8029E"/>
    <w:rsid w:val="00E80343"/>
    <w:rsid w:val="00E807C3"/>
    <w:rsid w:val="00E80850"/>
    <w:rsid w:val="00E80AAA"/>
    <w:rsid w:val="00E81177"/>
    <w:rsid w:val="00E813E7"/>
    <w:rsid w:val="00E81453"/>
    <w:rsid w:val="00E815C0"/>
    <w:rsid w:val="00E8160E"/>
    <w:rsid w:val="00E8169F"/>
    <w:rsid w:val="00E81B94"/>
    <w:rsid w:val="00E81EFD"/>
    <w:rsid w:val="00E8268B"/>
    <w:rsid w:val="00E8298F"/>
    <w:rsid w:val="00E82AFF"/>
    <w:rsid w:val="00E83531"/>
    <w:rsid w:val="00E8382E"/>
    <w:rsid w:val="00E83CC2"/>
    <w:rsid w:val="00E83FCF"/>
    <w:rsid w:val="00E8401A"/>
    <w:rsid w:val="00E84095"/>
    <w:rsid w:val="00E843CB"/>
    <w:rsid w:val="00E84581"/>
    <w:rsid w:val="00E84893"/>
    <w:rsid w:val="00E849CB"/>
    <w:rsid w:val="00E84A56"/>
    <w:rsid w:val="00E85587"/>
    <w:rsid w:val="00E857C1"/>
    <w:rsid w:val="00E85E09"/>
    <w:rsid w:val="00E85E0D"/>
    <w:rsid w:val="00E8625E"/>
    <w:rsid w:val="00E866FB"/>
    <w:rsid w:val="00E869F8"/>
    <w:rsid w:val="00E86C78"/>
    <w:rsid w:val="00E87045"/>
    <w:rsid w:val="00E8727E"/>
    <w:rsid w:val="00E87640"/>
    <w:rsid w:val="00E87AA7"/>
    <w:rsid w:val="00E87F24"/>
    <w:rsid w:val="00E87F43"/>
    <w:rsid w:val="00E90178"/>
    <w:rsid w:val="00E90310"/>
    <w:rsid w:val="00E90727"/>
    <w:rsid w:val="00E9074A"/>
    <w:rsid w:val="00E90B5E"/>
    <w:rsid w:val="00E90DCB"/>
    <w:rsid w:val="00E90F79"/>
    <w:rsid w:val="00E9123A"/>
    <w:rsid w:val="00E9138E"/>
    <w:rsid w:val="00E913B6"/>
    <w:rsid w:val="00E91670"/>
    <w:rsid w:val="00E91A5C"/>
    <w:rsid w:val="00E91F2A"/>
    <w:rsid w:val="00E92435"/>
    <w:rsid w:val="00E92711"/>
    <w:rsid w:val="00E92E15"/>
    <w:rsid w:val="00E92E65"/>
    <w:rsid w:val="00E92FDF"/>
    <w:rsid w:val="00E9325B"/>
    <w:rsid w:val="00E932A7"/>
    <w:rsid w:val="00E93585"/>
    <w:rsid w:val="00E937CE"/>
    <w:rsid w:val="00E94019"/>
    <w:rsid w:val="00E94146"/>
    <w:rsid w:val="00E942CA"/>
    <w:rsid w:val="00E94610"/>
    <w:rsid w:val="00E946BE"/>
    <w:rsid w:val="00E946E1"/>
    <w:rsid w:val="00E94A46"/>
    <w:rsid w:val="00E94AF8"/>
    <w:rsid w:val="00E95335"/>
    <w:rsid w:val="00E9541B"/>
    <w:rsid w:val="00E95A4A"/>
    <w:rsid w:val="00E95C93"/>
    <w:rsid w:val="00E9623A"/>
    <w:rsid w:val="00E96488"/>
    <w:rsid w:val="00E966FB"/>
    <w:rsid w:val="00E96941"/>
    <w:rsid w:val="00E96A4E"/>
    <w:rsid w:val="00E96AAD"/>
    <w:rsid w:val="00E96DF6"/>
    <w:rsid w:val="00E96F89"/>
    <w:rsid w:val="00E97486"/>
    <w:rsid w:val="00E97594"/>
    <w:rsid w:val="00E97608"/>
    <w:rsid w:val="00E9763F"/>
    <w:rsid w:val="00E976F7"/>
    <w:rsid w:val="00E9771D"/>
    <w:rsid w:val="00E9779E"/>
    <w:rsid w:val="00E97EBC"/>
    <w:rsid w:val="00EA008D"/>
    <w:rsid w:val="00EA00F8"/>
    <w:rsid w:val="00EA03F0"/>
    <w:rsid w:val="00EA0806"/>
    <w:rsid w:val="00EA0F97"/>
    <w:rsid w:val="00EA11F2"/>
    <w:rsid w:val="00EA1870"/>
    <w:rsid w:val="00EA1948"/>
    <w:rsid w:val="00EA1F2F"/>
    <w:rsid w:val="00EA1F8D"/>
    <w:rsid w:val="00EA1FE7"/>
    <w:rsid w:val="00EA20C8"/>
    <w:rsid w:val="00EA2144"/>
    <w:rsid w:val="00EA21B8"/>
    <w:rsid w:val="00EA2382"/>
    <w:rsid w:val="00EA26A5"/>
    <w:rsid w:val="00EA2BDB"/>
    <w:rsid w:val="00EA2CA6"/>
    <w:rsid w:val="00EA2DC3"/>
    <w:rsid w:val="00EA2DD5"/>
    <w:rsid w:val="00EA2F57"/>
    <w:rsid w:val="00EA2F81"/>
    <w:rsid w:val="00EA322A"/>
    <w:rsid w:val="00EA3991"/>
    <w:rsid w:val="00EA3A1F"/>
    <w:rsid w:val="00EA3DAD"/>
    <w:rsid w:val="00EA411D"/>
    <w:rsid w:val="00EA42B7"/>
    <w:rsid w:val="00EA4732"/>
    <w:rsid w:val="00EA47AB"/>
    <w:rsid w:val="00EA47FD"/>
    <w:rsid w:val="00EA4B57"/>
    <w:rsid w:val="00EA5084"/>
    <w:rsid w:val="00EA519A"/>
    <w:rsid w:val="00EA53FA"/>
    <w:rsid w:val="00EA557D"/>
    <w:rsid w:val="00EA5598"/>
    <w:rsid w:val="00EA56FE"/>
    <w:rsid w:val="00EA577F"/>
    <w:rsid w:val="00EA5A25"/>
    <w:rsid w:val="00EA5AF3"/>
    <w:rsid w:val="00EA5C97"/>
    <w:rsid w:val="00EA635D"/>
    <w:rsid w:val="00EA63C2"/>
    <w:rsid w:val="00EA698F"/>
    <w:rsid w:val="00EA69BB"/>
    <w:rsid w:val="00EA7722"/>
    <w:rsid w:val="00EA7FBA"/>
    <w:rsid w:val="00EB0185"/>
    <w:rsid w:val="00EB08C5"/>
    <w:rsid w:val="00EB0FFA"/>
    <w:rsid w:val="00EB1168"/>
    <w:rsid w:val="00EB148E"/>
    <w:rsid w:val="00EB1A63"/>
    <w:rsid w:val="00EB1EF6"/>
    <w:rsid w:val="00EB22E0"/>
    <w:rsid w:val="00EB2531"/>
    <w:rsid w:val="00EB26FC"/>
    <w:rsid w:val="00EB2905"/>
    <w:rsid w:val="00EB3026"/>
    <w:rsid w:val="00EB3A25"/>
    <w:rsid w:val="00EB3AB3"/>
    <w:rsid w:val="00EB3BD6"/>
    <w:rsid w:val="00EB3F70"/>
    <w:rsid w:val="00EB43CF"/>
    <w:rsid w:val="00EB479B"/>
    <w:rsid w:val="00EB49F9"/>
    <w:rsid w:val="00EB4A9F"/>
    <w:rsid w:val="00EB4CF3"/>
    <w:rsid w:val="00EB4EB0"/>
    <w:rsid w:val="00EB4FDB"/>
    <w:rsid w:val="00EB511F"/>
    <w:rsid w:val="00EB52EA"/>
    <w:rsid w:val="00EB57C6"/>
    <w:rsid w:val="00EB596B"/>
    <w:rsid w:val="00EB5A16"/>
    <w:rsid w:val="00EB5A3D"/>
    <w:rsid w:val="00EB62D6"/>
    <w:rsid w:val="00EB660C"/>
    <w:rsid w:val="00EB6AA4"/>
    <w:rsid w:val="00EB6BF7"/>
    <w:rsid w:val="00EC0ECF"/>
    <w:rsid w:val="00EC122C"/>
    <w:rsid w:val="00EC193A"/>
    <w:rsid w:val="00EC19DD"/>
    <w:rsid w:val="00EC1A7D"/>
    <w:rsid w:val="00EC1ED8"/>
    <w:rsid w:val="00EC2042"/>
    <w:rsid w:val="00EC2C34"/>
    <w:rsid w:val="00EC2DCD"/>
    <w:rsid w:val="00EC2F06"/>
    <w:rsid w:val="00EC31DE"/>
    <w:rsid w:val="00EC32D4"/>
    <w:rsid w:val="00EC3A11"/>
    <w:rsid w:val="00EC3C89"/>
    <w:rsid w:val="00EC3CC3"/>
    <w:rsid w:val="00EC42C5"/>
    <w:rsid w:val="00EC4305"/>
    <w:rsid w:val="00EC49B4"/>
    <w:rsid w:val="00EC4B33"/>
    <w:rsid w:val="00EC5671"/>
    <w:rsid w:val="00EC60C0"/>
    <w:rsid w:val="00EC60C8"/>
    <w:rsid w:val="00EC6249"/>
    <w:rsid w:val="00EC63EF"/>
    <w:rsid w:val="00EC6470"/>
    <w:rsid w:val="00EC6685"/>
    <w:rsid w:val="00EC68C9"/>
    <w:rsid w:val="00EC6FCF"/>
    <w:rsid w:val="00EC75F9"/>
    <w:rsid w:val="00ED0032"/>
    <w:rsid w:val="00ED0194"/>
    <w:rsid w:val="00ED01F6"/>
    <w:rsid w:val="00ED0A72"/>
    <w:rsid w:val="00ED0E93"/>
    <w:rsid w:val="00ED0EA5"/>
    <w:rsid w:val="00ED0FEF"/>
    <w:rsid w:val="00ED12B4"/>
    <w:rsid w:val="00ED1667"/>
    <w:rsid w:val="00ED16FE"/>
    <w:rsid w:val="00ED1AE1"/>
    <w:rsid w:val="00ED1BBE"/>
    <w:rsid w:val="00ED20D9"/>
    <w:rsid w:val="00ED241D"/>
    <w:rsid w:val="00ED24A8"/>
    <w:rsid w:val="00ED254E"/>
    <w:rsid w:val="00ED259A"/>
    <w:rsid w:val="00ED2611"/>
    <w:rsid w:val="00ED27DF"/>
    <w:rsid w:val="00ED2839"/>
    <w:rsid w:val="00ED2D5E"/>
    <w:rsid w:val="00ED3389"/>
    <w:rsid w:val="00ED3404"/>
    <w:rsid w:val="00ED38F9"/>
    <w:rsid w:val="00ED3A0B"/>
    <w:rsid w:val="00ED45A8"/>
    <w:rsid w:val="00ED467C"/>
    <w:rsid w:val="00ED4E37"/>
    <w:rsid w:val="00ED548C"/>
    <w:rsid w:val="00ED5690"/>
    <w:rsid w:val="00ED570B"/>
    <w:rsid w:val="00ED5E89"/>
    <w:rsid w:val="00ED601C"/>
    <w:rsid w:val="00ED64D4"/>
    <w:rsid w:val="00ED64EA"/>
    <w:rsid w:val="00ED661D"/>
    <w:rsid w:val="00ED67F6"/>
    <w:rsid w:val="00ED6ACC"/>
    <w:rsid w:val="00ED6AF3"/>
    <w:rsid w:val="00ED701F"/>
    <w:rsid w:val="00ED736D"/>
    <w:rsid w:val="00ED7491"/>
    <w:rsid w:val="00ED753C"/>
    <w:rsid w:val="00ED7574"/>
    <w:rsid w:val="00ED78D9"/>
    <w:rsid w:val="00ED7E6D"/>
    <w:rsid w:val="00EE0216"/>
    <w:rsid w:val="00EE0B50"/>
    <w:rsid w:val="00EE15CC"/>
    <w:rsid w:val="00EE1796"/>
    <w:rsid w:val="00EE194B"/>
    <w:rsid w:val="00EE25CA"/>
    <w:rsid w:val="00EE2706"/>
    <w:rsid w:val="00EE2DF3"/>
    <w:rsid w:val="00EE3164"/>
    <w:rsid w:val="00EE3216"/>
    <w:rsid w:val="00EE33D5"/>
    <w:rsid w:val="00EE34D9"/>
    <w:rsid w:val="00EE3615"/>
    <w:rsid w:val="00EE3680"/>
    <w:rsid w:val="00EE37A1"/>
    <w:rsid w:val="00EE3CAE"/>
    <w:rsid w:val="00EE4044"/>
    <w:rsid w:val="00EE41F1"/>
    <w:rsid w:val="00EE444E"/>
    <w:rsid w:val="00EE491B"/>
    <w:rsid w:val="00EE4E7A"/>
    <w:rsid w:val="00EE4F1B"/>
    <w:rsid w:val="00EE50C1"/>
    <w:rsid w:val="00EE539C"/>
    <w:rsid w:val="00EE55A5"/>
    <w:rsid w:val="00EE56AA"/>
    <w:rsid w:val="00EE57AE"/>
    <w:rsid w:val="00EE57B8"/>
    <w:rsid w:val="00EE62F9"/>
    <w:rsid w:val="00EE660E"/>
    <w:rsid w:val="00EE6775"/>
    <w:rsid w:val="00EE6C2B"/>
    <w:rsid w:val="00EE70FC"/>
    <w:rsid w:val="00EE732B"/>
    <w:rsid w:val="00EE7462"/>
    <w:rsid w:val="00EE7567"/>
    <w:rsid w:val="00EE758A"/>
    <w:rsid w:val="00EE76A8"/>
    <w:rsid w:val="00EE7811"/>
    <w:rsid w:val="00EF0000"/>
    <w:rsid w:val="00EF04EE"/>
    <w:rsid w:val="00EF0857"/>
    <w:rsid w:val="00EF0B2D"/>
    <w:rsid w:val="00EF0D5E"/>
    <w:rsid w:val="00EF0EFD"/>
    <w:rsid w:val="00EF0FA7"/>
    <w:rsid w:val="00EF1274"/>
    <w:rsid w:val="00EF1509"/>
    <w:rsid w:val="00EF1620"/>
    <w:rsid w:val="00EF1807"/>
    <w:rsid w:val="00EF1810"/>
    <w:rsid w:val="00EF1BD0"/>
    <w:rsid w:val="00EF21A5"/>
    <w:rsid w:val="00EF22DC"/>
    <w:rsid w:val="00EF2708"/>
    <w:rsid w:val="00EF2763"/>
    <w:rsid w:val="00EF276B"/>
    <w:rsid w:val="00EF2FB2"/>
    <w:rsid w:val="00EF328D"/>
    <w:rsid w:val="00EF331B"/>
    <w:rsid w:val="00EF333A"/>
    <w:rsid w:val="00EF337C"/>
    <w:rsid w:val="00EF367D"/>
    <w:rsid w:val="00EF36D8"/>
    <w:rsid w:val="00EF3A58"/>
    <w:rsid w:val="00EF4223"/>
    <w:rsid w:val="00EF4409"/>
    <w:rsid w:val="00EF45FB"/>
    <w:rsid w:val="00EF4A48"/>
    <w:rsid w:val="00EF4D59"/>
    <w:rsid w:val="00EF4DFD"/>
    <w:rsid w:val="00EF51BE"/>
    <w:rsid w:val="00EF534C"/>
    <w:rsid w:val="00EF5371"/>
    <w:rsid w:val="00EF5546"/>
    <w:rsid w:val="00EF5621"/>
    <w:rsid w:val="00EF5850"/>
    <w:rsid w:val="00EF5AD8"/>
    <w:rsid w:val="00EF611C"/>
    <w:rsid w:val="00EF6693"/>
    <w:rsid w:val="00EF685D"/>
    <w:rsid w:val="00EF6B8A"/>
    <w:rsid w:val="00EF6F62"/>
    <w:rsid w:val="00EF6FCC"/>
    <w:rsid w:val="00EF7362"/>
    <w:rsid w:val="00EF7630"/>
    <w:rsid w:val="00EF7712"/>
    <w:rsid w:val="00EF7853"/>
    <w:rsid w:val="00EF7F29"/>
    <w:rsid w:val="00EFC864"/>
    <w:rsid w:val="00F00277"/>
    <w:rsid w:val="00F004F5"/>
    <w:rsid w:val="00F00987"/>
    <w:rsid w:val="00F00DF1"/>
    <w:rsid w:val="00F01057"/>
    <w:rsid w:val="00F0105F"/>
    <w:rsid w:val="00F01153"/>
    <w:rsid w:val="00F01368"/>
    <w:rsid w:val="00F0146F"/>
    <w:rsid w:val="00F018A4"/>
    <w:rsid w:val="00F01B77"/>
    <w:rsid w:val="00F02341"/>
    <w:rsid w:val="00F026F9"/>
    <w:rsid w:val="00F02801"/>
    <w:rsid w:val="00F02A2B"/>
    <w:rsid w:val="00F02B74"/>
    <w:rsid w:val="00F02DCF"/>
    <w:rsid w:val="00F0312F"/>
    <w:rsid w:val="00F03185"/>
    <w:rsid w:val="00F033C7"/>
    <w:rsid w:val="00F039E3"/>
    <w:rsid w:val="00F039EA"/>
    <w:rsid w:val="00F03C3B"/>
    <w:rsid w:val="00F040C5"/>
    <w:rsid w:val="00F04270"/>
    <w:rsid w:val="00F04FD9"/>
    <w:rsid w:val="00F0515D"/>
    <w:rsid w:val="00F053EE"/>
    <w:rsid w:val="00F05897"/>
    <w:rsid w:val="00F059EE"/>
    <w:rsid w:val="00F05D93"/>
    <w:rsid w:val="00F06345"/>
    <w:rsid w:val="00F064E0"/>
    <w:rsid w:val="00F065AB"/>
    <w:rsid w:val="00F069DB"/>
    <w:rsid w:val="00F06C0C"/>
    <w:rsid w:val="00F06DB7"/>
    <w:rsid w:val="00F0700E"/>
    <w:rsid w:val="00F0718B"/>
    <w:rsid w:val="00F076C3"/>
    <w:rsid w:val="00F079EC"/>
    <w:rsid w:val="00F07C04"/>
    <w:rsid w:val="00F07E0E"/>
    <w:rsid w:val="00F102F9"/>
    <w:rsid w:val="00F10568"/>
    <w:rsid w:val="00F10993"/>
    <w:rsid w:val="00F10C7A"/>
    <w:rsid w:val="00F10DBA"/>
    <w:rsid w:val="00F10ED1"/>
    <w:rsid w:val="00F10F7A"/>
    <w:rsid w:val="00F11259"/>
    <w:rsid w:val="00F117B0"/>
    <w:rsid w:val="00F11ACA"/>
    <w:rsid w:val="00F1208B"/>
    <w:rsid w:val="00F120BD"/>
    <w:rsid w:val="00F12684"/>
    <w:rsid w:val="00F12ABF"/>
    <w:rsid w:val="00F12B52"/>
    <w:rsid w:val="00F1305F"/>
    <w:rsid w:val="00F133C7"/>
    <w:rsid w:val="00F1371D"/>
    <w:rsid w:val="00F13934"/>
    <w:rsid w:val="00F13A0E"/>
    <w:rsid w:val="00F13A1C"/>
    <w:rsid w:val="00F13A31"/>
    <w:rsid w:val="00F13E61"/>
    <w:rsid w:val="00F140B9"/>
    <w:rsid w:val="00F1418D"/>
    <w:rsid w:val="00F142BB"/>
    <w:rsid w:val="00F150F7"/>
    <w:rsid w:val="00F151D5"/>
    <w:rsid w:val="00F15DBE"/>
    <w:rsid w:val="00F15F66"/>
    <w:rsid w:val="00F1624A"/>
    <w:rsid w:val="00F164F3"/>
    <w:rsid w:val="00F17389"/>
    <w:rsid w:val="00F17570"/>
    <w:rsid w:val="00F178EA"/>
    <w:rsid w:val="00F17918"/>
    <w:rsid w:val="00F179D7"/>
    <w:rsid w:val="00F17B36"/>
    <w:rsid w:val="00F2025B"/>
    <w:rsid w:val="00F2046F"/>
    <w:rsid w:val="00F204C6"/>
    <w:rsid w:val="00F205E2"/>
    <w:rsid w:val="00F208AB"/>
    <w:rsid w:val="00F209C0"/>
    <w:rsid w:val="00F20BD6"/>
    <w:rsid w:val="00F20DFA"/>
    <w:rsid w:val="00F2203A"/>
    <w:rsid w:val="00F22653"/>
    <w:rsid w:val="00F22FCA"/>
    <w:rsid w:val="00F236EE"/>
    <w:rsid w:val="00F23830"/>
    <w:rsid w:val="00F238D2"/>
    <w:rsid w:val="00F23AF1"/>
    <w:rsid w:val="00F244E9"/>
    <w:rsid w:val="00F24635"/>
    <w:rsid w:val="00F24D71"/>
    <w:rsid w:val="00F24F95"/>
    <w:rsid w:val="00F25111"/>
    <w:rsid w:val="00F251A4"/>
    <w:rsid w:val="00F2525A"/>
    <w:rsid w:val="00F252D8"/>
    <w:rsid w:val="00F252F1"/>
    <w:rsid w:val="00F2545F"/>
    <w:rsid w:val="00F257E5"/>
    <w:rsid w:val="00F25FDC"/>
    <w:rsid w:val="00F26312"/>
    <w:rsid w:val="00F26386"/>
    <w:rsid w:val="00F265EA"/>
    <w:rsid w:val="00F26676"/>
    <w:rsid w:val="00F2696A"/>
    <w:rsid w:val="00F26A8C"/>
    <w:rsid w:val="00F26B72"/>
    <w:rsid w:val="00F27230"/>
    <w:rsid w:val="00F274F2"/>
    <w:rsid w:val="00F279CD"/>
    <w:rsid w:val="00F27A1B"/>
    <w:rsid w:val="00F3005C"/>
    <w:rsid w:val="00F30A9F"/>
    <w:rsid w:val="00F30E62"/>
    <w:rsid w:val="00F30FF7"/>
    <w:rsid w:val="00F3188F"/>
    <w:rsid w:val="00F31914"/>
    <w:rsid w:val="00F320EF"/>
    <w:rsid w:val="00F322F6"/>
    <w:rsid w:val="00F3253C"/>
    <w:rsid w:val="00F33095"/>
    <w:rsid w:val="00F330FA"/>
    <w:rsid w:val="00F33391"/>
    <w:rsid w:val="00F33460"/>
    <w:rsid w:val="00F33AAF"/>
    <w:rsid w:val="00F33F1B"/>
    <w:rsid w:val="00F342CB"/>
    <w:rsid w:val="00F34357"/>
    <w:rsid w:val="00F34577"/>
    <w:rsid w:val="00F34BC9"/>
    <w:rsid w:val="00F34FE1"/>
    <w:rsid w:val="00F354BF"/>
    <w:rsid w:val="00F3581D"/>
    <w:rsid w:val="00F363D7"/>
    <w:rsid w:val="00F36866"/>
    <w:rsid w:val="00F36997"/>
    <w:rsid w:val="00F36ABA"/>
    <w:rsid w:val="00F36BC8"/>
    <w:rsid w:val="00F36C53"/>
    <w:rsid w:val="00F36E27"/>
    <w:rsid w:val="00F37372"/>
    <w:rsid w:val="00F37448"/>
    <w:rsid w:val="00F379DD"/>
    <w:rsid w:val="00F37D82"/>
    <w:rsid w:val="00F37F17"/>
    <w:rsid w:val="00F37FEE"/>
    <w:rsid w:val="00F40233"/>
    <w:rsid w:val="00F402C2"/>
    <w:rsid w:val="00F409DF"/>
    <w:rsid w:val="00F40E9F"/>
    <w:rsid w:val="00F40F76"/>
    <w:rsid w:val="00F415C3"/>
    <w:rsid w:val="00F416C2"/>
    <w:rsid w:val="00F418E8"/>
    <w:rsid w:val="00F418F4"/>
    <w:rsid w:val="00F41B92"/>
    <w:rsid w:val="00F41DA8"/>
    <w:rsid w:val="00F41EC5"/>
    <w:rsid w:val="00F424A0"/>
    <w:rsid w:val="00F4258E"/>
    <w:rsid w:val="00F425E7"/>
    <w:rsid w:val="00F42785"/>
    <w:rsid w:val="00F42835"/>
    <w:rsid w:val="00F431B5"/>
    <w:rsid w:val="00F437FA"/>
    <w:rsid w:val="00F43C53"/>
    <w:rsid w:val="00F43FD3"/>
    <w:rsid w:val="00F4400A"/>
    <w:rsid w:val="00F44106"/>
    <w:rsid w:val="00F449B8"/>
    <w:rsid w:val="00F44A06"/>
    <w:rsid w:val="00F44EB5"/>
    <w:rsid w:val="00F4503F"/>
    <w:rsid w:val="00F45187"/>
    <w:rsid w:val="00F453C4"/>
    <w:rsid w:val="00F45600"/>
    <w:rsid w:val="00F456AD"/>
    <w:rsid w:val="00F45C7A"/>
    <w:rsid w:val="00F45F7E"/>
    <w:rsid w:val="00F461DF"/>
    <w:rsid w:val="00F46623"/>
    <w:rsid w:val="00F46D6F"/>
    <w:rsid w:val="00F46DA5"/>
    <w:rsid w:val="00F46E3E"/>
    <w:rsid w:val="00F46F30"/>
    <w:rsid w:val="00F47168"/>
    <w:rsid w:val="00F47295"/>
    <w:rsid w:val="00F474C7"/>
    <w:rsid w:val="00F47A17"/>
    <w:rsid w:val="00F5005D"/>
    <w:rsid w:val="00F5011B"/>
    <w:rsid w:val="00F50831"/>
    <w:rsid w:val="00F5090D"/>
    <w:rsid w:val="00F50BDB"/>
    <w:rsid w:val="00F50FE0"/>
    <w:rsid w:val="00F515B3"/>
    <w:rsid w:val="00F51605"/>
    <w:rsid w:val="00F51707"/>
    <w:rsid w:val="00F517CA"/>
    <w:rsid w:val="00F51A74"/>
    <w:rsid w:val="00F51AD4"/>
    <w:rsid w:val="00F51B10"/>
    <w:rsid w:val="00F51F45"/>
    <w:rsid w:val="00F5278E"/>
    <w:rsid w:val="00F5296B"/>
    <w:rsid w:val="00F52C9C"/>
    <w:rsid w:val="00F52DBA"/>
    <w:rsid w:val="00F53139"/>
    <w:rsid w:val="00F53377"/>
    <w:rsid w:val="00F53378"/>
    <w:rsid w:val="00F5338C"/>
    <w:rsid w:val="00F537CB"/>
    <w:rsid w:val="00F538A2"/>
    <w:rsid w:val="00F53F6F"/>
    <w:rsid w:val="00F5454B"/>
    <w:rsid w:val="00F548D3"/>
    <w:rsid w:val="00F54D5D"/>
    <w:rsid w:val="00F55657"/>
    <w:rsid w:val="00F558C0"/>
    <w:rsid w:val="00F55AD1"/>
    <w:rsid w:val="00F55CDD"/>
    <w:rsid w:val="00F55FE9"/>
    <w:rsid w:val="00F5629E"/>
    <w:rsid w:val="00F56562"/>
    <w:rsid w:val="00F565FA"/>
    <w:rsid w:val="00F566DF"/>
    <w:rsid w:val="00F567E5"/>
    <w:rsid w:val="00F56A80"/>
    <w:rsid w:val="00F56BC2"/>
    <w:rsid w:val="00F56DAD"/>
    <w:rsid w:val="00F575DA"/>
    <w:rsid w:val="00F57A4D"/>
    <w:rsid w:val="00F57D44"/>
    <w:rsid w:val="00F57DC7"/>
    <w:rsid w:val="00F57DD9"/>
    <w:rsid w:val="00F57EC2"/>
    <w:rsid w:val="00F57F08"/>
    <w:rsid w:val="00F57F48"/>
    <w:rsid w:val="00F60156"/>
    <w:rsid w:val="00F602D0"/>
    <w:rsid w:val="00F61595"/>
    <w:rsid w:val="00F6159C"/>
    <w:rsid w:val="00F61A1B"/>
    <w:rsid w:val="00F61F58"/>
    <w:rsid w:val="00F62262"/>
    <w:rsid w:val="00F625B5"/>
    <w:rsid w:val="00F626F4"/>
    <w:rsid w:val="00F63130"/>
    <w:rsid w:val="00F63288"/>
    <w:rsid w:val="00F6339A"/>
    <w:rsid w:val="00F63A7C"/>
    <w:rsid w:val="00F63B85"/>
    <w:rsid w:val="00F63BB4"/>
    <w:rsid w:val="00F63E1A"/>
    <w:rsid w:val="00F64C8C"/>
    <w:rsid w:val="00F64D2A"/>
    <w:rsid w:val="00F64FA5"/>
    <w:rsid w:val="00F659DC"/>
    <w:rsid w:val="00F65B2C"/>
    <w:rsid w:val="00F65DC8"/>
    <w:rsid w:val="00F65E81"/>
    <w:rsid w:val="00F65FD4"/>
    <w:rsid w:val="00F662CF"/>
    <w:rsid w:val="00F6630B"/>
    <w:rsid w:val="00F667D2"/>
    <w:rsid w:val="00F66811"/>
    <w:rsid w:val="00F6682A"/>
    <w:rsid w:val="00F66A96"/>
    <w:rsid w:val="00F67121"/>
    <w:rsid w:val="00F6731E"/>
    <w:rsid w:val="00F67D83"/>
    <w:rsid w:val="00F67DFC"/>
    <w:rsid w:val="00F705BF"/>
    <w:rsid w:val="00F70A09"/>
    <w:rsid w:val="00F70A35"/>
    <w:rsid w:val="00F70E51"/>
    <w:rsid w:val="00F70FAC"/>
    <w:rsid w:val="00F710B2"/>
    <w:rsid w:val="00F71133"/>
    <w:rsid w:val="00F712F3"/>
    <w:rsid w:val="00F71433"/>
    <w:rsid w:val="00F714A4"/>
    <w:rsid w:val="00F71650"/>
    <w:rsid w:val="00F71B27"/>
    <w:rsid w:val="00F71B6B"/>
    <w:rsid w:val="00F71C77"/>
    <w:rsid w:val="00F71E45"/>
    <w:rsid w:val="00F71FB3"/>
    <w:rsid w:val="00F72478"/>
    <w:rsid w:val="00F7252A"/>
    <w:rsid w:val="00F7293E"/>
    <w:rsid w:val="00F72F53"/>
    <w:rsid w:val="00F73459"/>
    <w:rsid w:val="00F73C68"/>
    <w:rsid w:val="00F740F4"/>
    <w:rsid w:val="00F74174"/>
    <w:rsid w:val="00F74213"/>
    <w:rsid w:val="00F742F5"/>
    <w:rsid w:val="00F7430E"/>
    <w:rsid w:val="00F74349"/>
    <w:rsid w:val="00F749CA"/>
    <w:rsid w:val="00F752E0"/>
    <w:rsid w:val="00F75686"/>
    <w:rsid w:val="00F75CB3"/>
    <w:rsid w:val="00F75F4D"/>
    <w:rsid w:val="00F7615B"/>
    <w:rsid w:val="00F76D60"/>
    <w:rsid w:val="00F76F67"/>
    <w:rsid w:val="00F76FC9"/>
    <w:rsid w:val="00F77286"/>
    <w:rsid w:val="00F7773F"/>
    <w:rsid w:val="00F778FD"/>
    <w:rsid w:val="00F77C0F"/>
    <w:rsid w:val="00F77C23"/>
    <w:rsid w:val="00F77CA5"/>
    <w:rsid w:val="00F77F7E"/>
    <w:rsid w:val="00F8005F"/>
    <w:rsid w:val="00F80085"/>
    <w:rsid w:val="00F8040E"/>
    <w:rsid w:val="00F806E0"/>
    <w:rsid w:val="00F808DB"/>
    <w:rsid w:val="00F81037"/>
    <w:rsid w:val="00F8148F"/>
    <w:rsid w:val="00F8169E"/>
    <w:rsid w:val="00F817C9"/>
    <w:rsid w:val="00F81DB0"/>
    <w:rsid w:val="00F8218F"/>
    <w:rsid w:val="00F821BD"/>
    <w:rsid w:val="00F825A0"/>
    <w:rsid w:val="00F82A65"/>
    <w:rsid w:val="00F8358D"/>
    <w:rsid w:val="00F839C5"/>
    <w:rsid w:val="00F83B99"/>
    <w:rsid w:val="00F84033"/>
    <w:rsid w:val="00F841A5"/>
    <w:rsid w:val="00F8423A"/>
    <w:rsid w:val="00F84551"/>
    <w:rsid w:val="00F84DE9"/>
    <w:rsid w:val="00F84E13"/>
    <w:rsid w:val="00F84EDC"/>
    <w:rsid w:val="00F8536E"/>
    <w:rsid w:val="00F85A14"/>
    <w:rsid w:val="00F85CCE"/>
    <w:rsid w:val="00F85F08"/>
    <w:rsid w:val="00F86109"/>
    <w:rsid w:val="00F8612C"/>
    <w:rsid w:val="00F86301"/>
    <w:rsid w:val="00F864F0"/>
    <w:rsid w:val="00F86803"/>
    <w:rsid w:val="00F86C27"/>
    <w:rsid w:val="00F86DA3"/>
    <w:rsid w:val="00F86E04"/>
    <w:rsid w:val="00F87315"/>
    <w:rsid w:val="00F87497"/>
    <w:rsid w:val="00F87602"/>
    <w:rsid w:val="00F87733"/>
    <w:rsid w:val="00F878E7"/>
    <w:rsid w:val="00F879F5"/>
    <w:rsid w:val="00F87E6C"/>
    <w:rsid w:val="00F87FAF"/>
    <w:rsid w:val="00F87FF2"/>
    <w:rsid w:val="00F900D8"/>
    <w:rsid w:val="00F901EE"/>
    <w:rsid w:val="00F904FB"/>
    <w:rsid w:val="00F9050E"/>
    <w:rsid w:val="00F908D8"/>
    <w:rsid w:val="00F909B8"/>
    <w:rsid w:val="00F90C50"/>
    <w:rsid w:val="00F90CC7"/>
    <w:rsid w:val="00F90FAF"/>
    <w:rsid w:val="00F9114E"/>
    <w:rsid w:val="00F911AA"/>
    <w:rsid w:val="00F9124B"/>
    <w:rsid w:val="00F91636"/>
    <w:rsid w:val="00F917BC"/>
    <w:rsid w:val="00F9181D"/>
    <w:rsid w:val="00F91D06"/>
    <w:rsid w:val="00F91E34"/>
    <w:rsid w:val="00F922AE"/>
    <w:rsid w:val="00F92628"/>
    <w:rsid w:val="00F92B94"/>
    <w:rsid w:val="00F92D16"/>
    <w:rsid w:val="00F92E5D"/>
    <w:rsid w:val="00F92FF8"/>
    <w:rsid w:val="00F93280"/>
    <w:rsid w:val="00F93844"/>
    <w:rsid w:val="00F93AB6"/>
    <w:rsid w:val="00F93E2A"/>
    <w:rsid w:val="00F942B6"/>
    <w:rsid w:val="00F942CE"/>
    <w:rsid w:val="00F9435B"/>
    <w:rsid w:val="00F94835"/>
    <w:rsid w:val="00F94862"/>
    <w:rsid w:val="00F94C64"/>
    <w:rsid w:val="00F9502A"/>
    <w:rsid w:val="00F952CD"/>
    <w:rsid w:val="00F953DE"/>
    <w:rsid w:val="00F95647"/>
    <w:rsid w:val="00F957DA"/>
    <w:rsid w:val="00F95B97"/>
    <w:rsid w:val="00F95C14"/>
    <w:rsid w:val="00F95E93"/>
    <w:rsid w:val="00F965CD"/>
    <w:rsid w:val="00F96891"/>
    <w:rsid w:val="00F96AD7"/>
    <w:rsid w:val="00F97625"/>
    <w:rsid w:val="00F9764C"/>
    <w:rsid w:val="00F97799"/>
    <w:rsid w:val="00F97BEF"/>
    <w:rsid w:val="00F97C76"/>
    <w:rsid w:val="00FA0700"/>
    <w:rsid w:val="00FA0730"/>
    <w:rsid w:val="00FA0B4D"/>
    <w:rsid w:val="00FA0B8A"/>
    <w:rsid w:val="00FA1084"/>
    <w:rsid w:val="00FA17D4"/>
    <w:rsid w:val="00FA183C"/>
    <w:rsid w:val="00FA1FDE"/>
    <w:rsid w:val="00FA1FF9"/>
    <w:rsid w:val="00FA2302"/>
    <w:rsid w:val="00FA26C2"/>
    <w:rsid w:val="00FA2869"/>
    <w:rsid w:val="00FA2AE6"/>
    <w:rsid w:val="00FA2B1B"/>
    <w:rsid w:val="00FA2E0A"/>
    <w:rsid w:val="00FA2EF5"/>
    <w:rsid w:val="00FA3437"/>
    <w:rsid w:val="00FA3B62"/>
    <w:rsid w:val="00FA3C19"/>
    <w:rsid w:val="00FA3C2C"/>
    <w:rsid w:val="00FA3CAD"/>
    <w:rsid w:val="00FA432A"/>
    <w:rsid w:val="00FA4343"/>
    <w:rsid w:val="00FA4690"/>
    <w:rsid w:val="00FA47ED"/>
    <w:rsid w:val="00FA4927"/>
    <w:rsid w:val="00FA4BB6"/>
    <w:rsid w:val="00FA4CB3"/>
    <w:rsid w:val="00FA4DA3"/>
    <w:rsid w:val="00FA4F4D"/>
    <w:rsid w:val="00FA4FD7"/>
    <w:rsid w:val="00FA6917"/>
    <w:rsid w:val="00FA6ACD"/>
    <w:rsid w:val="00FA6B73"/>
    <w:rsid w:val="00FA7015"/>
    <w:rsid w:val="00FA742D"/>
    <w:rsid w:val="00FA77A2"/>
    <w:rsid w:val="00FA77C5"/>
    <w:rsid w:val="00FA7A52"/>
    <w:rsid w:val="00FA7EEC"/>
    <w:rsid w:val="00FB0093"/>
    <w:rsid w:val="00FB0157"/>
    <w:rsid w:val="00FB03AF"/>
    <w:rsid w:val="00FB0559"/>
    <w:rsid w:val="00FB0658"/>
    <w:rsid w:val="00FB0704"/>
    <w:rsid w:val="00FB095B"/>
    <w:rsid w:val="00FB0CA4"/>
    <w:rsid w:val="00FB10C2"/>
    <w:rsid w:val="00FB1875"/>
    <w:rsid w:val="00FB19A1"/>
    <w:rsid w:val="00FB1A51"/>
    <w:rsid w:val="00FB1B13"/>
    <w:rsid w:val="00FB1C29"/>
    <w:rsid w:val="00FB1DBF"/>
    <w:rsid w:val="00FB2435"/>
    <w:rsid w:val="00FB270B"/>
    <w:rsid w:val="00FB287F"/>
    <w:rsid w:val="00FB2B62"/>
    <w:rsid w:val="00FB3403"/>
    <w:rsid w:val="00FB389B"/>
    <w:rsid w:val="00FB3DC4"/>
    <w:rsid w:val="00FB4217"/>
    <w:rsid w:val="00FB4365"/>
    <w:rsid w:val="00FB45B3"/>
    <w:rsid w:val="00FB4ABF"/>
    <w:rsid w:val="00FB4C3E"/>
    <w:rsid w:val="00FB53C0"/>
    <w:rsid w:val="00FB5647"/>
    <w:rsid w:val="00FB5971"/>
    <w:rsid w:val="00FB5BAD"/>
    <w:rsid w:val="00FB5C5B"/>
    <w:rsid w:val="00FB6667"/>
    <w:rsid w:val="00FB6948"/>
    <w:rsid w:val="00FB747D"/>
    <w:rsid w:val="00FB755B"/>
    <w:rsid w:val="00FB76C9"/>
    <w:rsid w:val="00FB7764"/>
    <w:rsid w:val="00FC029C"/>
    <w:rsid w:val="00FC04FA"/>
    <w:rsid w:val="00FC0830"/>
    <w:rsid w:val="00FC0AAF"/>
    <w:rsid w:val="00FC10AE"/>
    <w:rsid w:val="00FC12A4"/>
    <w:rsid w:val="00FC1727"/>
    <w:rsid w:val="00FC1784"/>
    <w:rsid w:val="00FC17B0"/>
    <w:rsid w:val="00FC1B98"/>
    <w:rsid w:val="00FC1DD3"/>
    <w:rsid w:val="00FC2236"/>
    <w:rsid w:val="00FC22BB"/>
    <w:rsid w:val="00FC2B3A"/>
    <w:rsid w:val="00FC2F55"/>
    <w:rsid w:val="00FC328E"/>
    <w:rsid w:val="00FC32B2"/>
    <w:rsid w:val="00FC355E"/>
    <w:rsid w:val="00FC35ED"/>
    <w:rsid w:val="00FC38B8"/>
    <w:rsid w:val="00FC397E"/>
    <w:rsid w:val="00FC3E6F"/>
    <w:rsid w:val="00FC50C7"/>
    <w:rsid w:val="00FC5238"/>
    <w:rsid w:val="00FC55E0"/>
    <w:rsid w:val="00FC5905"/>
    <w:rsid w:val="00FC596D"/>
    <w:rsid w:val="00FC59CF"/>
    <w:rsid w:val="00FC5A90"/>
    <w:rsid w:val="00FC5C60"/>
    <w:rsid w:val="00FC5CF7"/>
    <w:rsid w:val="00FC5D28"/>
    <w:rsid w:val="00FC5EBA"/>
    <w:rsid w:val="00FC5F08"/>
    <w:rsid w:val="00FC64CD"/>
    <w:rsid w:val="00FC6710"/>
    <w:rsid w:val="00FC685A"/>
    <w:rsid w:val="00FC6A61"/>
    <w:rsid w:val="00FC6B29"/>
    <w:rsid w:val="00FC6E35"/>
    <w:rsid w:val="00FC6FA2"/>
    <w:rsid w:val="00FC7791"/>
    <w:rsid w:val="00FC7845"/>
    <w:rsid w:val="00FC7928"/>
    <w:rsid w:val="00FC79A3"/>
    <w:rsid w:val="00FC7B4E"/>
    <w:rsid w:val="00FD0011"/>
    <w:rsid w:val="00FD0338"/>
    <w:rsid w:val="00FD0371"/>
    <w:rsid w:val="00FD04D3"/>
    <w:rsid w:val="00FD0605"/>
    <w:rsid w:val="00FD0957"/>
    <w:rsid w:val="00FD09C0"/>
    <w:rsid w:val="00FD0EA8"/>
    <w:rsid w:val="00FD0F92"/>
    <w:rsid w:val="00FD110D"/>
    <w:rsid w:val="00FD16F4"/>
    <w:rsid w:val="00FD1703"/>
    <w:rsid w:val="00FD17DA"/>
    <w:rsid w:val="00FD1FF6"/>
    <w:rsid w:val="00FD22BB"/>
    <w:rsid w:val="00FD23BF"/>
    <w:rsid w:val="00FD262D"/>
    <w:rsid w:val="00FD273C"/>
    <w:rsid w:val="00FD2FEA"/>
    <w:rsid w:val="00FD321B"/>
    <w:rsid w:val="00FD3227"/>
    <w:rsid w:val="00FD325F"/>
    <w:rsid w:val="00FD3452"/>
    <w:rsid w:val="00FD3467"/>
    <w:rsid w:val="00FD372C"/>
    <w:rsid w:val="00FD37C9"/>
    <w:rsid w:val="00FD3F22"/>
    <w:rsid w:val="00FD40B9"/>
    <w:rsid w:val="00FD4195"/>
    <w:rsid w:val="00FD4497"/>
    <w:rsid w:val="00FD4A88"/>
    <w:rsid w:val="00FD5405"/>
    <w:rsid w:val="00FD5F97"/>
    <w:rsid w:val="00FD661D"/>
    <w:rsid w:val="00FD68DA"/>
    <w:rsid w:val="00FD6CEE"/>
    <w:rsid w:val="00FD6F7E"/>
    <w:rsid w:val="00FD7D5A"/>
    <w:rsid w:val="00FE0233"/>
    <w:rsid w:val="00FE037C"/>
    <w:rsid w:val="00FE07D7"/>
    <w:rsid w:val="00FE092A"/>
    <w:rsid w:val="00FE0C03"/>
    <w:rsid w:val="00FE0D8F"/>
    <w:rsid w:val="00FE0F15"/>
    <w:rsid w:val="00FE1375"/>
    <w:rsid w:val="00FE14ED"/>
    <w:rsid w:val="00FE159A"/>
    <w:rsid w:val="00FE19A1"/>
    <w:rsid w:val="00FE20AC"/>
    <w:rsid w:val="00FE21C0"/>
    <w:rsid w:val="00FE21F5"/>
    <w:rsid w:val="00FE2CED"/>
    <w:rsid w:val="00FE2E86"/>
    <w:rsid w:val="00FE3551"/>
    <w:rsid w:val="00FE3648"/>
    <w:rsid w:val="00FE3701"/>
    <w:rsid w:val="00FE3D37"/>
    <w:rsid w:val="00FE3EDF"/>
    <w:rsid w:val="00FE4691"/>
    <w:rsid w:val="00FE48F5"/>
    <w:rsid w:val="00FE4936"/>
    <w:rsid w:val="00FE4999"/>
    <w:rsid w:val="00FE4C44"/>
    <w:rsid w:val="00FE4DEC"/>
    <w:rsid w:val="00FE4E57"/>
    <w:rsid w:val="00FE4F31"/>
    <w:rsid w:val="00FE56F9"/>
    <w:rsid w:val="00FE5CF3"/>
    <w:rsid w:val="00FE5D48"/>
    <w:rsid w:val="00FE5DA6"/>
    <w:rsid w:val="00FE5FF1"/>
    <w:rsid w:val="00FE6402"/>
    <w:rsid w:val="00FE6492"/>
    <w:rsid w:val="00FE6732"/>
    <w:rsid w:val="00FE6A12"/>
    <w:rsid w:val="00FE6B65"/>
    <w:rsid w:val="00FE6C20"/>
    <w:rsid w:val="00FE6DC3"/>
    <w:rsid w:val="00FE6EBE"/>
    <w:rsid w:val="00FE71A9"/>
    <w:rsid w:val="00FE733A"/>
    <w:rsid w:val="00FE7389"/>
    <w:rsid w:val="00FE7402"/>
    <w:rsid w:val="00FF0014"/>
    <w:rsid w:val="00FF009B"/>
    <w:rsid w:val="00FF0134"/>
    <w:rsid w:val="00FF0458"/>
    <w:rsid w:val="00FF04D0"/>
    <w:rsid w:val="00FF0509"/>
    <w:rsid w:val="00FF051A"/>
    <w:rsid w:val="00FF0561"/>
    <w:rsid w:val="00FF08CC"/>
    <w:rsid w:val="00FF0AFF"/>
    <w:rsid w:val="00FF0B2C"/>
    <w:rsid w:val="00FF0BD0"/>
    <w:rsid w:val="00FF0C98"/>
    <w:rsid w:val="00FF0F9E"/>
    <w:rsid w:val="00FF1241"/>
    <w:rsid w:val="00FF1AF3"/>
    <w:rsid w:val="00FF20C0"/>
    <w:rsid w:val="00FF2886"/>
    <w:rsid w:val="00FF297A"/>
    <w:rsid w:val="00FF3278"/>
    <w:rsid w:val="00FF33CE"/>
    <w:rsid w:val="00FF3526"/>
    <w:rsid w:val="00FF374C"/>
    <w:rsid w:val="00FF398F"/>
    <w:rsid w:val="00FF40FD"/>
    <w:rsid w:val="00FF4121"/>
    <w:rsid w:val="00FF41D4"/>
    <w:rsid w:val="00FF45D3"/>
    <w:rsid w:val="00FF4B2F"/>
    <w:rsid w:val="00FF53AA"/>
    <w:rsid w:val="00FF5779"/>
    <w:rsid w:val="00FF5A38"/>
    <w:rsid w:val="00FF5E75"/>
    <w:rsid w:val="00FF61EF"/>
    <w:rsid w:val="00FF6439"/>
    <w:rsid w:val="00FF66B4"/>
    <w:rsid w:val="00FF6734"/>
    <w:rsid w:val="00FF6D1E"/>
    <w:rsid w:val="00FF70CE"/>
    <w:rsid w:val="00FF70FE"/>
    <w:rsid w:val="00FF7270"/>
    <w:rsid w:val="00FF7437"/>
    <w:rsid w:val="00FF74C1"/>
    <w:rsid w:val="00FF7C5F"/>
    <w:rsid w:val="00FF7C72"/>
    <w:rsid w:val="00FF7DC5"/>
    <w:rsid w:val="01035FBE"/>
    <w:rsid w:val="013C372D"/>
    <w:rsid w:val="014BD9B7"/>
    <w:rsid w:val="0155AE9F"/>
    <w:rsid w:val="016C4374"/>
    <w:rsid w:val="019DA52F"/>
    <w:rsid w:val="01A875E8"/>
    <w:rsid w:val="01AA8862"/>
    <w:rsid w:val="01ABE054"/>
    <w:rsid w:val="01B650E9"/>
    <w:rsid w:val="01C98F7E"/>
    <w:rsid w:val="01E47A16"/>
    <w:rsid w:val="020F616F"/>
    <w:rsid w:val="0248D460"/>
    <w:rsid w:val="024CCF80"/>
    <w:rsid w:val="02574D6C"/>
    <w:rsid w:val="02589A2A"/>
    <w:rsid w:val="0266B787"/>
    <w:rsid w:val="02735C14"/>
    <w:rsid w:val="0292D77A"/>
    <w:rsid w:val="02D9A6E0"/>
    <w:rsid w:val="02F18B71"/>
    <w:rsid w:val="02F3CA50"/>
    <w:rsid w:val="0315CE84"/>
    <w:rsid w:val="031A7ECA"/>
    <w:rsid w:val="031A8F9E"/>
    <w:rsid w:val="032C31AC"/>
    <w:rsid w:val="032F84AA"/>
    <w:rsid w:val="035B5483"/>
    <w:rsid w:val="03762553"/>
    <w:rsid w:val="03879CDA"/>
    <w:rsid w:val="038AD786"/>
    <w:rsid w:val="03B21482"/>
    <w:rsid w:val="03C39E2F"/>
    <w:rsid w:val="03C98EFB"/>
    <w:rsid w:val="043C434F"/>
    <w:rsid w:val="0457A37E"/>
    <w:rsid w:val="045C3A8E"/>
    <w:rsid w:val="046B00D7"/>
    <w:rsid w:val="048A8E87"/>
    <w:rsid w:val="04CFFE76"/>
    <w:rsid w:val="04E5EEFD"/>
    <w:rsid w:val="05122D9A"/>
    <w:rsid w:val="051284BB"/>
    <w:rsid w:val="052CB3EC"/>
    <w:rsid w:val="052D7FEE"/>
    <w:rsid w:val="054A9D1A"/>
    <w:rsid w:val="0576FC24"/>
    <w:rsid w:val="05B83456"/>
    <w:rsid w:val="05D785D5"/>
    <w:rsid w:val="05DDF975"/>
    <w:rsid w:val="05F1F39C"/>
    <w:rsid w:val="061A8D54"/>
    <w:rsid w:val="0625E95E"/>
    <w:rsid w:val="062C9CF9"/>
    <w:rsid w:val="0639CC8B"/>
    <w:rsid w:val="067C9769"/>
    <w:rsid w:val="06815F1D"/>
    <w:rsid w:val="069ED9D3"/>
    <w:rsid w:val="06B093FA"/>
    <w:rsid w:val="06DD1A23"/>
    <w:rsid w:val="072100BF"/>
    <w:rsid w:val="07822BC8"/>
    <w:rsid w:val="078A6381"/>
    <w:rsid w:val="0790FEFA"/>
    <w:rsid w:val="0796EB0B"/>
    <w:rsid w:val="07AC5A44"/>
    <w:rsid w:val="07B60D0D"/>
    <w:rsid w:val="07C698C2"/>
    <w:rsid w:val="07C6A562"/>
    <w:rsid w:val="07CA541D"/>
    <w:rsid w:val="07D290B5"/>
    <w:rsid w:val="07E916A7"/>
    <w:rsid w:val="07F990BD"/>
    <w:rsid w:val="0811C9B1"/>
    <w:rsid w:val="08204E56"/>
    <w:rsid w:val="082C809E"/>
    <w:rsid w:val="082E434F"/>
    <w:rsid w:val="08687EA2"/>
    <w:rsid w:val="087070C7"/>
    <w:rsid w:val="0871AD2E"/>
    <w:rsid w:val="08BF3EDD"/>
    <w:rsid w:val="08C9E78C"/>
    <w:rsid w:val="08DF50C5"/>
    <w:rsid w:val="08E46057"/>
    <w:rsid w:val="08FA1F44"/>
    <w:rsid w:val="091E39C4"/>
    <w:rsid w:val="091F41B8"/>
    <w:rsid w:val="095E6FAF"/>
    <w:rsid w:val="096807A2"/>
    <w:rsid w:val="0981F25A"/>
    <w:rsid w:val="09BAEF66"/>
    <w:rsid w:val="09C5BC4A"/>
    <w:rsid w:val="09E9D959"/>
    <w:rsid w:val="09FEB178"/>
    <w:rsid w:val="0A0CD7B0"/>
    <w:rsid w:val="0A1DF26D"/>
    <w:rsid w:val="0A2D8117"/>
    <w:rsid w:val="0A41524B"/>
    <w:rsid w:val="0A4171B6"/>
    <w:rsid w:val="0A4566C4"/>
    <w:rsid w:val="0A5064D0"/>
    <w:rsid w:val="0A5C69FD"/>
    <w:rsid w:val="0AE5E6FA"/>
    <w:rsid w:val="0AF3DB0B"/>
    <w:rsid w:val="0B053808"/>
    <w:rsid w:val="0B152713"/>
    <w:rsid w:val="0B3EA174"/>
    <w:rsid w:val="0B440FA4"/>
    <w:rsid w:val="0B66BD1E"/>
    <w:rsid w:val="0B6F80E5"/>
    <w:rsid w:val="0B91EC6A"/>
    <w:rsid w:val="0BA469E9"/>
    <w:rsid w:val="0BB4D028"/>
    <w:rsid w:val="0BE67B9D"/>
    <w:rsid w:val="0C462A51"/>
    <w:rsid w:val="0C4F52F8"/>
    <w:rsid w:val="0C725594"/>
    <w:rsid w:val="0C8585EB"/>
    <w:rsid w:val="0C94CF3E"/>
    <w:rsid w:val="0C9B623B"/>
    <w:rsid w:val="0CACF533"/>
    <w:rsid w:val="0CAFF7AD"/>
    <w:rsid w:val="0CB7CCD1"/>
    <w:rsid w:val="0CF3BB3D"/>
    <w:rsid w:val="0CFBD49D"/>
    <w:rsid w:val="0D1643E4"/>
    <w:rsid w:val="0D657AE2"/>
    <w:rsid w:val="0D847AD5"/>
    <w:rsid w:val="0D9A503F"/>
    <w:rsid w:val="0D9B2B7B"/>
    <w:rsid w:val="0DA3F004"/>
    <w:rsid w:val="0DA9F8F2"/>
    <w:rsid w:val="0DBB9AE1"/>
    <w:rsid w:val="0DC756BE"/>
    <w:rsid w:val="0DD21129"/>
    <w:rsid w:val="0DE6B032"/>
    <w:rsid w:val="0E112F6C"/>
    <w:rsid w:val="0E1EA49F"/>
    <w:rsid w:val="0E3747C5"/>
    <w:rsid w:val="0E3830FC"/>
    <w:rsid w:val="0E48FE0B"/>
    <w:rsid w:val="0E6205FC"/>
    <w:rsid w:val="0F080798"/>
    <w:rsid w:val="0F647B86"/>
    <w:rsid w:val="0F9E104C"/>
    <w:rsid w:val="0FC9A7E2"/>
    <w:rsid w:val="0FCCF260"/>
    <w:rsid w:val="0FEF3485"/>
    <w:rsid w:val="1007AF94"/>
    <w:rsid w:val="102A6506"/>
    <w:rsid w:val="103F2C37"/>
    <w:rsid w:val="1054E216"/>
    <w:rsid w:val="109C6E25"/>
    <w:rsid w:val="10A267EE"/>
    <w:rsid w:val="10AB1061"/>
    <w:rsid w:val="10B6710C"/>
    <w:rsid w:val="10DC3541"/>
    <w:rsid w:val="113C6E06"/>
    <w:rsid w:val="116CA4E4"/>
    <w:rsid w:val="11878DC2"/>
    <w:rsid w:val="11913879"/>
    <w:rsid w:val="11DA4BF4"/>
    <w:rsid w:val="120750EC"/>
    <w:rsid w:val="12104148"/>
    <w:rsid w:val="121B3C4A"/>
    <w:rsid w:val="12796A75"/>
    <w:rsid w:val="128661A3"/>
    <w:rsid w:val="129CF948"/>
    <w:rsid w:val="12A1FF28"/>
    <w:rsid w:val="12A4A301"/>
    <w:rsid w:val="12CCCD86"/>
    <w:rsid w:val="12EDC74B"/>
    <w:rsid w:val="12F9060D"/>
    <w:rsid w:val="137337FB"/>
    <w:rsid w:val="13B750E6"/>
    <w:rsid w:val="13E9019C"/>
    <w:rsid w:val="13F6C406"/>
    <w:rsid w:val="140C1CC7"/>
    <w:rsid w:val="143E1D67"/>
    <w:rsid w:val="14808110"/>
    <w:rsid w:val="14811446"/>
    <w:rsid w:val="148A4666"/>
    <w:rsid w:val="14988E6E"/>
    <w:rsid w:val="14BA9C3E"/>
    <w:rsid w:val="14C5D0E7"/>
    <w:rsid w:val="15048873"/>
    <w:rsid w:val="15524AEC"/>
    <w:rsid w:val="15695A3C"/>
    <w:rsid w:val="15731213"/>
    <w:rsid w:val="1576AD87"/>
    <w:rsid w:val="15ACF016"/>
    <w:rsid w:val="15B33FD8"/>
    <w:rsid w:val="15DD8230"/>
    <w:rsid w:val="15FAA63C"/>
    <w:rsid w:val="1602DBC3"/>
    <w:rsid w:val="160DE8FF"/>
    <w:rsid w:val="1623694D"/>
    <w:rsid w:val="162EAA10"/>
    <w:rsid w:val="1631B689"/>
    <w:rsid w:val="16365C6A"/>
    <w:rsid w:val="166FA107"/>
    <w:rsid w:val="167E2B82"/>
    <w:rsid w:val="1696F989"/>
    <w:rsid w:val="16A8085C"/>
    <w:rsid w:val="16C92A06"/>
    <w:rsid w:val="16D48B20"/>
    <w:rsid w:val="1719544A"/>
    <w:rsid w:val="171CE2C5"/>
    <w:rsid w:val="17399634"/>
    <w:rsid w:val="17594D48"/>
    <w:rsid w:val="176D23E5"/>
    <w:rsid w:val="180918F2"/>
    <w:rsid w:val="185271D3"/>
    <w:rsid w:val="18780F72"/>
    <w:rsid w:val="187ED9E0"/>
    <w:rsid w:val="18A26776"/>
    <w:rsid w:val="18AF583D"/>
    <w:rsid w:val="1918396E"/>
    <w:rsid w:val="19230C38"/>
    <w:rsid w:val="195AA1E6"/>
    <w:rsid w:val="195B91CB"/>
    <w:rsid w:val="1960FBA5"/>
    <w:rsid w:val="196BCFD0"/>
    <w:rsid w:val="1998CB6A"/>
    <w:rsid w:val="19A78885"/>
    <w:rsid w:val="19F1C6A8"/>
    <w:rsid w:val="1A0D3C69"/>
    <w:rsid w:val="1A1E9D1C"/>
    <w:rsid w:val="1A3065BE"/>
    <w:rsid w:val="1AD84385"/>
    <w:rsid w:val="1AFA54A7"/>
    <w:rsid w:val="1AFF5CF0"/>
    <w:rsid w:val="1B63B53D"/>
    <w:rsid w:val="1B702E53"/>
    <w:rsid w:val="1B85747A"/>
    <w:rsid w:val="1B97901A"/>
    <w:rsid w:val="1BD9C761"/>
    <w:rsid w:val="1C17B103"/>
    <w:rsid w:val="1C49B091"/>
    <w:rsid w:val="1C562642"/>
    <w:rsid w:val="1C681B8B"/>
    <w:rsid w:val="1C712066"/>
    <w:rsid w:val="1C7DB328"/>
    <w:rsid w:val="1C8D2DBD"/>
    <w:rsid w:val="1CA40168"/>
    <w:rsid w:val="1CC70D4E"/>
    <w:rsid w:val="1CC78855"/>
    <w:rsid w:val="1CEFD793"/>
    <w:rsid w:val="1D67630E"/>
    <w:rsid w:val="1D792067"/>
    <w:rsid w:val="1D7DB9C3"/>
    <w:rsid w:val="1DA41E97"/>
    <w:rsid w:val="1DCA7766"/>
    <w:rsid w:val="1DFF72A6"/>
    <w:rsid w:val="1E394C5F"/>
    <w:rsid w:val="1E4738B2"/>
    <w:rsid w:val="1E50C95D"/>
    <w:rsid w:val="1E73DCFF"/>
    <w:rsid w:val="1EA00D5A"/>
    <w:rsid w:val="1EB55970"/>
    <w:rsid w:val="1EB91C6E"/>
    <w:rsid w:val="1EBE4B80"/>
    <w:rsid w:val="1ED371EF"/>
    <w:rsid w:val="1EECF4C3"/>
    <w:rsid w:val="1F02C544"/>
    <w:rsid w:val="1F2ACCE2"/>
    <w:rsid w:val="1F2E849A"/>
    <w:rsid w:val="1F4192F0"/>
    <w:rsid w:val="1F46CC82"/>
    <w:rsid w:val="1F4A389D"/>
    <w:rsid w:val="1F584625"/>
    <w:rsid w:val="1F76B835"/>
    <w:rsid w:val="1F98CD44"/>
    <w:rsid w:val="1FAE66E5"/>
    <w:rsid w:val="1FD9D978"/>
    <w:rsid w:val="1FE13FCC"/>
    <w:rsid w:val="1FF8898D"/>
    <w:rsid w:val="2044D38A"/>
    <w:rsid w:val="2052E426"/>
    <w:rsid w:val="2064D4EA"/>
    <w:rsid w:val="20A56607"/>
    <w:rsid w:val="20A6C206"/>
    <w:rsid w:val="2111E5E7"/>
    <w:rsid w:val="212C44CD"/>
    <w:rsid w:val="216EA32C"/>
    <w:rsid w:val="2181F739"/>
    <w:rsid w:val="218D617F"/>
    <w:rsid w:val="219E8A43"/>
    <w:rsid w:val="21B83191"/>
    <w:rsid w:val="220129FB"/>
    <w:rsid w:val="220E4408"/>
    <w:rsid w:val="222269CD"/>
    <w:rsid w:val="2230A81B"/>
    <w:rsid w:val="223F1A0E"/>
    <w:rsid w:val="226869F8"/>
    <w:rsid w:val="227A6B86"/>
    <w:rsid w:val="22B84D3C"/>
    <w:rsid w:val="22C0C6A2"/>
    <w:rsid w:val="22D7346A"/>
    <w:rsid w:val="22DDAF13"/>
    <w:rsid w:val="23097074"/>
    <w:rsid w:val="2319B75D"/>
    <w:rsid w:val="232395BA"/>
    <w:rsid w:val="23743814"/>
    <w:rsid w:val="239AE7F0"/>
    <w:rsid w:val="2404A0D1"/>
    <w:rsid w:val="243EB3EE"/>
    <w:rsid w:val="24515EB0"/>
    <w:rsid w:val="24869D27"/>
    <w:rsid w:val="2487141C"/>
    <w:rsid w:val="24CCB205"/>
    <w:rsid w:val="24D6AEE8"/>
    <w:rsid w:val="24E14D48"/>
    <w:rsid w:val="24E58289"/>
    <w:rsid w:val="24F80081"/>
    <w:rsid w:val="25050B4A"/>
    <w:rsid w:val="2511B893"/>
    <w:rsid w:val="2540F8FF"/>
    <w:rsid w:val="25431F08"/>
    <w:rsid w:val="254DE15E"/>
    <w:rsid w:val="2574E218"/>
    <w:rsid w:val="25AB9F95"/>
    <w:rsid w:val="25ED9052"/>
    <w:rsid w:val="25F8E0B0"/>
    <w:rsid w:val="26023308"/>
    <w:rsid w:val="26037E24"/>
    <w:rsid w:val="266191C8"/>
    <w:rsid w:val="2668A7D6"/>
    <w:rsid w:val="26757D87"/>
    <w:rsid w:val="2685AE5F"/>
    <w:rsid w:val="269F3CA3"/>
    <w:rsid w:val="26B3E0F4"/>
    <w:rsid w:val="26BA47DB"/>
    <w:rsid w:val="26F5E7C4"/>
    <w:rsid w:val="27146200"/>
    <w:rsid w:val="273E5D30"/>
    <w:rsid w:val="27577F99"/>
    <w:rsid w:val="27665D42"/>
    <w:rsid w:val="2774529F"/>
    <w:rsid w:val="27A2CD02"/>
    <w:rsid w:val="27B6E445"/>
    <w:rsid w:val="27D99ED7"/>
    <w:rsid w:val="27F7F4DC"/>
    <w:rsid w:val="282990F0"/>
    <w:rsid w:val="284C2F65"/>
    <w:rsid w:val="287F9839"/>
    <w:rsid w:val="2881A91D"/>
    <w:rsid w:val="2882DA8A"/>
    <w:rsid w:val="288718AA"/>
    <w:rsid w:val="28944428"/>
    <w:rsid w:val="28B7CAD5"/>
    <w:rsid w:val="28CE9347"/>
    <w:rsid w:val="28CFB5D0"/>
    <w:rsid w:val="28E0ABD7"/>
    <w:rsid w:val="28EFD0EB"/>
    <w:rsid w:val="291403BC"/>
    <w:rsid w:val="29246048"/>
    <w:rsid w:val="29337AFA"/>
    <w:rsid w:val="294354A5"/>
    <w:rsid w:val="294F9E99"/>
    <w:rsid w:val="29B46C2F"/>
    <w:rsid w:val="29B84FB6"/>
    <w:rsid w:val="2A01413F"/>
    <w:rsid w:val="2A47FE76"/>
    <w:rsid w:val="2A48CE66"/>
    <w:rsid w:val="2A6BC493"/>
    <w:rsid w:val="2AE4CC5A"/>
    <w:rsid w:val="2B019900"/>
    <w:rsid w:val="2B2572F3"/>
    <w:rsid w:val="2B38E3DB"/>
    <w:rsid w:val="2B4D2BA8"/>
    <w:rsid w:val="2B58DE02"/>
    <w:rsid w:val="2B918721"/>
    <w:rsid w:val="2B928EAE"/>
    <w:rsid w:val="2B9DAF56"/>
    <w:rsid w:val="2BB81280"/>
    <w:rsid w:val="2BBE974C"/>
    <w:rsid w:val="2BDE4AA8"/>
    <w:rsid w:val="2BEFA31E"/>
    <w:rsid w:val="2C2E86F5"/>
    <w:rsid w:val="2C3695E1"/>
    <w:rsid w:val="2C3ABBFB"/>
    <w:rsid w:val="2C5051CC"/>
    <w:rsid w:val="2C55AB09"/>
    <w:rsid w:val="2C5CBE16"/>
    <w:rsid w:val="2C64F510"/>
    <w:rsid w:val="2C6764E2"/>
    <w:rsid w:val="2C99D1F5"/>
    <w:rsid w:val="2CA6EE1B"/>
    <w:rsid w:val="2CFB655D"/>
    <w:rsid w:val="2D62D9EF"/>
    <w:rsid w:val="2D655425"/>
    <w:rsid w:val="2D73D8E5"/>
    <w:rsid w:val="2D994EF4"/>
    <w:rsid w:val="2DC52E99"/>
    <w:rsid w:val="2DCD7A51"/>
    <w:rsid w:val="2DD091D4"/>
    <w:rsid w:val="2DEFA51A"/>
    <w:rsid w:val="2EA01C90"/>
    <w:rsid w:val="2ED17206"/>
    <w:rsid w:val="2F2504D7"/>
    <w:rsid w:val="2F2D4058"/>
    <w:rsid w:val="2F4C6C94"/>
    <w:rsid w:val="2F9CCA0D"/>
    <w:rsid w:val="2FB8E2E4"/>
    <w:rsid w:val="2FC42412"/>
    <w:rsid w:val="2FDFA648"/>
    <w:rsid w:val="301C3AA2"/>
    <w:rsid w:val="3023A18C"/>
    <w:rsid w:val="304A5445"/>
    <w:rsid w:val="305712C4"/>
    <w:rsid w:val="305E2DE2"/>
    <w:rsid w:val="3060C32F"/>
    <w:rsid w:val="306FC1F2"/>
    <w:rsid w:val="30E9AD17"/>
    <w:rsid w:val="3112CD25"/>
    <w:rsid w:val="3115E44F"/>
    <w:rsid w:val="311782C2"/>
    <w:rsid w:val="311D4887"/>
    <w:rsid w:val="315E4B7E"/>
    <w:rsid w:val="318B3F10"/>
    <w:rsid w:val="31A29C1D"/>
    <w:rsid w:val="31C6499E"/>
    <w:rsid w:val="31C65748"/>
    <w:rsid w:val="324FFB2B"/>
    <w:rsid w:val="3298F75A"/>
    <w:rsid w:val="32B7B07D"/>
    <w:rsid w:val="32BF4DF2"/>
    <w:rsid w:val="32CAA030"/>
    <w:rsid w:val="32E7452E"/>
    <w:rsid w:val="3326F2BF"/>
    <w:rsid w:val="3388FC96"/>
    <w:rsid w:val="33C5A823"/>
    <w:rsid w:val="33C79B5B"/>
    <w:rsid w:val="33C94F26"/>
    <w:rsid w:val="34334851"/>
    <w:rsid w:val="345A3A7F"/>
    <w:rsid w:val="34624E5D"/>
    <w:rsid w:val="3478E090"/>
    <w:rsid w:val="347D7DF6"/>
    <w:rsid w:val="348BDAF0"/>
    <w:rsid w:val="349BFD31"/>
    <w:rsid w:val="34C56ED9"/>
    <w:rsid w:val="34C96C85"/>
    <w:rsid w:val="350D3DBB"/>
    <w:rsid w:val="35325EE0"/>
    <w:rsid w:val="3545FC35"/>
    <w:rsid w:val="356AEAE9"/>
    <w:rsid w:val="357B0CCF"/>
    <w:rsid w:val="357E0403"/>
    <w:rsid w:val="359DB377"/>
    <w:rsid w:val="35CECF88"/>
    <w:rsid w:val="35EFDC70"/>
    <w:rsid w:val="3610A6BB"/>
    <w:rsid w:val="362B55F3"/>
    <w:rsid w:val="36474892"/>
    <w:rsid w:val="3648570E"/>
    <w:rsid w:val="36611F5A"/>
    <w:rsid w:val="36D93419"/>
    <w:rsid w:val="371DD491"/>
    <w:rsid w:val="3741A4FE"/>
    <w:rsid w:val="3745259E"/>
    <w:rsid w:val="37538AF6"/>
    <w:rsid w:val="376AAECD"/>
    <w:rsid w:val="37A81598"/>
    <w:rsid w:val="37C67BDC"/>
    <w:rsid w:val="380C48DE"/>
    <w:rsid w:val="3832CC59"/>
    <w:rsid w:val="38335D97"/>
    <w:rsid w:val="383ACD3D"/>
    <w:rsid w:val="387D1990"/>
    <w:rsid w:val="38A2E53D"/>
    <w:rsid w:val="38AF425B"/>
    <w:rsid w:val="38CE0DD1"/>
    <w:rsid w:val="38D3464D"/>
    <w:rsid w:val="38E06FAE"/>
    <w:rsid w:val="38E184F5"/>
    <w:rsid w:val="39023C35"/>
    <w:rsid w:val="39531FB9"/>
    <w:rsid w:val="397997CA"/>
    <w:rsid w:val="398D2D2C"/>
    <w:rsid w:val="398F235F"/>
    <w:rsid w:val="39A5EFF0"/>
    <w:rsid w:val="39F9D1F0"/>
    <w:rsid w:val="3A5B84D8"/>
    <w:rsid w:val="3A7EA13D"/>
    <w:rsid w:val="3A944693"/>
    <w:rsid w:val="3A9CF063"/>
    <w:rsid w:val="3AB0D0E2"/>
    <w:rsid w:val="3ACD5D3D"/>
    <w:rsid w:val="3AD70EE5"/>
    <w:rsid w:val="3B0EA8E4"/>
    <w:rsid w:val="3B3BA62E"/>
    <w:rsid w:val="3B5D9544"/>
    <w:rsid w:val="3BA345B1"/>
    <w:rsid w:val="3BB479CF"/>
    <w:rsid w:val="3BE8A35D"/>
    <w:rsid w:val="3C2071D9"/>
    <w:rsid w:val="3C2E050C"/>
    <w:rsid w:val="3C2E4DB8"/>
    <w:rsid w:val="3C7AF52E"/>
    <w:rsid w:val="3C9E415F"/>
    <w:rsid w:val="3CA69E9B"/>
    <w:rsid w:val="3CAACE4A"/>
    <w:rsid w:val="3CDA2BFA"/>
    <w:rsid w:val="3CDEE1E3"/>
    <w:rsid w:val="3CF0E6A3"/>
    <w:rsid w:val="3D688243"/>
    <w:rsid w:val="3D6C1461"/>
    <w:rsid w:val="3D8DDEB2"/>
    <w:rsid w:val="3D91B975"/>
    <w:rsid w:val="3DB95341"/>
    <w:rsid w:val="3E026DED"/>
    <w:rsid w:val="3E18B687"/>
    <w:rsid w:val="3E1A268A"/>
    <w:rsid w:val="3E32B1F4"/>
    <w:rsid w:val="3E32C457"/>
    <w:rsid w:val="3E40C1C7"/>
    <w:rsid w:val="3EB7EFE4"/>
    <w:rsid w:val="3EE297BF"/>
    <w:rsid w:val="3EE62E65"/>
    <w:rsid w:val="3F1FA7EA"/>
    <w:rsid w:val="3F21130F"/>
    <w:rsid w:val="3F407FF7"/>
    <w:rsid w:val="3F55F7F3"/>
    <w:rsid w:val="3F7022F7"/>
    <w:rsid w:val="3F92A1E6"/>
    <w:rsid w:val="3FB5F479"/>
    <w:rsid w:val="3FB6E69C"/>
    <w:rsid w:val="3FD9229D"/>
    <w:rsid w:val="3FEAC1BC"/>
    <w:rsid w:val="3FF0DA6F"/>
    <w:rsid w:val="403CB176"/>
    <w:rsid w:val="40714A28"/>
    <w:rsid w:val="40735EE0"/>
    <w:rsid w:val="40806A25"/>
    <w:rsid w:val="40891714"/>
    <w:rsid w:val="409E8C7C"/>
    <w:rsid w:val="40AFE261"/>
    <w:rsid w:val="40B541EF"/>
    <w:rsid w:val="40C4DB4F"/>
    <w:rsid w:val="40D769D0"/>
    <w:rsid w:val="40DB7849"/>
    <w:rsid w:val="40EF4BC0"/>
    <w:rsid w:val="4105A969"/>
    <w:rsid w:val="417C2ED7"/>
    <w:rsid w:val="41D3E82B"/>
    <w:rsid w:val="41D6FF0D"/>
    <w:rsid w:val="41DFEE62"/>
    <w:rsid w:val="41E6DCE4"/>
    <w:rsid w:val="41F04C09"/>
    <w:rsid w:val="41FFA30A"/>
    <w:rsid w:val="42011449"/>
    <w:rsid w:val="42199A8F"/>
    <w:rsid w:val="42287C2C"/>
    <w:rsid w:val="4245E8C6"/>
    <w:rsid w:val="4288B18C"/>
    <w:rsid w:val="42ACD4E0"/>
    <w:rsid w:val="42AE812A"/>
    <w:rsid w:val="42C9D2F4"/>
    <w:rsid w:val="42E1AC80"/>
    <w:rsid w:val="42EA010A"/>
    <w:rsid w:val="43290B19"/>
    <w:rsid w:val="432C14BA"/>
    <w:rsid w:val="433516EF"/>
    <w:rsid w:val="43670885"/>
    <w:rsid w:val="43869E01"/>
    <w:rsid w:val="438B8E93"/>
    <w:rsid w:val="438EE554"/>
    <w:rsid w:val="43E03017"/>
    <w:rsid w:val="43E1D9A4"/>
    <w:rsid w:val="43E91C53"/>
    <w:rsid w:val="44103DF9"/>
    <w:rsid w:val="4418DE4A"/>
    <w:rsid w:val="441E6E19"/>
    <w:rsid w:val="4438FB08"/>
    <w:rsid w:val="4444F3A4"/>
    <w:rsid w:val="4468F88A"/>
    <w:rsid w:val="44937572"/>
    <w:rsid w:val="44AC5278"/>
    <w:rsid w:val="44B4F9C1"/>
    <w:rsid w:val="44C7A28C"/>
    <w:rsid w:val="45224CE3"/>
    <w:rsid w:val="454A87E2"/>
    <w:rsid w:val="45F64D15"/>
    <w:rsid w:val="462D1DF6"/>
    <w:rsid w:val="467D6822"/>
    <w:rsid w:val="4698C191"/>
    <w:rsid w:val="46A30626"/>
    <w:rsid w:val="46B36CE6"/>
    <w:rsid w:val="46D3BAA6"/>
    <w:rsid w:val="46DA9F72"/>
    <w:rsid w:val="46E124DA"/>
    <w:rsid w:val="4720795F"/>
    <w:rsid w:val="4721FA2E"/>
    <w:rsid w:val="4736AE70"/>
    <w:rsid w:val="473F7FF2"/>
    <w:rsid w:val="4762DD03"/>
    <w:rsid w:val="47673178"/>
    <w:rsid w:val="476D190E"/>
    <w:rsid w:val="4772E296"/>
    <w:rsid w:val="477D09DC"/>
    <w:rsid w:val="47914F0D"/>
    <w:rsid w:val="47C20132"/>
    <w:rsid w:val="47CF9F5A"/>
    <w:rsid w:val="47E1BB05"/>
    <w:rsid w:val="480AF8E4"/>
    <w:rsid w:val="483D3140"/>
    <w:rsid w:val="484DB860"/>
    <w:rsid w:val="4890D196"/>
    <w:rsid w:val="4899DEE3"/>
    <w:rsid w:val="48BC7A48"/>
    <w:rsid w:val="48CA3F53"/>
    <w:rsid w:val="48CCFBF6"/>
    <w:rsid w:val="48E482A0"/>
    <w:rsid w:val="48FCA411"/>
    <w:rsid w:val="4904022F"/>
    <w:rsid w:val="4904AE5F"/>
    <w:rsid w:val="491A1893"/>
    <w:rsid w:val="4932A486"/>
    <w:rsid w:val="4971DB17"/>
    <w:rsid w:val="499585A9"/>
    <w:rsid w:val="49B2967A"/>
    <w:rsid w:val="4A2E09EB"/>
    <w:rsid w:val="4A382BC2"/>
    <w:rsid w:val="4A401EC0"/>
    <w:rsid w:val="4A4919DF"/>
    <w:rsid w:val="4A5C3E90"/>
    <w:rsid w:val="4A5DD53F"/>
    <w:rsid w:val="4A6EA8CF"/>
    <w:rsid w:val="4A80BD99"/>
    <w:rsid w:val="4AC7D144"/>
    <w:rsid w:val="4AC9E954"/>
    <w:rsid w:val="4AD7F974"/>
    <w:rsid w:val="4AF6716B"/>
    <w:rsid w:val="4B029A6E"/>
    <w:rsid w:val="4B5B442A"/>
    <w:rsid w:val="4B6BC263"/>
    <w:rsid w:val="4BA73124"/>
    <w:rsid w:val="4BAB4F12"/>
    <w:rsid w:val="4C29D63F"/>
    <w:rsid w:val="4C3C85C0"/>
    <w:rsid w:val="4CC91356"/>
    <w:rsid w:val="4CCA3D69"/>
    <w:rsid w:val="4CD3723F"/>
    <w:rsid w:val="4D050AF2"/>
    <w:rsid w:val="4D2B7F83"/>
    <w:rsid w:val="4D2B9B0D"/>
    <w:rsid w:val="4D3C5EF7"/>
    <w:rsid w:val="4D3E1B87"/>
    <w:rsid w:val="4D40AAA3"/>
    <w:rsid w:val="4D464D84"/>
    <w:rsid w:val="4D7B204C"/>
    <w:rsid w:val="4D87F4B0"/>
    <w:rsid w:val="4D932072"/>
    <w:rsid w:val="4DA2DD57"/>
    <w:rsid w:val="4DD72F79"/>
    <w:rsid w:val="4DE0A985"/>
    <w:rsid w:val="4DF35387"/>
    <w:rsid w:val="4E0CAB23"/>
    <w:rsid w:val="4E817743"/>
    <w:rsid w:val="4E85D42D"/>
    <w:rsid w:val="4EA62241"/>
    <w:rsid w:val="4EF1D116"/>
    <w:rsid w:val="4F14339B"/>
    <w:rsid w:val="4F26BBC3"/>
    <w:rsid w:val="4F2AEEEB"/>
    <w:rsid w:val="4F564AA0"/>
    <w:rsid w:val="4F588D08"/>
    <w:rsid w:val="4F58AACF"/>
    <w:rsid w:val="4F954BEB"/>
    <w:rsid w:val="4FA21197"/>
    <w:rsid w:val="4FA66D4A"/>
    <w:rsid w:val="4FCD9833"/>
    <w:rsid w:val="4FDAE0D6"/>
    <w:rsid w:val="4FF2603D"/>
    <w:rsid w:val="4FF5ED30"/>
    <w:rsid w:val="5018BB71"/>
    <w:rsid w:val="506BEAC4"/>
    <w:rsid w:val="511F18F3"/>
    <w:rsid w:val="5121FB09"/>
    <w:rsid w:val="515A8EEA"/>
    <w:rsid w:val="51702082"/>
    <w:rsid w:val="51793EE2"/>
    <w:rsid w:val="5183343A"/>
    <w:rsid w:val="51900B99"/>
    <w:rsid w:val="51B627B2"/>
    <w:rsid w:val="51C2E312"/>
    <w:rsid w:val="51F66C83"/>
    <w:rsid w:val="51FDB338"/>
    <w:rsid w:val="5209DC48"/>
    <w:rsid w:val="522B1F44"/>
    <w:rsid w:val="522BF047"/>
    <w:rsid w:val="523A4790"/>
    <w:rsid w:val="527CD7AE"/>
    <w:rsid w:val="52923A75"/>
    <w:rsid w:val="52A50A4F"/>
    <w:rsid w:val="52C64D0D"/>
    <w:rsid w:val="52F48E96"/>
    <w:rsid w:val="52FAE78F"/>
    <w:rsid w:val="530BB2C4"/>
    <w:rsid w:val="53134FD7"/>
    <w:rsid w:val="531848A6"/>
    <w:rsid w:val="531B1B52"/>
    <w:rsid w:val="534B4101"/>
    <w:rsid w:val="535130EC"/>
    <w:rsid w:val="5367A882"/>
    <w:rsid w:val="53F9AE3E"/>
    <w:rsid w:val="545452BA"/>
    <w:rsid w:val="54662B84"/>
    <w:rsid w:val="54B258F6"/>
    <w:rsid w:val="54C95CEA"/>
    <w:rsid w:val="54D4E96B"/>
    <w:rsid w:val="550CA3DF"/>
    <w:rsid w:val="551E60E6"/>
    <w:rsid w:val="552411BE"/>
    <w:rsid w:val="552D5FEF"/>
    <w:rsid w:val="5562EA16"/>
    <w:rsid w:val="5583D448"/>
    <w:rsid w:val="55F9BC75"/>
    <w:rsid w:val="55FB2EFE"/>
    <w:rsid w:val="55FDA54A"/>
    <w:rsid w:val="5603DDE2"/>
    <w:rsid w:val="560AFA9C"/>
    <w:rsid w:val="5632FF7E"/>
    <w:rsid w:val="56361A99"/>
    <w:rsid w:val="566D1507"/>
    <w:rsid w:val="56CA0F1F"/>
    <w:rsid w:val="56D43458"/>
    <w:rsid w:val="57109871"/>
    <w:rsid w:val="57FD05D7"/>
    <w:rsid w:val="580E7A15"/>
    <w:rsid w:val="58220042"/>
    <w:rsid w:val="5834C808"/>
    <w:rsid w:val="58515181"/>
    <w:rsid w:val="5862E65A"/>
    <w:rsid w:val="5863772D"/>
    <w:rsid w:val="5875CDCF"/>
    <w:rsid w:val="58AA208C"/>
    <w:rsid w:val="591929E2"/>
    <w:rsid w:val="595062FD"/>
    <w:rsid w:val="595506BF"/>
    <w:rsid w:val="5970B850"/>
    <w:rsid w:val="5999A648"/>
    <w:rsid w:val="599F86AA"/>
    <w:rsid w:val="59BFBE67"/>
    <w:rsid w:val="59E2A1A2"/>
    <w:rsid w:val="59FE139C"/>
    <w:rsid w:val="5A834A0E"/>
    <w:rsid w:val="5A842AF8"/>
    <w:rsid w:val="5AA9ADEE"/>
    <w:rsid w:val="5AB4ADD8"/>
    <w:rsid w:val="5B01D8DB"/>
    <w:rsid w:val="5B2A21BB"/>
    <w:rsid w:val="5B7AD319"/>
    <w:rsid w:val="5B7CAEEF"/>
    <w:rsid w:val="5B7F5849"/>
    <w:rsid w:val="5BAF8A56"/>
    <w:rsid w:val="5BE1D6F5"/>
    <w:rsid w:val="5C0CDAA7"/>
    <w:rsid w:val="5C10A238"/>
    <w:rsid w:val="5C1CBF2D"/>
    <w:rsid w:val="5C29186C"/>
    <w:rsid w:val="5C5A01B8"/>
    <w:rsid w:val="5C60BFEE"/>
    <w:rsid w:val="5C662116"/>
    <w:rsid w:val="5C668421"/>
    <w:rsid w:val="5C7F40CA"/>
    <w:rsid w:val="5CA6A2EF"/>
    <w:rsid w:val="5CD5560A"/>
    <w:rsid w:val="5CFAD060"/>
    <w:rsid w:val="5D2B7F7D"/>
    <w:rsid w:val="5D487550"/>
    <w:rsid w:val="5D6D40E1"/>
    <w:rsid w:val="5D85D1C3"/>
    <w:rsid w:val="5D8DC035"/>
    <w:rsid w:val="5D9D6D45"/>
    <w:rsid w:val="5DB62E7D"/>
    <w:rsid w:val="5DFD7546"/>
    <w:rsid w:val="5E156716"/>
    <w:rsid w:val="5E2B20C1"/>
    <w:rsid w:val="5E2B6E9C"/>
    <w:rsid w:val="5E4849CE"/>
    <w:rsid w:val="5E5B704A"/>
    <w:rsid w:val="5E61C878"/>
    <w:rsid w:val="5E6A2A18"/>
    <w:rsid w:val="5E7EAA38"/>
    <w:rsid w:val="5E87B2C3"/>
    <w:rsid w:val="5E950FE1"/>
    <w:rsid w:val="5EA3BFF0"/>
    <w:rsid w:val="5EA4FB90"/>
    <w:rsid w:val="5EA8992C"/>
    <w:rsid w:val="5ED063B6"/>
    <w:rsid w:val="5ED98A4C"/>
    <w:rsid w:val="5EE105C8"/>
    <w:rsid w:val="5EE820DA"/>
    <w:rsid w:val="5EEA0B8D"/>
    <w:rsid w:val="5EF7CC4E"/>
    <w:rsid w:val="5F112405"/>
    <w:rsid w:val="5F23D163"/>
    <w:rsid w:val="5F2970E8"/>
    <w:rsid w:val="5F7299E3"/>
    <w:rsid w:val="5F86B83B"/>
    <w:rsid w:val="5FD23717"/>
    <w:rsid w:val="5FDF1276"/>
    <w:rsid w:val="5FFDAC28"/>
    <w:rsid w:val="604B4500"/>
    <w:rsid w:val="607D91A3"/>
    <w:rsid w:val="60D89D48"/>
    <w:rsid w:val="60DFA720"/>
    <w:rsid w:val="60E23CF1"/>
    <w:rsid w:val="6119CF08"/>
    <w:rsid w:val="612FE051"/>
    <w:rsid w:val="613038C7"/>
    <w:rsid w:val="6138E592"/>
    <w:rsid w:val="61453A9F"/>
    <w:rsid w:val="61471391"/>
    <w:rsid w:val="615F3F84"/>
    <w:rsid w:val="61921935"/>
    <w:rsid w:val="6195B7E8"/>
    <w:rsid w:val="61BE104A"/>
    <w:rsid w:val="61C10FC7"/>
    <w:rsid w:val="61C3D669"/>
    <w:rsid w:val="61D8542D"/>
    <w:rsid w:val="61F21EAA"/>
    <w:rsid w:val="61F7B5BA"/>
    <w:rsid w:val="623399E3"/>
    <w:rsid w:val="6236AB1A"/>
    <w:rsid w:val="625502D9"/>
    <w:rsid w:val="62707D67"/>
    <w:rsid w:val="62709FE5"/>
    <w:rsid w:val="628519E9"/>
    <w:rsid w:val="6291B0E6"/>
    <w:rsid w:val="62939D90"/>
    <w:rsid w:val="629993F2"/>
    <w:rsid w:val="62C91F19"/>
    <w:rsid w:val="6321F1AD"/>
    <w:rsid w:val="6339BAFC"/>
    <w:rsid w:val="63447AFD"/>
    <w:rsid w:val="6377CDEF"/>
    <w:rsid w:val="6382EC09"/>
    <w:rsid w:val="6386FDCD"/>
    <w:rsid w:val="63918462"/>
    <w:rsid w:val="63B72D0E"/>
    <w:rsid w:val="63BB4B36"/>
    <w:rsid w:val="63C6E840"/>
    <w:rsid w:val="63E687DC"/>
    <w:rsid w:val="63EC2C2C"/>
    <w:rsid w:val="6437AF06"/>
    <w:rsid w:val="64656913"/>
    <w:rsid w:val="646A7B85"/>
    <w:rsid w:val="649E58AF"/>
    <w:rsid w:val="64BAB787"/>
    <w:rsid w:val="64C75708"/>
    <w:rsid w:val="64D04DD5"/>
    <w:rsid w:val="64E84F4A"/>
    <w:rsid w:val="64FB9A46"/>
    <w:rsid w:val="64FC53C7"/>
    <w:rsid w:val="65136001"/>
    <w:rsid w:val="65191958"/>
    <w:rsid w:val="65A7E8F4"/>
    <w:rsid w:val="65BE211A"/>
    <w:rsid w:val="65C82D47"/>
    <w:rsid w:val="65CA3777"/>
    <w:rsid w:val="65D6160B"/>
    <w:rsid w:val="65E4F907"/>
    <w:rsid w:val="65F348FC"/>
    <w:rsid w:val="660FFDA1"/>
    <w:rsid w:val="6621E0B2"/>
    <w:rsid w:val="6642DB70"/>
    <w:rsid w:val="6647AC44"/>
    <w:rsid w:val="6649E79E"/>
    <w:rsid w:val="666EFFAB"/>
    <w:rsid w:val="667E8B16"/>
    <w:rsid w:val="668EAC99"/>
    <w:rsid w:val="66B3D3A1"/>
    <w:rsid w:val="66C06903"/>
    <w:rsid w:val="66D8CB74"/>
    <w:rsid w:val="66F1546B"/>
    <w:rsid w:val="67073A65"/>
    <w:rsid w:val="67271D22"/>
    <w:rsid w:val="673E3B3C"/>
    <w:rsid w:val="67545BDF"/>
    <w:rsid w:val="675ED60E"/>
    <w:rsid w:val="677AF75D"/>
    <w:rsid w:val="6795F748"/>
    <w:rsid w:val="67BA2B0B"/>
    <w:rsid w:val="67BB0BC5"/>
    <w:rsid w:val="67E453A6"/>
    <w:rsid w:val="67E564F8"/>
    <w:rsid w:val="680EFEEC"/>
    <w:rsid w:val="682456D1"/>
    <w:rsid w:val="683774A5"/>
    <w:rsid w:val="684D35BC"/>
    <w:rsid w:val="6865C41B"/>
    <w:rsid w:val="686EB256"/>
    <w:rsid w:val="6880745F"/>
    <w:rsid w:val="68872FEC"/>
    <w:rsid w:val="68969C76"/>
    <w:rsid w:val="689E4DD3"/>
    <w:rsid w:val="68C25872"/>
    <w:rsid w:val="69113F2D"/>
    <w:rsid w:val="6927F090"/>
    <w:rsid w:val="69299DB1"/>
    <w:rsid w:val="692B37AF"/>
    <w:rsid w:val="693F3DAC"/>
    <w:rsid w:val="697D6120"/>
    <w:rsid w:val="6985223F"/>
    <w:rsid w:val="69B3B84C"/>
    <w:rsid w:val="69B917D1"/>
    <w:rsid w:val="69BB5DE6"/>
    <w:rsid w:val="69BD88F8"/>
    <w:rsid w:val="69DB5814"/>
    <w:rsid w:val="6A057541"/>
    <w:rsid w:val="6A0EFF34"/>
    <w:rsid w:val="6A1210DF"/>
    <w:rsid w:val="6A354CD3"/>
    <w:rsid w:val="6A4A9D90"/>
    <w:rsid w:val="6A6E9E02"/>
    <w:rsid w:val="6A8A3D05"/>
    <w:rsid w:val="6AA711C4"/>
    <w:rsid w:val="6AC5C0B5"/>
    <w:rsid w:val="6ACD8D31"/>
    <w:rsid w:val="6AE44185"/>
    <w:rsid w:val="6AFA5CB4"/>
    <w:rsid w:val="6B061311"/>
    <w:rsid w:val="6B39479A"/>
    <w:rsid w:val="6B3E59DC"/>
    <w:rsid w:val="6B6449D7"/>
    <w:rsid w:val="6B66DDFD"/>
    <w:rsid w:val="6B84F351"/>
    <w:rsid w:val="6BBDA1B4"/>
    <w:rsid w:val="6BD0C992"/>
    <w:rsid w:val="6BD8E19C"/>
    <w:rsid w:val="6C0801EC"/>
    <w:rsid w:val="6C098BC4"/>
    <w:rsid w:val="6C21D74F"/>
    <w:rsid w:val="6C571C15"/>
    <w:rsid w:val="6C7D48CD"/>
    <w:rsid w:val="6C8B7EDC"/>
    <w:rsid w:val="6C8B9213"/>
    <w:rsid w:val="6C9FA4FE"/>
    <w:rsid w:val="6CA32FCD"/>
    <w:rsid w:val="6CDE7773"/>
    <w:rsid w:val="6CF5A342"/>
    <w:rsid w:val="6D02B29B"/>
    <w:rsid w:val="6D24AA36"/>
    <w:rsid w:val="6D48096C"/>
    <w:rsid w:val="6D49EB36"/>
    <w:rsid w:val="6D5782C3"/>
    <w:rsid w:val="6D6D7499"/>
    <w:rsid w:val="6D79A4D2"/>
    <w:rsid w:val="6DC18BC1"/>
    <w:rsid w:val="6DD5705E"/>
    <w:rsid w:val="6DF00E69"/>
    <w:rsid w:val="6DFF6B3D"/>
    <w:rsid w:val="6E0A3F89"/>
    <w:rsid w:val="6E1F1373"/>
    <w:rsid w:val="6E240BAE"/>
    <w:rsid w:val="6E2480FF"/>
    <w:rsid w:val="6E3C37FC"/>
    <w:rsid w:val="6E56A139"/>
    <w:rsid w:val="6E6BD07D"/>
    <w:rsid w:val="6E71BEA5"/>
    <w:rsid w:val="6E8265FA"/>
    <w:rsid w:val="6E9A4E47"/>
    <w:rsid w:val="6EB1E7C8"/>
    <w:rsid w:val="6EF3C948"/>
    <w:rsid w:val="6F14414D"/>
    <w:rsid w:val="6F504C03"/>
    <w:rsid w:val="6F6776B2"/>
    <w:rsid w:val="6F819B19"/>
    <w:rsid w:val="6F855DBF"/>
    <w:rsid w:val="6F8EF9BC"/>
    <w:rsid w:val="6FB02F7A"/>
    <w:rsid w:val="6FC9FA8D"/>
    <w:rsid w:val="6FDE47C0"/>
    <w:rsid w:val="6FEC4B27"/>
    <w:rsid w:val="6FF68500"/>
    <w:rsid w:val="6FFD048C"/>
    <w:rsid w:val="7014ED37"/>
    <w:rsid w:val="7027AA11"/>
    <w:rsid w:val="702DA578"/>
    <w:rsid w:val="70364DB7"/>
    <w:rsid w:val="704138FD"/>
    <w:rsid w:val="704306E4"/>
    <w:rsid w:val="7076FC64"/>
    <w:rsid w:val="7082A28A"/>
    <w:rsid w:val="70BEFDA4"/>
    <w:rsid w:val="70D75FD1"/>
    <w:rsid w:val="70DC9F0F"/>
    <w:rsid w:val="70F494A4"/>
    <w:rsid w:val="71061F60"/>
    <w:rsid w:val="710C6F36"/>
    <w:rsid w:val="719A52EC"/>
    <w:rsid w:val="71A58F98"/>
    <w:rsid w:val="71A86923"/>
    <w:rsid w:val="71CBB4C5"/>
    <w:rsid w:val="71D279A3"/>
    <w:rsid w:val="71F381B8"/>
    <w:rsid w:val="71F39A23"/>
    <w:rsid w:val="7214594E"/>
    <w:rsid w:val="72196DB7"/>
    <w:rsid w:val="72265FD2"/>
    <w:rsid w:val="723A8E88"/>
    <w:rsid w:val="7240119C"/>
    <w:rsid w:val="7250CB43"/>
    <w:rsid w:val="72523249"/>
    <w:rsid w:val="7268984B"/>
    <w:rsid w:val="72715D09"/>
    <w:rsid w:val="72BE4F1F"/>
    <w:rsid w:val="72C58447"/>
    <w:rsid w:val="72C7E963"/>
    <w:rsid w:val="72C8AF74"/>
    <w:rsid w:val="72D6828F"/>
    <w:rsid w:val="7351C2EE"/>
    <w:rsid w:val="73A2C57D"/>
    <w:rsid w:val="740528D2"/>
    <w:rsid w:val="74487F50"/>
    <w:rsid w:val="744B5330"/>
    <w:rsid w:val="745827F0"/>
    <w:rsid w:val="748EC40B"/>
    <w:rsid w:val="75230FDE"/>
    <w:rsid w:val="7523A39A"/>
    <w:rsid w:val="75384FFD"/>
    <w:rsid w:val="758B4CAE"/>
    <w:rsid w:val="759498E4"/>
    <w:rsid w:val="75A836F5"/>
    <w:rsid w:val="75BC7538"/>
    <w:rsid w:val="75EE7FD3"/>
    <w:rsid w:val="762E90B0"/>
    <w:rsid w:val="7649A369"/>
    <w:rsid w:val="7661F262"/>
    <w:rsid w:val="76620609"/>
    <w:rsid w:val="768303DB"/>
    <w:rsid w:val="76A7FDD0"/>
    <w:rsid w:val="76F24BBB"/>
    <w:rsid w:val="76FE704D"/>
    <w:rsid w:val="771F62AF"/>
    <w:rsid w:val="7733D2FC"/>
    <w:rsid w:val="775E7061"/>
    <w:rsid w:val="77A3923E"/>
    <w:rsid w:val="77A4139D"/>
    <w:rsid w:val="77A995BE"/>
    <w:rsid w:val="77AAAF4F"/>
    <w:rsid w:val="77EE48E2"/>
    <w:rsid w:val="78090597"/>
    <w:rsid w:val="78277319"/>
    <w:rsid w:val="783A547F"/>
    <w:rsid w:val="7881D702"/>
    <w:rsid w:val="7885492A"/>
    <w:rsid w:val="788D7CFB"/>
    <w:rsid w:val="78920F1C"/>
    <w:rsid w:val="789994E6"/>
    <w:rsid w:val="78A378E8"/>
    <w:rsid w:val="78AFED61"/>
    <w:rsid w:val="78FC6E9E"/>
    <w:rsid w:val="79435D10"/>
    <w:rsid w:val="79B177D5"/>
    <w:rsid w:val="7A324EF0"/>
    <w:rsid w:val="7A6B3C33"/>
    <w:rsid w:val="7A8AAE3F"/>
    <w:rsid w:val="7AC0D1C6"/>
    <w:rsid w:val="7B03D4CE"/>
    <w:rsid w:val="7B0BA5CC"/>
    <w:rsid w:val="7B1F14CE"/>
    <w:rsid w:val="7B3CE790"/>
    <w:rsid w:val="7B5403A3"/>
    <w:rsid w:val="7B6F5E85"/>
    <w:rsid w:val="7B73A9FB"/>
    <w:rsid w:val="7B999A32"/>
    <w:rsid w:val="7BB6E63C"/>
    <w:rsid w:val="7BDA28D4"/>
    <w:rsid w:val="7BFD7FE6"/>
    <w:rsid w:val="7C134F03"/>
    <w:rsid w:val="7C27BC16"/>
    <w:rsid w:val="7C3A65BF"/>
    <w:rsid w:val="7C4767E6"/>
    <w:rsid w:val="7CABB7EC"/>
    <w:rsid w:val="7D0D22BF"/>
    <w:rsid w:val="7D35E343"/>
    <w:rsid w:val="7D35E557"/>
    <w:rsid w:val="7D47B3B7"/>
    <w:rsid w:val="7D679D10"/>
    <w:rsid w:val="7D7AFAAB"/>
    <w:rsid w:val="7D878ABA"/>
    <w:rsid w:val="7D9D601F"/>
    <w:rsid w:val="7DB02924"/>
    <w:rsid w:val="7E00DF4F"/>
    <w:rsid w:val="7E0912E7"/>
    <w:rsid w:val="7E26C9CF"/>
    <w:rsid w:val="7E4565E1"/>
    <w:rsid w:val="7E62A8BE"/>
    <w:rsid w:val="7E8AE811"/>
    <w:rsid w:val="7E93D15C"/>
    <w:rsid w:val="7EEA3BA2"/>
    <w:rsid w:val="7EEC0FF7"/>
    <w:rsid w:val="7F29124C"/>
    <w:rsid w:val="7F605CC9"/>
    <w:rsid w:val="7F6B2D0B"/>
    <w:rsid w:val="7F8229B0"/>
    <w:rsid w:val="7F8B1BA0"/>
    <w:rsid w:val="7F8C5508"/>
    <w:rsid w:val="7F8F763B"/>
    <w:rsid w:val="7FBA4936"/>
    <w:rsid w:val="7FC50086"/>
    <w:rsid w:val="7FD5225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C41740"/>
  <w15:docId w15:val="{45F77F05-02DB-43E0-B25E-65C7572B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EastAsia" w:hAnsi="Courier" w:cstheme="minorBidi"/>
        <w:lang w:val="en-US" w:eastAsia="ja-JP"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E2"/>
    <w:rPr>
      <w:rFonts w:ascii="Arial" w:hAnsi="Arial"/>
      <w:sz w:val="16"/>
      <w:lang w:val="en-GB"/>
    </w:rPr>
  </w:style>
  <w:style w:type="paragraph" w:styleId="Heading1">
    <w:name w:val="heading 1"/>
    <w:basedOn w:val="Normal"/>
    <w:next w:val="Normal"/>
    <w:link w:val="Heading1Char"/>
    <w:uiPriority w:val="9"/>
    <w:qFormat/>
    <w:rsid w:val="00DE151F"/>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E151F"/>
    <w:pPr>
      <w:keepNext/>
      <w:keepLines/>
      <w:spacing w:before="160" w:after="80" w:line="278" w:lineRule="auto"/>
      <w:outlineLvl w:val="1"/>
    </w:pPr>
    <w:rPr>
      <w:rFonts w:eastAsiaTheme="majorEastAsia" w:cstheme="majorBidi"/>
      <w:b/>
      <w:kern w:val="2"/>
      <w:sz w:val="24"/>
      <w:szCs w:val="32"/>
      <w:lang w:eastAsia="en-US"/>
      <w14:ligatures w14:val="standardContextual"/>
    </w:rPr>
  </w:style>
  <w:style w:type="paragraph" w:styleId="Heading3">
    <w:name w:val="heading 3"/>
    <w:basedOn w:val="Normal"/>
    <w:next w:val="Normal"/>
    <w:link w:val="Heading3Char"/>
    <w:uiPriority w:val="9"/>
    <w:unhideWhenUsed/>
    <w:qFormat/>
    <w:rsid w:val="00DE151F"/>
    <w:pPr>
      <w:keepNext/>
      <w:keepLines/>
      <w:spacing w:before="160" w:after="80" w:line="278" w:lineRule="auto"/>
      <w:outlineLvl w:val="2"/>
    </w:pPr>
    <w:rPr>
      <w:rFonts w:eastAsiaTheme="majorEastAsia" w:cstheme="majorBidi"/>
      <w:b/>
      <w:kern w:val="2"/>
      <w:sz w:val="20"/>
      <w:szCs w:val="28"/>
      <w:lang w:eastAsia="en-US"/>
      <w14:ligatures w14:val="standardContextual"/>
    </w:rPr>
  </w:style>
  <w:style w:type="paragraph" w:styleId="Heading4">
    <w:name w:val="heading 4"/>
    <w:basedOn w:val="Normal"/>
    <w:next w:val="Normal"/>
    <w:link w:val="Heading4Char"/>
    <w:uiPriority w:val="9"/>
    <w:unhideWhenUsed/>
    <w:qFormat/>
    <w:rsid w:val="00692765"/>
    <w:pPr>
      <w:keepNext/>
      <w:keepLines/>
      <w:spacing w:before="80" w:after="40" w:line="278" w:lineRule="auto"/>
      <w:outlineLvl w:val="3"/>
    </w:pPr>
    <w:rPr>
      <w:rFonts w:asciiTheme="minorHAnsi" w:eastAsiaTheme="majorEastAsia" w:hAnsiTheme="minorHAnsi" w:cstheme="majorBidi"/>
      <w:i/>
      <w:iCs/>
      <w:color w:val="007E9A"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92765"/>
    <w:pPr>
      <w:keepNext/>
      <w:keepLines/>
      <w:spacing w:before="80" w:after="40" w:line="278" w:lineRule="auto"/>
      <w:outlineLvl w:val="4"/>
    </w:pPr>
    <w:rPr>
      <w:rFonts w:asciiTheme="minorHAnsi" w:eastAsiaTheme="majorEastAsia" w:hAnsiTheme="minorHAnsi" w:cstheme="majorBidi"/>
      <w:color w:val="007E9A"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9276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9276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9276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9276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99"/>
    <w:rsid w:val="00A969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DUL">
    <w:name w:val="table DUL"/>
    <w:basedOn w:val="TableNormal"/>
    <w:uiPriority w:val="99"/>
    <w:rsid w:val="0000079E"/>
    <w:pPr>
      <w:jc w:val="right"/>
    </w:pPr>
    <w:rPr>
      <w:rFonts w:ascii="Arial" w:hAnsi="Arial"/>
      <w:sz w:val="16"/>
    </w:rPr>
    <w:tblPr>
      <w:tblBorders>
        <w:bottom w:val="single" w:sz="12" w:space="0" w:color="auto"/>
      </w:tblBorders>
      <w:tblCellMar>
        <w:left w:w="0" w:type="dxa"/>
        <w:right w:w="0" w:type="dxa"/>
      </w:tblCellMar>
    </w:tblPr>
    <w:tcPr>
      <w:shd w:val="clear" w:color="auto" w:fill="auto"/>
    </w:tcPr>
  </w:style>
  <w:style w:type="paragraph" w:customStyle="1" w:styleId="LBbullets2">
    <w:name w:val="LB bullets 2"/>
    <w:basedOn w:val="LBbullets"/>
    <w:qFormat/>
    <w:rsid w:val="00575377"/>
    <w:pPr>
      <w:numPr>
        <w:numId w:val="4"/>
      </w:numPr>
    </w:pPr>
  </w:style>
  <w:style w:type="paragraph" w:customStyle="1" w:styleId="LBbullets">
    <w:name w:val="LB bullets"/>
    <w:basedOn w:val="Normal"/>
    <w:next w:val="Normal"/>
    <w:qFormat/>
    <w:rsid w:val="004B1437"/>
    <w:pPr>
      <w:numPr>
        <w:numId w:val="1"/>
      </w:numPr>
    </w:pPr>
  </w:style>
  <w:style w:type="table" w:styleId="TableGridLight">
    <w:name w:val="Grid Table Light"/>
    <w:basedOn w:val="TableNormal"/>
    <w:uiPriority w:val="99"/>
    <w:rsid w:val="00FB055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Bfootnotes">
    <w:name w:val="LB footnotes"/>
    <w:basedOn w:val="Normal"/>
    <w:autoRedefine/>
    <w:qFormat/>
    <w:rsid w:val="00B47F5E"/>
    <w:pPr>
      <w:numPr>
        <w:numId w:val="7"/>
      </w:numPr>
    </w:pPr>
    <w:rPr>
      <w:sz w:val="14"/>
      <w:szCs w:val="14"/>
    </w:rPr>
  </w:style>
  <w:style w:type="character" w:customStyle="1" w:styleId="Heading1Char">
    <w:name w:val="Heading 1 Char"/>
    <w:basedOn w:val="DefaultParagraphFont"/>
    <w:link w:val="Heading1"/>
    <w:uiPriority w:val="9"/>
    <w:rsid w:val="00FB0559"/>
    <w:rPr>
      <w:rFonts w:ascii="Arial" w:eastAsiaTheme="majorEastAsia" w:hAnsi="Arial" w:cstheme="majorBidi"/>
      <w:b/>
      <w:sz w:val="28"/>
      <w:szCs w:val="32"/>
      <w:lang w:val="en-GB"/>
    </w:rPr>
  </w:style>
  <w:style w:type="table" w:styleId="TableGrid">
    <w:name w:val="Table Grid"/>
    <w:basedOn w:val="TableNormal"/>
    <w:uiPriority w:val="59"/>
    <w:rsid w:val="00A403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FA1"/>
    <w:pPr>
      <w:tabs>
        <w:tab w:val="center" w:pos="4680"/>
        <w:tab w:val="right" w:pos="9360"/>
      </w:tabs>
      <w:spacing w:line="240" w:lineRule="auto"/>
    </w:pPr>
  </w:style>
  <w:style w:type="character" w:customStyle="1" w:styleId="HeaderChar">
    <w:name w:val="Header Char"/>
    <w:basedOn w:val="DefaultParagraphFont"/>
    <w:link w:val="Header"/>
    <w:uiPriority w:val="99"/>
    <w:rsid w:val="00746FA1"/>
    <w:rPr>
      <w:rFonts w:ascii="Arial" w:hAnsi="Arial"/>
      <w:sz w:val="16"/>
      <w:lang w:val="en-GB"/>
    </w:rPr>
  </w:style>
  <w:style w:type="paragraph" w:styleId="Footer">
    <w:name w:val="footer"/>
    <w:basedOn w:val="Normal"/>
    <w:link w:val="FooterChar"/>
    <w:uiPriority w:val="99"/>
    <w:unhideWhenUsed/>
    <w:rsid w:val="00746FA1"/>
    <w:pPr>
      <w:tabs>
        <w:tab w:val="center" w:pos="4680"/>
        <w:tab w:val="right" w:pos="9360"/>
      </w:tabs>
      <w:spacing w:line="240" w:lineRule="auto"/>
    </w:pPr>
  </w:style>
  <w:style w:type="character" w:customStyle="1" w:styleId="FooterChar">
    <w:name w:val="Footer Char"/>
    <w:basedOn w:val="DefaultParagraphFont"/>
    <w:link w:val="Footer"/>
    <w:uiPriority w:val="99"/>
    <w:rsid w:val="00746FA1"/>
    <w:rPr>
      <w:rFonts w:ascii="Arial" w:hAnsi="Arial"/>
      <w:sz w:val="16"/>
      <w:lang w:val="en-GB"/>
    </w:rPr>
  </w:style>
  <w:style w:type="numbering" w:customStyle="1" w:styleId="CurrentList2">
    <w:name w:val="Current List2"/>
    <w:uiPriority w:val="99"/>
    <w:rsid w:val="00FB0559"/>
    <w:pPr>
      <w:numPr>
        <w:numId w:val="3"/>
      </w:numPr>
    </w:pPr>
  </w:style>
  <w:style w:type="character" w:styleId="CommentReference">
    <w:name w:val="annotation reference"/>
    <w:basedOn w:val="DefaultParagraphFont"/>
    <w:uiPriority w:val="99"/>
    <w:semiHidden/>
    <w:unhideWhenUsed/>
    <w:rsid w:val="001F7F29"/>
    <w:rPr>
      <w:sz w:val="16"/>
      <w:szCs w:val="16"/>
    </w:rPr>
  </w:style>
  <w:style w:type="paragraph" w:styleId="CommentText">
    <w:name w:val="annotation text"/>
    <w:basedOn w:val="Normal"/>
    <w:link w:val="CommentTextChar"/>
    <w:uiPriority w:val="99"/>
    <w:unhideWhenUsed/>
    <w:rsid w:val="001F7F29"/>
    <w:pPr>
      <w:spacing w:line="240" w:lineRule="auto"/>
    </w:pPr>
    <w:rPr>
      <w:sz w:val="20"/>
    </w:rPr>
  </w:style>
  <w:style w:type="character" w:customStyle="1" w:styleId="CommentTextChar">
    <w:name w:val="Comment Text Char"/>
    <w:basedOn w:val="DefaultParagraphFont"/>
    <w:link w:val="CommentText"/>
    <w:uiPriority w:val="99"/>
    <w:rsid w:val="001F7F29"/>
    <w:rPr>
      <w:rFonts w:ascii="Arial" w:hAnsi="Arial"/>
      <w:lang w:val="en-GB"/>
    </w:rPr>
  </w:style>
  <w:style w:type="paragraph" w:styleId="CommentSubject">
    <w:name w:val="annotation subject"/>
    <w:basedOn w:val="CommentText"/>
    <w:next w:val="CommentText"/>
    <w:link w:val="CommentSubjectChar"/>
    <w:uiPriority w:val="99"/>
    <w:semiHidden/>
    <w:unhideWhenUsed/>
    <w:rsid w:val="001F7F29"/>
    <w:rPr>
      <w:b/>
      <w:bCs/>
    </w:rPr>
  </w:style>
  <w:style w:type="character" w:customStyle="1" w:styleId="CommentSubjectChar">
    <w:name w:val="Comment Subject Char"/>
    <w:basedOn w:val="CommentTextChar"/>
    <w:link w:val="CommentSubject"/>
    <w:uiPriority w:val="99"/>
    <w:semiHidden/>
    <w:rsid w:val="001F7F29"/>
    <w:rPr>
      <w:rFonts w:ascii="Arial" w:hAnsi="Arial"/>
      <w:b/>
      <w:bCs/>
      <w:lang w:val="en-GB"/>
    </w:rPr>
  </w:style>
  <w:style w:type="paragraph" w:styleId="Revision">
    <w:name w:val="Revision"/>
    <w:hidden/>
    <w:uiPriority w:val="99"/>
    <w:semiHidden/>
    <w:rsid w:val="00340932"/>
    <w:pPr>
      <w:spacing w:line="240" w:lineRule="auto"/>
    </w:pPr>
    <w:rPr>
      <w:rFonts w:ascii="Arial" w:hAnsi="Arial"/>
      <w:sz w:val="16"/>
      <w:lang w:val="en-GB"/>
    </w:rPr>
  </w:style>
  <w:style w:type="numbering" w:customStyle="1" w:styleId="CurrentList1">
    <w:name w:val="Current List1"/>
    <w:uiPriority w:val="99"/>
    <w:rsid w:val="00FF0014"/>
    <w:pPr>
      <w:numPr>
        <w:numId w:val="2"/>
      </w:numPr>
    </w:pPr>
  </w:style>
  <w:style w:type="paragraph" w:customStyle="1" w:styleId="Pageheading">
    <w:name w:val="Page heading"/>
    <w:basedOn w:val="Normal"/>
    <w:qFormat/>
    <w:rsid w:val="00665CEE"/>
    <w:rPr>
      <w:rFonts w:cs="Times New Roman (Body CS)"/>
      <w:b/>
      <w:caps/>
      <w:sz w:val="24"/>
    </w:rPr>
  </w:style>
  <w:style w:type="table" w:styleId="GridTable1Light-Accent3">
    <w:name w:val="Grid Table 1 Light Accent 3"/>
    <w:basedOn w:val="TableNormal"/>
    <w:uiPriority w:val="46"/>
    <w:rsid w:val="002D65BE"/>
    <w:pPr>
      <w:spacing w:line="240" w:lineRule="auto"/>
    </w:pPr>
    <w:tblPr>
      <w:tblStyleRowBandSize w:val="1"/>
      <w:tblStyleColBandSize w:val="1"/>
      <w:tblBorders>
        <w:top w:val="single" w:sz="4" w:space="0" w:color="7DAEFF" w:themeColor="accent3" w:themeTint="66"/>
        <w:left w:val="single" w:sz="4" w:space="0" w:color="7DAEFF" w:themeColor="accent3" w:themeTint="66"/>
        <w:bottom w:val="single" w:sz="4" w:space="0" w:color="7DAEFF" w:themeColor="accent3" w:themeTint="66"/>
        <w:right w:val="single" w:sz="4" w:space="0" w:color="7DAEFF" w:themeColor="accent3" w:themeTint="66"/>
        <w:insideH w:val="single" w:sz="4" w:space="0" w:color="7DAEFF" w:themeColor="accent3" w:themeTint="66"/>
        <w:insideV w:val="single" w:sz="4" w:space="0" w:color="7DAEFF" w:themeColor="accent3" w:themeTint="66"/>
      </w:tblBorders>
    </w:tblPr>
    <w:tblStylePr w:type="firstRow">
      <w:rPr>
        <w:b/>
        <w:bCs/>
      </w:rPr>
      <w:tblPr/>
      <w:tcPr>
        <w:tcBorders>
          <w:bottom w:val="single" w:sz="12" w:space="0" w:color="3D86FF" w:themeColor="accent3" w:themeTint="99"/>
        </w:tcBorders>
      </w:tcPr>
    </w:tblStylePr>
    <w:tblStylePr w:type="lastRow">
      <w:rPr>
        <w:b/>
        <w:bCs/>
      </w:rPr>
      <w:tblPr/>
      <w:tcPr>
        <w:tcBorders>
          <w:top w:val="double" w:sz="2" w:space="0" w:color="3D86FF"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D65BE"/>
    <w:pPr>
      <w:spacing w:line="240" w:lineRule="auto"/>
    </w:pPr>
    <w:tblPr>
      <w:tblStyleRowBandSize w:val="1"/>
      <w:tblStyleColBandSize w:val="1"/>
      <w:tblBorders>
        <w:top w:val="single" w:sz="4" w:space="0" w:color="85E9FF" w:themeColor="accent1" w:themeTint="66"/>
        <w:left w:val="single" w:sz="4" w:space="0" w:color="85E9FF" w:themeColor="accent1" w:themeTint="66"/>
        <w:bottom w:val="single" w:sz="4" w:space="0" w:color="85E9FF" w:themeColor="accent1" w:themeTint="66"/>
        <w:right w:val="single" w:sz="4" w:space="0" w:color="85E9FF" w:themeColor="accent1" w:themeTint="66"/>
        <w:insideH w:val="single" w:sz="4" w:space="0" w:color="85E9FF" w:themeColor="accent1" w:themeTint="66"/>
        <w:insideV w:val="single" w:sz="4" w:space="0" w:color="85E9FF" w:themeColor="accent1" w:themeTint="66"/>
      </w:tblBorders>
    </w:tblPr>
    <w:tblStylePr w:type="firstRow">
      <w:rPr>
        <w:b/>
        <w:bCs/>
      </w:rPr>
      <w:tblPr/>
      <w:tcPr>
        <w:tcBorders>
          <w:bottom w:val="single" w:sz="12" w:space="0" w:color="48DEFF" w:themeColor="accent1" w:themeTint="99"/>
        </w:tcBorders>
      </w:tcPr>
    </w:tblStylePr>
    <w:tblStylePr w:type="lastRow">
      <w:rPr>
        <w:b/>
        <w:bCs/>
      </w:rPr>
      <w:tblPr/>
      <w:tcPr>
        <w:tcBorders>
          <w:top w:val="double" w:sz="2" w:space="0" w:color="48DEFF"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99"/>
    <w:rsid w:val="002D65B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2D65B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2D65B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list">
    <w:name w:val="numbered list"/>
    <w:basedOn w:val="Normal"/>
    <w:rsid w:val="0076456D"/>
    <w:pPr>
      <w:numPr>
        <w:numId w:val="5"/>
      </w:numPr>
      <w:contextualSpacing/>
    </w:pPr>
  </w:style>
  <w:style w:type="paragraph" w:customStyle="1" w:styleId="LBnumberedlist">
    <w:name w:val="LB numbered list"/>
    <w:basedOn w:val="Normal"/>
    <w:next w:val="Normal"/>
    <w:qFormat/>
    <w:rsid w:val="00D07A33"/>
    <w:pPr>
      <w:numPr>
        <w:numId w:val="6"/>
      </w:numPr>
    </w:pPr>
  </w:style>
  <w:style w:type="paragraph" w:customStyle="1" w:styleId="LBfootnotes2">
    <w:name w:val="LB footnotes 2"/>
    <w:basedOn w:val="Normal"/>
    <w:autoRedefine/>
    <w:qFormat/>
    <w:rsid w:val="00EA11F2"/>
    <w:pPr>
      <w:numPr>
        <w:numId w:val="8"/>
      </w:numPr>
    </w:pPr>
    <w:rPr>
      <w:sz w:val="15"/>
      <w:szCs w:val="15"/>
    </w:rPr>
  </w:style>
  <w:style w:type="table" w:customStyle="1" w:styleId="Style2textonlytable">
    <w:name w:val="Style 2 text only table"/>
    <w:basedOn w:val="TableNormal"/>
    <w:uiPriority w:val="99"/>
    <w:rsid w:val="00A4030D"/>
    <w:rPr>
      <w:rFonts w:ascii="Arial" w:hAnsi="Arial"/>
      <w:sz w:val="16"/>
    </w:rPr>
    <w:tblPr>
      <w:tblBorders>
        <w:bottom w:val="single" w:sz="12"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aliases w:val="ListParagraph"/>
    <w:basedOn w:val="Normal"/>
    <w:link w:val="ListParagraphChar"/>
    <w:uiPriority w:val="34"/>
    <w:qFormat/>
    <w:rsid w:val="001B4584"/>
    <w:pPr>
      <w:ind w:left="720"/>
      <w:contextualSpacing/>
    </w:pPr>
  </w:style>
  <w:style w:type="character" w:styleId="Mention">
    <w:name w:val="Mention"/>
    <w:basedOn w:val="DefaultParagraphFont"/>
    <w:uiPriority w:val="99"/>
    <w:unhideWhenUsed/>
    <w:rsid w:val="00F45F7E"/>
    <w:rPr>
      <w:color w:val="2B579A"/>
      <w:shd w:val="clear" w:color="auto" w:fill="E1DFDD"/>
    </w:rPr>
  </w:style>
  <w:style w:type="character" w:styleId="Hyperlink">
    <w:name w:val="Hyperlink"/>
    <w:basedOn w:val="DefaultParagraphFont"/>
    <w:uiPriority w:val="99"/>
    <w:unhideWhenUsed/>
    <w:rsid w:val="005E21D4"/>
    <w:rPr>
      <w:color w:val="55565B" w:themeColor="hyperlink"/>
      <w:u w:val="single"/>
    </w:rPr>
  </w:style>
  <w:style w:type="character" w:styleId="UnresolvedMention">
    <w:name w:val="Unresolved Mention"/>
    <w:basedOn w:val="DefaultParagraphFont"/>
    <w:uiPriority w:val="99"/>
    <w:semiHidden/>
    <w:unhideWhenUsed/>
    <w:rsid w:val="005E21D4"/>
    <w:rPr>
      <w:color w:val="605E5C"/>
      <w:shd w:val="clear" w:color="auto" w:fill="E1DFDD"/>
    </w:rPr>
  </w:style>
  <w:style w:type="paragraph" w:customStyle="1" w:styleId="ARA">
    <w:name w:val="ARA"/>
    <w:basedOn w:val="Normal"/>
    <w:link w:val="ARAChar"/>
    <w:qFormat/>
    <w:rsid w:val="004A2E3C"/>
  </w:style>
  <w:style w:type="character" w:customStyle="1" w:styleId="ARAChar">
    <w:name w:val="ARA Char"/>
    <w:basedOn w:val="DefaultParagraphFont"/>
    <w:link w:val="ARA"/>
    <w:rsid w:val="004A2E3C"/>
    <w:rPr>
      <w:rFonts w:ascii="Arial" w:hAnsi="Arial"/>
      <w:sz w:val="16"/>
      <w:lang w:val="en-GB"/>
    </w:rPr>
  </w:style>
  <w:style w:type="paragraph" w:customStyle="1" w:styleId="Default">
    <w:name w:val="Default"/>
    <w:rsid w:val="00D05712"/>
    <w:pPr>
      <w:autoSpaceDE w:val="0"/>
      <w:autoSpaceDN w:val="0"/>
      <w:adjustRightInd w:val="0"/>
      <w:spacing w:line="240" w:lineRule="auto"/>
    </w:pPr>
    <w:rPr>
      <w:rFonts w:ascii="Arial" w:hAnsi="Arial" w:cs="Arial"/>
      <w:color w:val="000000"/>
      <w:sz w:val="24"/>
      <w:szCs w:val="24"/>
      <w:lang w:val="en-GB"/>
    </w:rPr>
  </w:style>
  <w:style w:type="character" w:customStyle="1" w:styleId="Heading2Char">
    <w:name w:val="Heading 2 Char"/>
    <w:basedOn w:val="DefaultParagraphFont"/>
    <w:link w:val="Heading2"/>
    <w:uiPriority w:val="9"/>
    <w:rsid w:val="00692765"/>
    <w:rPr>
      <w:rFonts w:ascii="Arial" w:eastAsiaTheme="majorEastAsia" w:hAnsi="Arial" w:cstheme="majorBidi"/>
      <w:b/>
      <w:kern w:val="2"/>
      <w:sz w:val="24"/>
      <w:szCs w:val="32"/>
      <w:lang w:val="en-GB" w:eastAsia="en-US"/>
      <w14:ligatures w14:val="standardContextual"/>
    </w:rPr>
  </w:style>
  <w:style w:type="character" w:customStyle="1" w:styleId="Heading3Char">
    <w:name w:val="Heading 3 Char"/>
    <w:basedOn w:val="DefaultParagraphFont"/>
    <w:link w:val="Heading3"/>
    <w:uiPriority w:val="9"/>
    <w:rsid w:val="00692765"/>
    <w:rPr>
      <w:rFonts w:ascii="Arial" w:eastAsiaTheme="majorEastAsia" w:hAnsi="Arial" w:cstheme="majorBidi"/>
      <w:b/>
      <w:kern w:val="2"/>
      <w:szCs w:val="28"/>
      <w:lang w:val="en-GB" w:eastAsia="en-US"/>
      <w14:ligatures w14:val="standardContextual"/>
    </w:rPr>
  </w:style>
  <w:style w:type="character" w:customStyle="1" w:styleId="Heading4Char">
    <w:name w:val="Heading 4 Char"/>
    <w:basedOn w:val="DefaultParagraphFont"/>
    <w:link w:val="Heading4"/>
    <w:uiPriority w:val="9"/>
    <w:rsid w:val="00692765"/>
    <w:rPr>
      <w:rFonts w:asciiTheme="minorHAnsi" w:eastAsiaTheme="majorEastAsia" w:hAnsiTheme="minorHAnsi" w:cstheme="majorBidi"/>
      <w:i/>
      <w:iCs/>
      <w:color w:val="007E9A" w:themeColor="accent1" w:themeShade="BF"/>
      <w:kern w:val="2"/>
      <w:sz w:val="24"/>
      <w:szCs w:val="24"/>
      <w:lang w:val="en-GB" w:eastAsia="en-US"/>
      <w14:ligatures w14:val="standardContextual"/>
    </w:rPr>
  </w:style>
  <w:style w:type="character" w:customStyle="1" w:styleId="Heading5Char">
    <w:name w:val="Heading 5 Char"/>
    <w:basedOn w:val="DefaultParagraphFont"/>
    <w:link w:val="Heading5"/>
    <w:uiPriority w:val="9"/>
    <w:semiHidden/>
    <w:rsid w:val="00692765"/>
    <w:rPr>
      <w:rFonts w:asciiTheme="minorHAnsi" w:eastAsiaTheme="majorEastAsia" w:hAnsiTheme="minorHAnsi" w:cstheme="majorBidi"/>
      <w:color w:val="007E9A" w:themeColor="accent1" w:themeShade="BF"/>
      <w:kern w:val="2"/>
      <w:sz w:val="24"/>
      <w:szCs w:val="24"/>
      <w:lang w:val="en-GB" w:eastAsia="en-US"/>
      <w14:ligatures w14:val="standardContextual"/>
    </w:rPr>
  </w:style>
  <w:style w:type="character" w:customStyle="1" w:styleId="Heading6Char">
    <w:name w:val="Heading 6 Char"/>
    <w:basedOn w:val="DefaultParagraphFont"/>
    <w:link w:val="Heading6"/>
    <w:uiPriority w:val="9"/>
    <w:semiHidden/>
    <w:rsid w:val="00692765"/>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character" w:customStyle="1" w:styleId="Heading7Char">
    <w:name w:val="Heading 7 Char"/>
    <w:basedOn w:val="DefaultParagraphFont"/>
    <w:link w:val="Heading7"/>
    <w:uiPriority w:val="9"/>
    <w:semiHidden/>
    <w:rsid w:val="00692765"/>
    <w:rPr>
      <w:rFonts w:asciiTheme="minorHAnsi" w:eastAsiaTheme="majorEastAsia" w:hAnsiTheme="minorHAnsi" w:cstheme="majorBidi"/>
      <w:color w:val="595959" w:themeColor="text1" w:themeTint="A6"/>
      <w:kern w:val="2"/>
      <w:sz w:val="24"/>
      <w:szCs w:val="24"/>
      <w:lang w:val="en-GB" w:eastAsia="en-US"/>
      <w14:ligatures w14:val="standardContextual"/>
    </w:rPr>
  </w:style>
  <w:style w:type="character" w:customStyle="1" w:styleId="Heading8Char">
    <w:name w:val="Heading 8 Char"/>
    <w:basedOn w:val="DefaultParagraphFont"/>
    <w:link w:val="Heading8"/>
    <w:uiPriority w:val="9"/>
    <w:semiHidden/>
    <w:rsid w:val="00692765"/>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character" w:customStyle="1" w:styleId="Heading9Char">
    <w:name w:val="Heading 9 Char"/>
    <w:basedOn w:val="DefaultParagraphFont"/>
    <w:link w:val="Heading9"/>
    <w:uiPriority w:val="9"/>
    <w:semiHidden/>
    <w:rsid w:val="00692765"/>
    <w:rPr>
      <w:rFonts w:asciiTheme="minorHAnsi" w:eastAsiaTheme="majorEastAsia" w:hAnsiTheme="minorHAnsi" w:cstheme="majorBidi"/>
      <w:color w:val="272727" w:themeColor="text1" w:themeTint="D8"/>
      <w:kern w:val="2"/>
      <w:sz w:val="24"/>
      <w:szCs w:val="24"/>
      <w:lang w:val="en-GB" w:eastAsia="en-US"/>
      <w14:ligatures w14:val="standardContextual"/>
    </w:rPr>
  </w:style>
  <w:style w:type="table" w:styleId="PlainTable2">
    <w:name w:val="Plain Table 2"/>
    <w:basedOn w:val="TableNormal"/>
    <w:uiPriority w:val="42"/>
    <w:rsid w:val="006927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3BodyCopy85pt01Main">
    <w:name w:val="03 Body Copy 8.5pt (01 Main)"/>
    <w:basedOn w:val="Normal"/>
    <w:uiPriority w:val="99"/>
    <w:rsid w:val="00692765"/>
    <w:pPr>
      <w:suppressAutoHyphens/>
      <w:autoSpaceDE w:val="0"/>
      <w:autoSpaceDN w:val="0"/>
      <w:adjustRightInd w:val="0"/>
      <w:spacing w:after="85"/>
      <w:textAlignment w:val="center"/>
    </w:pPr>
    <w:rPr>
      <w:rFonts w:ascii="HelveticaNeueLT Pro 55 Roman" w:hAnsi="HelveticaNeueLT Pro 55 Roman" w:cs="HelveticaNeueLT Pro 55 Roman"/>
      <w:color w:val="000000"/>
      <w:sz w:val="17"/>
      <w:szCs w:val="17"/>
    </w:rPr>
  </w:style>
  <w:style w:type="character" w:customStyle="1" w:styleId="WhiteColoursWhiteFolder">
    <w:name w:val="White (Colours:White Folder)"/>
    <w:uiPriority w:val="99"/>
    <w:rsid w:val="00692765"/>
    <w:rPr>
      <w:outline/>
    </w:rPr>
  </w:style>
  <w:style w:type="paragraph" w:customStyle="1" w:styleId="03BodySmall75pt01Main">
    <w:name w:val="03 Body Small 7.5pt (01 Main)"/>
    <w:basedOn w:val="Normal"/>
    <w:uiPriority w:val="99"/>
    <w:rsid w:val="00692765"/>
    <w:pPr>
      <w:suppressAutoHyphens/>
      <w:autoSpaceDE w:val="0"/>
      <w:autoSpaceDN w:val="0"/>
      <w:adjustRightInd w:val="0"/>
      <w:spacing w:after="85" w:line="180" w:lineRule="atLeast"/>
      <w:textAlignment w:val="center"/>
    </w:pPr>
    <w:rPr>
      <w:rFonts w:ascii="HelveticaNeueLT Pro 55 Roman" w:hAnsi="HelveticaNeueLT Pro 55 Roman" w:cs="HelveticaNeueLT Pro 55 Roman"/>
      <w:color w:val="000000"/>
      <w:sz w:val="15"/>
      <w:szCs w:val="15"/>
    </w:rPr>
  </w:style>
  <w:style w:type="character" w:customStyle="1" w:styleId="80BlackBoldColoursBlackFolder">
    <w:name w:val="80% Black Bold (Colours:Black Folder)"/>
    <w:basedOn w:val="DefaultParagraphFont"/>
    <w:uiPriority w:val="99"/>
    <w:rsid w:val="00692765"/>
    <w:rPr>
      <w:b/>
      <w:bCs/>
      <w:color w:val="000000"/>
    </w:rPr>
  </w:style>
  <w:style w:type="paragraph" w:customStyle="1" w:styleId="Footnotes7pt02Figs">
    <w:name w:val="Footnotes 7pt (02 Figs)"/>
    <w:basedOn w:val="Normal"/>
    <w:uiPriority w:val="99"/>
    <w:rsid w:val="00692765"/>
    <w:pPr>
      <w:suppressAutoHyphens/>
      <w:autoSpaceDE w:val="0"/>
      <w:autoSpaceDN w:val="0"/>
      <w:adjustRightInd w:val="0"/>
      <w:spacing w:line="180" w:lineRule="atLeast"/>
      <w:ind w:left="227" w:right="283" w:hanging="227"/>
      <w:textAlignment w:val="center"/>
    </w:pPr>
    <w:rPr>
      <w:rFonts w:ascii="HelveticaNeueLT Pro 55 Roman" w:hAnsi="HelveticaNeueLT Pro 55 Roman" w:cs="HelveticaNeueLT Pro 55 Roman"/>
      <w:color w:val="000000"/>
      <w:sz w:val="14"/>
      <w:szCs w:val="14"/>
    </w:rPr>
  </w:style>
  <w:style w:type="paragraph" w:customStyle="1" w:styleId="02Subhead0210pt01Main">
    <w:name w:val="02 Subhead 02 10pt (01 Main)"/>
    <w:basedOn w:val="Normal"/>
    <w:uiPriority w:val="99"/>
    <w:rsid w:val="00692765"/>
    <w:pPr>
      <w:suppressAutoHyphens/>
      <w:autoSpaceDE w:val="0"/>
      <w:autoSpaceDN w:val="0"/>
      <w:adjustRightInd w:val="0"/>
      <w:spacing w:before="85" w:after="28" w:line="240" w:lineRule="atLeast"/>
      <w:textAlignment w:val="center"/>
    </w:pPr>
    <w:rPr>
      <w:rFonts w:ascii="HelveticaNeueLT Pro 55 Roman" w:hAnsi="HelveticaNeueLT Pro 55 Roman" w:cs="HelveticaNeueLT Pro 55 Roman"/>
      <w:b/>
      <w:bCs/>
      <w:color w:val="000000"/>
      <w:sz w:val="20"/>
    </w:rPr>
  </w:style>
  <w:style w:type="paragraph" w:customStyle="1" w:styleId="04BodyBullet85pt01Main">
    <w:name w:val="04 Body Bullet 8.5pt (01 Main)"/>
    <w:basedOn w:val="Normal"/>
    <w:uiPriority w:val="99"/>
    <w:rsid w:val="00692765"/>
    <w:pPr>
      <w:tabs>
        <w:tab w:val="left" w:pos="283"/>
      </w:tabs>
      <w:suppressAutoHyphens/>
      <w:autoSpaceDE w:val="0"/>
      <w:autoSpaceDN w:val="0"/>
      <w:adjustRightInd w:val="0"/>
      <w:spacing w:after="85"/>
      <w:ind w:left="227" w:hanging="227"/>
      <w:textAlignment w:val="center"/>
    </w:pPr>
    <w:rPr>
      <w:rFonts w:ascii="HelveticaNeueLT Pro 55 Roman" w:hAnsi="HelveticaNeueLT Pro 55 Roman" w:cs="HelveticaNeueLT Pro 55 Roman"/>
      <w:color w:val="000000"/>
      <w:sz w:val="17"/>
      <w:szCs w:val="17"/>
    </w:rPr>
  </w:style>
  <w:style w:type="character" w:customStyle="1" w:styleId="LightBlueColoursLightBlueFolder">
    <w:name w:val="Light Blue (Colours:Light Blue Folder)"/>
    <w:uiPriority w:val="99"/>
    <w:rsid w:val="00692765"/>
    <w:rPr>
      <w:color w:val="0AFFE2"/>
    </w:rPr>
  </w:style>
  <w:style w:type="paragraph" w:customStyle="1" w:styleId="aLBfootnotes">
    <w:name w:val="(a) LB footnotes"/>
    <w:basedOn w:val="LBfootnotes"/>
    <w:qFormat/>
    <w:rsid w:val="00692765"/>
    <w:pPr>
      <w:numPr>
        <w:numId w:val="21"/>
      </w:numPr>
    </w:pPr>
  </w:style>
  <w:style w:type="numbering" w:customStyle="1" w:styleId="CurrentList3">
    <w:name w:val="Current List3"/>
    <w:uiPriority w:val="99"/>
    <w:rsid w:val="00692765"/>
    <w:pPr>
      <w:numPr>
        <w:numId w:val="20"/>
      </w:numPr>
    </w:pPr>
  </w:style>
  <w:style w:type="paragraph" w:styleId="Title">
    <w:name w:val="Title"/>
    <w:basedOn w:val="Normal"/>
    <w:next w:val="Normal"/>
    <w:link w:val="TitleChar"/>
    <w:uiPriority w:val="10"/>
    <w:qFormat/>
    <w:rsid w:val="0069276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92765"/>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69276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92765"/>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692765"/>
    <w:pPr>
      <w:spacing w:before="160" w:after="160" w:line="278" w:lineRule="auto"/>
      <w:jc w:val="center"/>
    </w:pPr>
    <w:rPr>
      <w:rFonts w:asciiTheme="minorHAnsi" w:eastAsiaTheme="minorHAnsi" w:hAnsi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92765"/>
    <w:rPr>
      <w:rFonts w:asciiTheme="minorHAnsi" w:eastAsiaTheme="minorHAnsi" w:hAnsiTheme="minorHAnsi"/>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692765"/>
    <w:rPr>
      <w:i/>
      <w:iCs/>
      <w:color w:val="007E9A" w:themeColor="accent1" w:themeShade="BF"/>
    </w:rPr>
  </w:style>
  <w:style w:type="paragraph" w:styleId="IntenseQuote">
    <w:name w:val="Intense Quote"/>
    <w:basedOn w:val="Normal"/>
    <w:next w:val="Normal"/>
    <w:link w:val="IntenseQuoteChar"/>
    <w:uiPriority w:val="30"/>
    <w:qFormat/>
    <w:rsid w:val="00692765"/>
    <w:pPr>
      <w:pBdr>
        <w:top w:val="single" w:sz="4" w:space="10" w:color="007E9A" w:themeColor="accent1" w:themeShade="BF"/>
        <w:bottom w:val="single" w:sz="4" w:space="10" w:color="007E9A" w:themeColor="accent1" w:themeShade="BF"/>
      </w:pBdr>
      <w:spacing w:before="360" w:after="360" w:line="278" w:lineRule="auto"/>
      <w:ind w:left="864" w:right="864"/>
      <w:jc w:val="center"/>
    </w:pPr>
    <w:rPr>
      <w:rFonts w:asciiTheme="minorHAnsi" w:eastAsiaTheme="minorHAnsi" w:hAnsiTheme="minorHAnsi"/>
      <w:i/>
      <w:iCs/>
      <w:color w:val="007E9A"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92765"/>
    <w:rPr>
      <w:rFonts w:asciiTheme="minorHAnsi" w:eastAsiaTheme="minorHAnsi" w:hAnsiTheme="minorHAnsi"/>
      <w:i/>
      <w:iCs/>
      <w:color w:val="007E9A"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692765"/>
    <w:rPr>
      <w:b/>
      <w:bCs/>
      <w:smallCaps/>
      <w:color w:val="007E9A" w:themeColor="accent1" w:themeShade="BF"/>
      <w:spacing w:val="5"/>
    </w:rPr>
  </w:style>
  <w:style w:type="table" w:customStyle="1" w:styleId="TableGrid2">
    <w:name w:val="Table Grid2"/>
    <w:basedOn w:val="TableNormal"/>
    <w:next w:val="TableGrid"/>
    <w:uiPriority w:val="39"/>
    <w:rsid w:val="00692765"/>
    <w:pPr>
      <w:spacing w:line="240" w:lineRule="auto"/>
    </w:pPr>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2765"/>
    <w:pPr>
      <w:spacing w:after="160" w:line="278" w:lineRule="auto"/>
    </w:pPr>
    <w:rPr>
      <w:rFonts w:ascii="Times New Roman" w:eastAsiaTheme="minorHAnsi" w:hAnsi="Times New Roman" w:cs="Times New Roman"/>
      <w:kern w:val="2"/>
      <w:sz w:val="24"/>
      <w:szCs w:val="24"/>
      <w:lang w:eastAsia="en-US"/>
      <w14:ligatures w14:val="standardContextual"/>
    </w:rPr>
  </w:style>
  <w:style w:type="numbering" w:customStyle="1" w:styleId="NoList1">
    <w:name w:val="No List1"/>
    <w:next w:val="NoList"/>
    <w:uiPriority w:val="99"/>
    <w:semiHidden/>
    <w:unhideWhenUsed/>
    <w:rsid w:val="00692765"/>
  </w:style>
  <w:style w:type="table" w:customStyle="1" w:styleId="PlainTable11">
    <w:name w:val="Plain Table 11"/>
    <w:basedOn w:val="TableNormal"/>
    <w:next w:val="PlainTable1"/>
    <w:uiPriority w:val="99"/>
    <w:rsid w:val="00692765"/>
    <w:rPr>
      <w:rFonts w:eastAsia="MS Minch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99"/>
    <w:rsid w:val="00692765"/>
    <w:pPr>
      <w:spacing w:line="240" w:lineRule="auto"/>
    </w:pPr>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59"/>
    <w:rsid w:val="00692765"/>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692765"/>
    <w:pPr>
      <w:tabs>
        <w:tab w:val="center" w:pos="4680"/>
        <w:tab w:val="right" w:pos="9360"/>
      </w:tabs>
      <w:spacing w:line="240" w:lineRule="auto"/>
    </w:pPr>
    <w:rPr>
      <w:rFonts w:eastAsiaTheme="minorHAnsi"/>
      <w:kern w:val="2"/>
      <w:szCs w:val="24"/>
      <w:lang w:eastAsia="en-US"/>
      <w14:ligatures w14:val="standardContextual"/>
    </w:rPr>
  </w:style>
  <w:style w:type="paragraph" w:customStyle="1" w:styleId="Footer1">
    <w:name w:val="Footer1"/>
    <w:basedOn w:val="Normal"/>
    <w:next w:val="Footer"/>
    <w:uiPriority w:val="99"/>
    <w:unhideWhenUsed/>
    <w:rsid w:val="00692765"/>
    <w:pPr>
      <w:tabs>
        <w:tab w:val="center" w:pos="4680"/>
        <w:tab w:val="right" w:pos="9360"/>
      </w:tabs>
      <w:spacing w:line="240" w:lineRule="auto"/>
    </w:pPr>
    <w:rPr>
      <w:rFonts w:eastAsiaTheme="minorHAnsi"/>
      <w:kern w:val="2"/>
      <w:szCs w:val="24"/>
      <w:lang w:eastAsia="en-US"/>
      <w14:ligatures w14:val="standardContextual"/>
    </w:rPr>
  </w:style>
  <w:style w:type="table" w:customStyle="1" w:styleId="GridTable1Light-Accent31">
    <w:name w:val="Grid Table 1 Light - Accent 31"/>
    <w:basedOn w:val="TableNormal"/>
    <w:next w:val="GridTable1Light-Accent3"/>
    <w:uiPriority w:val="46"/>
    <w:rsid w:val="00692765"/>
    <w:pPr>
      <w:spacing w:line="240" w:lineRule="auto"/>
    </w:pPr>
    <w:rPr>
      <w:rFonts w:eastAsia="MS Mincho"/>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92765"/>
    <w:pPr>
      <w:spacing w:line="240" w:lineRule="auto"/>
    </w:pPr>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next w:val="PlainTable5"/>
    <w:uiPriority w:val="99"/>
    <w:rsid w:val="00692765"/>
    <w:pPr>
      <w:spacing w:line="240" w:lineRule="auto"/>
    </w:pPr>
    <w:rPr>
      <w:rFonts w:eastAsia="MS Mincho"/>
    </w:rPr>
    <w:tblPr>
      <w:tblStyleRowBandSize w:val="1"/>
      <w:tblStyleColBandSize w:val="1"/>
    </w:tblPr>
    <w:tblStylePr w:type="firstRow">
      <w:rPr>
        <w:rFonts w:ascii="Calibri" w:eastAsia="MS Gothic" w:hAnsi="Calibri" w:cs="Times New Roman"/>
        <w:i/>
        <w:iCs/>
        <w:sz w:val="26"/>
      </w:rPr>
      <w:tblPr/>
      <w:tcPr>
        <w:tcBorders>
          <w:bottom w:val="single" w:sz="4" w:space="0" w:color="7F7F7F"/>
        </w:tcBorders>
        <w:shd w:val="clear" w:color="auto" w:fill="FFFFFF"/>
      </w:tcPr>
    </w:tblStylePr>
    <w:tblStylePr w:type="lastRow">
      <w:rPr>
        <w:rFonts w:ascii="Calibri" w:eastAsia="MS Gothic" w:hAnsi="Calibri" w:cs="Times New Roman"/>
        <w:i/>
        <w:iCs/>
        <w:sz w:val="26"/>
      </w:rPr>
      <w:tblPr/>
      <w:tcPr>
        <w:tcBorders>
          <w:top w:val="single" w:sz="4" w:space="0" w:color="7F7F7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7F7F7F"/>
        </w:tcBorders>
        <w:shd w:val="clear" w:color="auto" w:fill="FFFFFF"/>
      </w:tcPr>
    </w:tblStylePr>
    <w:tblStylePr w:type="lastCol">
      <w:rPr>
        <w:rFonts w:ascii="Calibri" w:eastAsia="MS Gothic"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99"/>
    <w:rsid w:val="00692765"/>
    <w:pPr>
      <w:spacing w:line="240" w:lineRule="auto"/>
    </w:pPr>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next w:val="PlainTable3"/>
    <w:uiPriority w:val="99"/>
    <w:rsid w:val="00692765"/>
    <w:pPr>
      <w:spacing w:line="240" w:lineRule="auto"/>
    </w:pPr>
    <w:rPr>
      <w:rFonts w:eastAsia="MS Mincho"/>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next w:val="PlainTable2"/>
    <w:uiPriority w:val="99"/>
    <w:rsid w:val="00692765"/>
    <w:pPr>
      <w:spacing w:line="240" w:lineRule="auto"/>
    </w:pPr>
    <w:rPr>
      <w:rFonts w:eastAsia="MS Minch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yperlink1">
    <w:name w:val="Hyperlink1"/>
    <w:basedOn w:val="DefaultParagraphFont"/>
    <w:uiPriority w:val="99"/>
    <w:unhideWhenUsed/>
    <w:rsid w:val="00692765"/>
    <w:rPr>
      <w:color w:val="0000FF"/>
      <w:u w:val="single"/>
    </w:rPr>
  </w:style>
  <w:style w:type="character" w:customStyle="1" w:styleId="ws3">
    <w:name w:val="ws3"/>
    <w:basedOn w:val="DefaultParagraphFont"/>
    <w:rsid w:val="00692765"/>
  </w:style>
  <w:style w:type="character" w:customStyle="1" w:styleId="a">
    <w:name w:val="_"/>
    <w:basedOn w:val="DefaultParagraphFont"/>
    <w:rsid w:val="00692765"/>
  </w:style>
  <w:style w:type="character" w:customStyle="1" w:styleId="ls4">
    <w:name w:val="ls4"/>
    <w:basedOn w:val="DefaultParagraphFont"/>
    <w:rsid w:val="00692765"/>
  </w:style>
  <w:style w:type="character" w:customStyle="1" w:styleId="HeaderChar1">
    <w:name w:val="Header Char1"/>
    <w:basedOn w:val="DefaultParagraphFont"/>
    <w:uiPriority w:val="99"/>
    <w:semiHidden/>
    <w:rsid w:val="00692765"/>
  </w:style>
  <w:style w:type="character" w:customStyle="1" w:styleId="FooterChar1">
    <w:name w:val="Footer Char1"/>
    <w:basedOn w:val="DefaultParagraphFont"/>
    <w:uiPriority w:val="99"/>
    <w:semiHidden/>
    <w:rsid w:val="00692765"/>
  </w:style>
  <w:style w:type="character" w:customStyle="1" w:styleId="ListParagraphChar">
    <w:name w:val="List Paragraph Char"/>
    <w:aliases w:val="ListParagraph Char"/>
    <w:basedOn w:val="DefaultParagraphFont"/>
    <w:link w:val="ListParagraph"/>
    <w:uiPriority w:val="34"/>
    <w:locked/>
    <w:rsid w:val="00692765"/>
    <w:rPr>
      <w:rFonts w:ascii="Arial" w:hAnsi="Arial"/>
      <w:sz w:val="16"/>
      <w:lang w:val="en-GB"/>
    </w:rPr>
  </w:style>
  <w:style w:type="character" w:customStyle="1" w:styleId="MainHeadingChar">
    <w:name w:val="MainHeading Char"/>
    <w:basedOn w:val="DefaultParagraphFont"/>
    <w:link w:val="MainHeading"/>
    <w:locked/>
    <w:rsid w:val="00692765"/>
    <w:rPr>
      <w:rFonts w:ascii="Arial" w:eastAsia="Times New Roman" w:hAnsi="Arial" w:cs="Arial"/>
      <w:b/>
      <w:bCs/>
      <w:kern w:val="28"/>
      <w:sz w:val="28"/>
      <w:szCs w:val="48"/>
      <w:lang w:eastAsia="en-US"/>
    </w:rPr>
  </w:style>
  <w:style w:type="paragraph" w:customStyle="1" w:styleId="MainHeading">
    <w:name w:val="MainHeading"/>
    <w:link w:val="MainHeadingChar"/>
    <w:qFormat/>
    <w:rsid w:val="00692765"/>
    <w:pPr>
      <w:keepNext/>
      <w:spacing w:after="240" w:line="240" w:lineRule="auto"/>
      <w:contextualSpacing/>
    </w:pPr>
    <w:rPr>
      <w:rFonts w:ascii="Arial" w:eastAsia="Times New Roman" w:hAnsi="Arial" w:cs="Arial"/>
      <w:b/>
      <w:bCs/>
      <w:kern w:val="28"/>
      <w:sz w:val="28"/>
      <w:szCs w:val="48"/>
      <w:lang w:eastAsia="en-US"/>
    </w:rPr>
  </w:style>
  <w:style w:type="numbering" w:customStyle="1" w:styleId="CurrentList31">
    <w:name w:val="Current List31"/>
    <w:uiPriority w:val="99"/>
    <w:rsid w:val="008858D5"/>
  </w:style>
  <w:style w:type="paragraph" w:styleId="FootnoteText">
    <w:name w:val="footnote text"/>
    <w:basedOn w:val="Normal"/>
    <w:link w:val="FootnoteTextChar"/>
    <w:uiPriority w:val="99"/>
    <w:semiHidden/>
    <w:unhideWhenUsed/>
    <w:rsid w:val="00271E37"/>
    <w:pPr>
      <w:spacing w:line="240" w:lineRule="auto"/>
    </w:pPr>
    <w:rPr>
      <w:sz w:val="20"/>
    </w:rPr>
  </w:style>
  <w:style w:type="character" w:customStyle="1" w:styleId="FootnoteTextChar">
    <w:name w:val="Footnote Text Char"/>
    <w:basedOn w:val="DefaultParagraphFont"/>
    <w:link w:val="FootnoteText"/>
    <w:uiPriority w:val="99"/>
    <w:semiHidden/>
    <w:rsid w:val="00271E37"/>
    <w:rPr>
      <w:rFonts w:ascii="Arial" w:hAnsi="Arial"/>
      <w:lang w:val="en-GB"/>
    </w:rPr>
  </w:style>
  <w:style w:type="character" w:styleId="FootnoteReference">
    <w:name w:val="footnote reference"/>
    <w:basedOn w:val="DefaultParagraphFont"/>
    <w:uiPriority w:val="99"/>
    <w:semiHidden/>
    <w:unhideWhenUsed/>
    <w:rsid w:val="00271E37"/>
    <w:rPr>
      <w:vertAlign w:val="superscript"/>
    </w:rPr>
  </w:style>
  <w:style w:type="character" w:customStyle="1" w:styleId="top-spacing-0">
    <w:name w:val="top-spacing-0"/>
    <w:basedOn w:val="DefaultParagraphFont"/>
    <w:rsid w:val="00271E37"/>
  </w:style>
  <w:style w:type="paragraph" w:styleId="NoSpacing">
    <w:name w:val="No Spacing"/>
    <w:basedOn w:val="Heading2"/>
    <w:uiPriority w:val="1"/>
    <w:qFormat/>
    <w:rsid w:val="00271E37"/>
    <w:pPr>
      <w:keepNext w:val="0"/>
      <w:keepLines w:val="0"/>
      <w:numPr>
        <w:numId w:val="54"/>
      </w:numPr>
      <w:spacing w:before="0" w:after="220" w:line="240" w:lineRule="auto"/>
      <w:jc w:val="both"/>
    </w:pPr>
    <w:rPr>
      <w:rFonts w:ascii="Calibri Light" w:eastAsia="Times New Roman" w:hAnsi="Calibri Light" w:cs="Calibri"/>
      <w:color w:val="00A9CE"/>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864">
      <w:bodyDiv w:val="1"/>
      <w:marLeft w:val="0"/>
      <w:marRight w:val="0"/>
      <w:marTop w:val="0"/>
      <w:marBottom w:val="0"/>
      <w:divBdr>
        <w:top w:val="none" w:sz="0" w:space="0" w:color="auto"/>
        <w:left w:val="none" w:sz="0" w:space="0" w:color="auto"/>
        <w:bottom w:val="none" w:sz="0" w:space="0" w:color="auto"/>
        <w:right w:val="none" w:sz="0" w:space="0" w:color="auto"/>
      </w:divBdr>
    </w:div>
    <w:div w:id="102849097">
      <w:bodyDiv w:val="1"/>
      <w:marLeft w:val="0"/>
      <w:marRight w:val="0"/>
      <w:marTop w:val="0"/>
      <w:marBottom w:val="0"/>
      <w:divBdr>
        <w:top w:val="none" w:sz="0" w:space="0" w:color="auto"/>
        <w:left w:val="none" w:sz="0" w:space="0" w:color="auto"/>
        <w:bottom w:val="none" w:sz="0" w:space="0" w:color="auto"/>
        <w:right w:val="none" w:sz="0" w:space="0" w:color="auto"/>
      </w:divBdr>
    </w:div>
    <w:div w:id="220756298">
      <w:bodyDiv w:val="1"/>
      <w:marLeft w:val="0"/>
      <w:marRight w:val="0"/>
      <w:marTop w:val="0"/>
      <w:marBottom w:val="0"/>
      <w:divBdr>
        <w:top w:val="none" w:sz="0" w:space="0" w:color="auto"/>
        <w:left w:val="none" w:sz="0" w:space="0" w:color="auto"/>
        <w:bottom w:val="none" w:sz="0" w:space="0" w:color="auto"/>
        <w:right w:val="none" w:sz="0" w:space="0" w:color="auto"/>
      </w:divBdr>
    </w:div>
    <w:div w:id="224151113">
      <w:bodyDiv w:val="1"/>
      <w:marLeft w:val="0"/>
      <w:marRight w:val="0"/>
      <w:marTop w:val="0"/>
      <w:marBottom w:val="0"/>
      <w:divBdr>
        <w:top w:val="none" w:sz="0" w:space="0" w:color="auto"/>
        <w:left w:val="none" w:sz="0" w:space="0" w:color="auto"/>
        <w:bottom w:val="none" w:sz="0" w:space="0" w:color="auto"/>
        <w:right w:val="none" w:sz="0" w:space="0" w:color="auto"/>
      </w:divBdr>
    </w:div>
    <w:div w:id="283125238">
      <w:bodyDiv w:val="1"/>
      <w:marLeft w:val="0"/>
      <w:marRight w:val="0"/>
      <w:marTop w:val="0"/>
      <w:marBottom w:val="0"/>
      <w:divBdr>
        <w:top w:val="none" w:sz="0" w:space="0" w:color="auto"/>
        <w:left w:val="none" w:sz="0" w:space="0" w:color="auto"/>
        <w:bottom w:val="none" w:sz="0" w:space="0" w:color="auto"/>
        <w:right w:val="none" w:sz="0" w:space="0" w:color="auto"/>
      </w:divBdr>
    </w:div>
    <w:div w:id="287710322">
      <w:bodyDiv w:val="1"/>
      <w:marLeft w:val="0"/>
      <w:marRight w:val="0"/>
      <w:marTop w:val="0"/>
      <w:marBottom w:val="0"/>
      <w:divBdr>
        <w:top w:val="none" w:sz="0" w:space="0" w:color="auto"/>
        <w:left w:val="none" w:sz="0" w:space="0" w:color="auto"/>
        <w:bottom w:val="none" w:sz="0" w:space="0" w:color="auto"/>
        <w:right w:val="none" w:sz="0" w:space="0" w:color="auto"/>
      </w:divBdr>
    </w:div>
    <w:div w:id="341007360">
      <w:bodyDiv w:val="1"/>
      <w:marLeft w:val="0"/>
      <w:marRight w:val="0"/>
      <w:marTop w:val="0"/>
      <w:marBottom w:val="0"/>
      <w:divBdr>
        <w:top w:val="none" w:sz="0" w:space="0" w:color="auto"/>
        <w:left w:val="none" w:sz="0" w:space="0" w:color="auto"/>
        <w:bottom w:val="none" w:sz="0" w:space="0" w:color="auto"/>
        <w:right w:val="none" w:sz="0" w:space="0" w:color="auto"/>
      </w:divBdr>
    </w:div>
    <w:div w:id="461190807">
      <w:bodyDiv w:val="1"/>
      <w:marLeft w:val="0"/>
      <w:marRight w:val="0"/>
      <w:marTop w:val="0"/>
      <w:marBottom w:val="0"/>
      <w:divBdr>
        <w:top w:val="none" w:sz="0" w:space="0" w:color="auto"/>
        <w:left w:val="none" w:sz="0" w:space="0" w:color="auto"/>
        <w:bottom w:val="none" w:sz="0" w:space="0" w:color="auto"/>
        <w:right w:val="none" w:sz="0" w:space="0" w:color="auto"/>
      </w:divBdr>
    </w:div>
    <w:div w:id="526018280">
      <w:bodyDiv w:val="1"/>
      <w:marLeft w:val="0"/>
      <w:marRight w:val="0"/>
      <w:marTop w:val="0"/>
      <w:marBottom w:val="0"/>
      <w:divBdr>
        <w:top w:val="none" w:sz="0" w:space="0" w:color="auto"/>
        <w:left w:val="none" w:sz="0" w:space="0" w:color="auto"/>
        <w:bottom w:val="none" w:sz="0" w:space="0" w:color="auto"/>
        <w:right w:val="none" w:sz="0" w:space="0" w:color="auto"/>
      </w:divBdr>
    </w:div>
    <w:div w:id="579339800">
      <w:bodyDiv w:val="1"/>
      <w:marLeft w:val="0"/>
      <w:marRight w:val="0"/>
      <w:marTop w:val="0"/>
      <w:marBottom w:val="0"/>
      <w:divBdr>
        <w:top w:val="none" w:sz="0" w:space="0" w:color="auto"/>
        <w:left w:val="none" w:sz="0" w:space="0" w:color="auto"/>
        <w:bottom w:val="none" w:sz="0" w:space="0" w:color="auto"/>
        <w:right w:val="none" w:sz="0" w:space="0" w:color="auto"/>
      </w:divBdr>
    </w:div>
    <w:div w:id="580718006">
      <w:bodyDiv w:val="1"/>
      <w:marLeft w:val="0"/>
      <w:marRight w:val="0"/>
      <w:marTop w:val="0"/>
      <w:marBottom w:val="0"/>
      <w:divBdr>
        <w:top w:val="none" w:sz="0" w:space="0" w:color="auto"/>
        <w:left w:val="none" w:sz="0" w:space="0" w:color="auto"/>
        <w:bottom w:val="none" w:sz="0" w:space="0" w:color="auto"/>
        <w:right w:val="none" w:sz="0" w:space="0" w:color="auto"/>
      </w:divBdr>
    </w:div>
    <w:div w:id="636376409">
      <w:bodyDiv w:val="1"/>
      <w:marLeft w:val="0"/>
      <w:marRight w:val="0"/>
      <w:marTop w:val="0"/>
      <w:marBottom w:val="0"/>
      <w:divBdr>
        <w:top w:val="none" w:sz="0" w:space="0" w:color="auto"/>
        <w:left w:val="none" w:sz="0" w:space="0" w:color="auto"/>
        <w:bottom w:val="none" w:sz="0" w:space="0" w:color="auto"/>
        <w:right w:val="none" w:sz="0" w:space="0" w:color="auto"/>
      </w:divBdr>
    </w:div>
    <w:div w:id="699475610">
      <w:bodyDiv w:val="1"/>
      <w:marLeft w:val="0"/>
      <w:marRight w:val="0"/>
      <w:marTop w:val="0"/>
      <w:marBottom w:val="0"/>
      <w:divBdr>
        <w:top w:val="none" w:sz="0" w:space="0" w:color="auto"/>
        <w:left w:val="none" w:sz="0" w:space="0" w:color="auto"/>
        <w:bottom w:val="none" w:sz="0" w:space="0" w:color="auto"/>
        <w:right w:val="none" w:sz="0" w:space="0" w:color="auto"/>
      </w:divBdr>
    </w:div>
    <w:div w:id="762725917">
      <w:bodyDiv w:val="1"/>
      <w:marLeft w:val="0"/>
      <w:marRight w:val="0"/>
      <w:marTop w:val="0"/>
      <w:marBottom w:val="0"/>
      <w:divBdr>
        <w:top w:val="none" w:sz="0" w:space="0" w:color="auto"/>
        <w:left w:val="none" w:sz="0" w:space="0" w:color="auto"/>
        <w:bottom w:val="none" w:sz="0" w:space="0" w:color="auto"/>
        <w:right w:val="none" w:sz="0" w:space="0" w:color="auto"/>
      </w:divBdr>
    </w:div>
    <w:div w:id="789788994">
      <w:bodyDiv w:val="1"/>
      <w:marLeft w:val="0"/>
      <w:marRight w:val="0"/>
      <w:marTop w:val="0"/>
      <w:marBottom w:val="0"/>
      <w:divBdr>
        <w:top w:val="none" w:sz="0" w:space="0" w:color="auto"/>
        <w:left w:val="none" w:sz="0" w:space="0" w:color="auto"/>
        <w:bottom w:val="none" w:sz="0" w:space="0" w:color="auto"/>
        <w:right w:val="none" w:sz="0" w:space="0" w:color="auto"/>
      </w:divBdr>
    </w:div>
    <w:div w:id="811871908">
      <w:bodyDiv w:val="1"/>
      <w:marLeft w:val="0"/>
      <w:marRight w:val="0"/>
      <w:marTop w:val="0"/>
      <w:marBottom w:val="0"/>
      <w:divBdr>
        <w:top w:val="none" w:sz="0" w:space="0" w:color="auto"/>
        <w:left w:val="none" w:sz="0" w:space="0" w:color="auto"/>
        <w:bottom w:val="none" w:sz="0" w:space="0" w:color="auto"/>
        <w:right w:val="none" w:sz="0" w:space="0" w:color="auto"/>
      </w:divBdr>
    </w:div>
    <w:div w:id="869802314">
      <w:bodyDiv w:val="1"/>
      <w:marLeft w:val="0"/>
      <w:marRight w:val="0"/>
      <w:marTop w:val="0"/>
      <w:marBottom w:val="0"/>
      <w:divBdr>
        <w:top w:val="none" w:sz="0" w:space="0" w:color="auto"/>
        <w:left w:val="none" w:sz="0" w:space="0" w:color="auto"/>
        <w:bottom w:val="none" w:sz="0" w:space="0" w:color="auto"/>
        <w:right w:val="none" w:sz="0" w:space="0" w:color="auto"/>
      </w:divBdr>
    </w:div>
    <w:div w:id="886842308">
      <w:bodyDiv w:val="1"/>
      <w:marLeft w:val="0"/>
      <w:marRight w:val="0"/>
      <w:marTop w:val="0"/>
      <w:marBottom w:val="0"/>
      <w:divBdr>
        <w:top w:val="none" w:sz="0" w:space="0" w:color="auto"/>
        <w:left w:val="none" w:sz="0" w:space="0" w:color="auto"/>
        <w:bottom w:val="none" w:sz="0" w:space="0" w:color="auto"/>
        <w:right w:val="none" w:sz="0" w:space="0" w:color="auto"/>
      </w:divBdr>
    </w:div>
    <w:div w:id="888079767">
      <w:bodyDiv w:val="1"/>
      <w:marLeft w:val="0"/>
      <w:marRight w:val="0"/>
      <w:marTop w:val="0"/>
      <w:marBottom w:val="0"/>
      <w:divBdr>
        <w:top w:val="none" w:sz="0" w:space="0" w:color="auto"/>
        <w:left w:val="none" w:sz="0" w:space="0" w:color="auto"/>
        <w:bottom w:val="none" w:sz="0" w:space="0" w:color="auto"/>
        <w:right w:val="none" w:sz="0" w:space="0" w:color="auto"/>
      </w:divBdr>
    </w:div>
    <w:div w:id="925113635">
      <w:bodyDiv w:val="1"/>
      <w:marLeft w:val="0"/>
      <w:marRight w:val="0"/>
      <w:marTop w:val="0"/>
      <w:marBottom w:val="0"/>
      <w:divBdr>
        <w:top w:val="none" w:sz="0" w:space="0" w:color="auto"/>
        <w:left w:val="none" w:sz="0" w:space="0" w:color="auto"/>
        <w:bottom w:val="none" w:sz="0" w:space="0" w:color="auto"/>
        <w:right w:val="none" w:sz="0" w:space="0" w:color="auto"/>
      </w:divBdr>
    </w:div>
    <w:div w:id="944463523">
      <w:bodyDiv w:val="1"/>
      <w:marLeft w:val="0"/>
      <w:marRight w:val="0"/>
      <w:marTop w:val="0"/>
      <w:marBottom w:val="0"/>
      <w:divBdr>
        <w:top w:val="none" w:sz="0" w:space="0" w:color="auto"/>
        <w:left w:val="none" w:sz="0" w:space="0" w:color="auto"/>
        <w:bottom w:val="none" w:sz="0" w:space="0" w:color="auto"/>
        <w:right w:val="none" w:sz="0" w:space="0" w:color="auto"/>
      </w:divBdr>
    </w:div>
    <w:div w:id="1022439695">
      <w:bodyDiv w:val="1"/>
      <w:marLeft w:val="0"/>
      <w:marRight w:val="0"/>
      <w:marTop w:val="0"/>
      <w:marBottom w:val="0"/>
      <w:divBdr>
        <w:top w:val="none" w:sz="0" w:space="0" w:color="auto"/>
        <w:left w:val="none" w:sz="0" w:space="0" w:color="auto"/>
        <w:bottom w:val="none" w:sz="0" w:space="0" w:color="auto"/>
        <w:right w:val="none" w:sz="0" w:space="0" w:color="auto"/>
      </w:divBdr>
    </w:div>
    <w:div w:id="1042704676">
      <w:bodyDiv w:val="1"/>
      <w:marLeft w:val="0"/>
      <w:marRight w:val="0"/>
      <w:marTop w:val="0"/>
      <w:marBottom w:val="0"/>
      <w:divBdr>
        <w:top w:val="none" w:sz="0" w:space="0" w:color="auto"/>
        <w:left w:val="none" w:sz="0" w:space="0" w:color="auto"/>
        <w:bottom w:val="none" w:sz="0" w:space="0" w:color="auto"/>
        <w:right w:val="none" w:sz="0" w:space="0" w:color="auto"/>
      </w:divBdr>
    </w:div>
    <w:div w:id="1146239262">
      <w:bodyDiv w:val="1"/>
      <w:marLeft w:val="0"/>
      <w:marRight w:val="0"/>
      <w:marTop w:val="0"/>
      <w:marBottom w:val="0"/>
      <w:divBdr>
        <w:top w:val="none" w:sz="0" w:space="0" w:color="auto"/>
        <w:left w:val="none" w:sz="0" w:space="0" w:color="auto"/>
        <w:bottom w:val="none" w:sz="0" w:space="0" w:color="auto"/>
        <w:right w:val="none" w:sz="0" w:space="0" w:color="auto"/>
      </w:divBdr>
    </w:div>
    <w:div w:id="1179202359">
      <w:bodyDiv w:val="1"/>
      <w:marLeft w:val="0"/>
      <w:marRight w:val="0"/>
      <w:marTop w:val="0"/>
      <w:marBottom w:val="0"/>
      <w:divBdr>
        <w:top w:val="none" w:sz="0" w:space="0" w:color="auto"/>
        <w:left w:val="none" w:sz="0" w:space="0" w:color="auto"/>
        <w:bottom w:val="none" w:sz="0" w:space="0" w:color="auto"/>
        <w:right w:val="none" w:sz="0" w:space="0" w:color="auto"/>
      </w:divBdr>
    </w:div>
    <w:div w:id="1205403899">
      <w:bodyDiv w:val="1"/>
      <w:marLeft w:val="0"/>
      <w:marRight w:val="0"/>
      <w:marTop w:val="0"/>
      <w:marBottom w:val="0"/>
      <w:divBdr>
        <w:top w:val="none" w:sz="0" w:space="0" w:color="auto"/>
        <w:left w:val="none" w:sz="0" w:space="0" w:color="auto"/>
        <w:bottom w:val="none" w:sz="0" w:space="0" w:color="auto"/>
        <w:right w:val="none" w:sz="0" w:space="0" w:color="auto"/>
      </w:divBdr>
    </w:div>
    <w:div w:id="1337731323">
      <w:bodyDiv w:val="1"/>
      <w:marLeft w:val="0"/>
      <w:marRight w:val="0"/>
      <w:marTop w:val="0"/>
      <w:marBottom w:val="0"/>
      <w:divBdr>
        <w:top w:val="none" w:sz="0" w:space="0" w:color="auto"/>
        <w:left w:val="none" w:sz="0" w:space="0" w:color="auto"/>
        <w:bottom w:val="none" w:sz="0" w:space="0" w:color="auto"/>
        <w:right w:val="none" w:sz="0" w:space="0" w:color="auto"/>
      </w:divBdr>
    </w:div>
    <w:div w:id="1527980608">
      <w:bodyDiv w:val="1"/>
      <w:marLeft w:val="0"/>
      <w:marRight w:val="0"/>
      <w:marTop w:val="0"/>
      <w:marBottom w:val="0"/>
      <w:divBdr>
        <w:top w:val="none" w:sz="0" w:space="0" w:color="auto"/>
        <w:left w:val="none" w:sz="0" w:space="0" w:color="auto"/>
        <w:bottom w:val="none" w:sz="0" w:space="0" w:color="auto"/>
        <w:right w:val="none" w:sz="0" w:space="0" w:color="auto"/>
      </w:divBdr>
    </w:div>
    <w:div w:id="1560821739">
      <w:bodyDiv w:val="1"/>
      <w:marLeft w:val="0"/>
      <w:marRight w:val="0"/>
      <w:marTop w:val="0"/>
      <w:marBottom w:val="0"/>
      <w:divBdr>
        <w:top w:val="none" w:sz="0" w:space="0" w:color="auto"/>
        <w:left w:val="none" w:sz="0" w:space="0" w:color="auto"/>
        <w:bottom w:val="none" w:sz="0" w:space="0" w:color="auto"/>
        <w:right w:val="none" w:sz="0" w:space="0" w:color="auto"/>
      </w:divBdr>
    </w:div>
    <w:div w:id="1574510683">
      <w:bodyDiv w:val="1"/>
      <w:marLeft w:val="0"/>
      <w:marRight w:val="0"/>
      <w:marTop w:val="0"/>
      <w:marBottom w:val="0"/>
      <w:divBdr>
        <w:top w:val="none" w:sz="0" w:space="0" w:color="auto"/>
        <w:left w:val="none" w:sz="0" w:space="0" w:color="auto"/>
        <w:bottom w:val="none" w:sz="0" w:space="0" w:color="auto"/>
        <w:right w:val="none" w:sz="0" w:space="0" w:color="auto"/>
      </w:divBdr>
    </w:div>
    <w:div w:id="1618755902">
      <w:bodyDiv w:val="1"/>
      <w:marLeft w:val="0"/>
      <w:marRight w:val="0"/>
      <w:marTop w:val="0"/>
      <w:marBottom w:val="0"/>
      <w:divBdr>
        <w:top w:val="none" w:sz="0" w:space="0" w:color="auto"/>
        <w:left w:val="none" w:sz="0" w:space="0" w:color="auto"/>
        <w:bottom w:val="none" w:sz="0" w:space="0" w:color="auto"/>
        <w:right w:val="none" w:sz="0" w:space="0" w:color="auto"/>
      </w:divBdr>
    </w:div>
    <w:div w:id="1675569642">
      <w:bodyDiv w:val="1"/>
      <w:marLeft w:val="0"/>
      <w:marRight w:val="0"/>
      <w:marTop w:val="0"/>
      <w:marBottom w:val="0"/>
      <w:divBdr>
        <w:top w:val="none" w:sz="0" w:space="0" w:color="auto"/>
        <w:left w:val="none" w:sz="0" w:space="0" w:color="auto"/>
        <w:bottom w:val="none" w:sz="0" w:space="0" w:color="auto"/>
        <w:right w:val="none" w:sz="0" w:space="0" w:color="auto"/>
      </w:divBdr>
    </w:div>
    <w:div w:id="1731885854">
      <w:bodyDiv w:val="1"/>
      <w:marLeft w:val="0"/>
      <w:marRight w:val="0"/>
      <w:marTop w:val="0"/>
      <w:marBottom w:val="0"/>
      <w:divBdr>
        <w:top w:val="none" w:sz="0" w:space="0" w:color="auto"/>
        <w:left w:val="none" w:sz="0" w:space="0" w:color="auto"/>
        <w:bottom w:val="none" w:sz="0" w:space="0" w:color="auto"/>
        <w:right w:val="none" w:sz="0" w:space="0" w:color="auto"/>
      </w:divBdr>
    </w:div>
    <w:div w:id="1761826640">
      <w:bodyDiv w:val="1"/>
      <w:marLeft w:val="0"/>
      <w:marRight w:val="0"/>
      <w:marTop w:val="0"/>
      <w:marBottom w:val="0"/>
      <w:divBdr>
        <w:top w:val="none" w:sz="0" w:space="0" w:color="auto"/>
        <w:left w:val="none" w:sz="0" w:space="0" w:color="auto"/>
        <w:bottom w:val="none" w:sz="0" w:space="0" w:color="auto"/>
        <w:right w:val="none" w:sz="0" w:space="0" w:color="auto"/>
      </w:divBdr>
    </w:div>
    <w:div w:id="1828594393">
      <w:bodyDiv w:val="1"/>
      <w:marLeft w:val="0"/>
      <w:marRight w:val="0"/>
      <w:marTop w:val="0"/>
      <w:marBottom w:val="0"/>
      <w:divBdr>
        <w:top w:val="none" w:sz="0" w:space="0" w:color="auto"/>
        <w:left w:val="none" w:sz="0" w:space="0" w:color="auto"/>
        <w:bottom w:val="none" w:sz="0" w:space="0" w:color="auto"/>
        <w:right w:val="none" w:sz="0" w:space="0" w:color="auto"/>
      </w:divBdr>
    </w:div>
    <w:div w:id="1837304142">
      <w:bodyDiv w:val="1"/>
      <w:marLeft w:val="0"/>
      <w:marRight w:val="0"/>
      <w:marTop w:val="0"/>
      <w:marBottom w:val="0"/>
      <w:divBdr>
        <w:top w:val="none" w:sz="0" w:space="0" w:color="auto"/>
        <w:left w:val="none" w:sz="0" w:space="0" w:color="auto"/>
        <w:bottom w:val="none" w:sz="0" w:space="0" w:color="auto"/>
        <w:right w:val="none" w:sz="0" w:space="0" w:color="auto"/>
      </w:divBdr>
    </w:div>
    <w:div w:id="1883517966">
      <w:bodyDiv w:val="1"/>
      <w:marLeft w:val="0"/>
      <w:marRight w:val="0"/>
      <w:marTop w:val="0"/>
      <w:marBottom w:val="0"/>
      <w:divBdr>
        <w:top w:val="none" w:sz="0" w:space="0" w:color="auto"/>
        <w:left w:val="none" w:sz="0" w:space="0" w:color="auto"/>
        <w:bottom w:val="none" w:sz="0" w:space="0" w:color="auto"/>
        <w:right w:val="none" w:sz="0" w:space="0" w:color="auto"/>
      </w:divBdr>
    </w:div>
    <w:div w:id="2081171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5565B"/>
      </a:dk2>
      <a:lt2>
        <a:srgbClr val="CDD7D9"/>
      </a:lt2>
      <a:accent1>
        <a:srgbClr val="00A9CE"/>
      </a:accent1>
      <a:accent2>
        <a:srgbClr val="84BD00"/>
      </a:accent2>
      <a:accent3>
        <a:srgbClr val="0047BB"/>
      </a:accent3>
      <a:accent4>
        <a:srgbClr val="FFA300"/>
      </a:accent4>
      <a:accent5>
        <a:srgbClr val="B11F79"/>
      </a:accent5>
      <a:accent6>
        <a:srgbClr val="D22630"/>
      </a:accent6>
      <a:hlink>
        <a:srgbClr val="55565B"/>
      </a:hlink>
      <a:folHlink>
        <a:srgbClr val="CDD7D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DB1886413A841BA465A3622A83873" ma:contentTypeVersion="12" ma:contentTypeDescription="Create a new document." ma:contentTypeScope="" ma:versionID="cc1304c8af785c53a3cf413e5916d842">
  <xsd:schema xmlns:xsd="http://www.w3.org/2001/XMLSchema" xmlns:xs="http://www.w3.org/2001/XMLSchema" xmlns:p="http://schemas.microsoft.com/office/2006/metadata/properties" xmlns:ns2="11737693-3c50-40a3-935f-35897624660e" xmlns:ns3="cc3102d5-63ee-437c-ac05-e466ed6603cd" targetNamespace="http://schemas.microsoft.com/office/2006/metadata/properties" ma:root="true" ma:fieldsID="fb238a81bfaa9ed8860795503b17472c" ns2:_="" ns3:_="">
    <xsd:import namespace="11737693-3c50-40a3-935f-35897624660e"/>
    <xsd:import namespace="cc3102d5-63ee-437c-ac05-e466ed6603cd"/>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DocumentTyp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37693-3c50-40a3-935f-35897624660e"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_x0024_Resources_x003a_core_x002c_Signoff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ocumentType" ma:index="12" nillable="true" ma:displayName="Document Type" ma:description="Used to indicate if submitted to auditors, draft etc. Not Mandatory." ma:format="Dropdown" ma:internalName="DocumentType">
      <xsd:complexType>
        <xsd:complexContent>
          <xsd:extension base="dms:MultiChoice">
            <xsd:sequence>
              <xsd:element name="Value" maxOccurs="unbounded" minOccurs="0" nillable="true">
                <xsd:simpleType>
                  <xsd:restriction base="dms:Choice">
                    <xsd:enumeration value="Submitted to PwC"/>
                    <xsd:enumeration value="Internal Only"/>
                    <xsd:enumeration value="Audit Committee"/>
                    <xsd:enumeration value="Exec"/>
                  </xsd:restrict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144cd6-7962-4709-ae5e-a46f4331050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102d5-63ee-437c-ac05-e466ed6603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d7a185-7794-4e0f-a703-a89a41df9bf3}" ma:internalName="TaxCatchAll" ma:showField="CatchAllData" ma:web="cc3102d5-63ee-437c-ac05-e466ed660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1737693-3c50-40a3-935f-35897624660e" xsi:nil="true"/>
    <DocumentType xmlns="11737693-3c50-40a3-935f-35897624660e" xsi:nil="true"/>
    <TaxCatchAll xmlns="cc3102d5-63ee-437c-ac05-e466ed6603cd" xsi:nil="true"/>
    <lcf76f155ced4ddcb4097134ff3c332f xmlns="11737693-3c50-40a3-935f-3589762466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B90C5-5BA6-4936-AA6F-F04D00653A19}">
  <ds:schemaRefs>
    <ds:schemaRef ds:uri="http://schemas.microsoft.com/sharepoint/v3/contenttype/forms"/>
  </ds:schemaRefs>
</ds:datastoreItem>
</file>

<file path=customXml/itemProps2.xml><?xml version="1.0" encoding="utf-8"?>
<ds:datastoreItem xmlns:ds="http://schemas.openxmlformats.org/officeDocument/2006/customXml" ds:itemID="{57518A33-4C8D-46D0-84B4-25E21830A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37693-3c50-40a3-935f-35897624660e"/>
    <ds:schemaRef ds:uri="cc3102d5-63ee-437c-ac05-e466ed660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22221-E40C-4952-9771-130876F821B7}">
  <ds:schemaRefs>
    <ds:schemaRef ds:uri="http://schemas.microsoft.com/office/2006/metadata/properties"/>
    <ds:schemaRef ds:uri="http://schemas.microsoft.com/office/infopath/2007/PartnerControls"/>
    <ds:schemaRef ds:uri="11737693-3c50-40a3-935f-35897624660e"/>
    <ds:schemaRef ds:uri="cc3102d5-63ee-437c-ac05-e466ed6603cd"/>
  </ds:schemaRefs>
</ds:datastoreItem>
</file>

<file path=customXml/itemProps4.xml><?xml version="1.0" encoding="utf-8"?>
<ds:datastoreItem xmlns:ds="http://schemas.openxmlformats.org/officeDocument/2006/customXml" ds:itemID="{AB46066F-7D40-4E4B-B472-5155E20C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28580</Words>
  <Characters>162910</Characters>
  <Application>Microsoft Office Word</Application>
  <DocSecurity>0</DocSecurity>
  <Lines>1357</Lines>
  <Paragraphs>382</Paragraphs>
  <ScaleCrop>false</ScaleCrop>
  <Company>LB</Company>
  <LinksUpToDate>false</LinksUpToDate>
  <CharactersWithSpaces>191108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Bennett</dc:creator>
  <cp:keywords/>
  <dc:description/>
  <cp:lastModifiedBy>Nikky Geairns</cp:lastModifiedBy>
  <cp:revision>5</cp:revision>
  <cp:lastPrinted>2026-06-15T17:15:00Z</cp:lastPrinted>
  <dcterms:created xsi:type="dcterms:W3CDTF">2026-06-15T20:45:00Z</dcterms:created>
  <dcterms:modified xsi:type="dcterms:W3CDTF">2026-06-15T20:49:00Z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0x010100AA8DB1886413A841BA465A3622A83873</vt:lpwstr>
  </property>
  <property fmtid="{D5CDD505-2E9C-101B-9397-08002B2CF9AE}" pid="3" name="MediaServiceImageTags">
    <vt:lpwstr/>
  </property>
</Properties>
</file>